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霍城县良繁中心2024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7EEA5F">
      <w:r>
        <w:br w:type="page"/>
      </w:r>
    </w:p>
    <w:p w14:paraId="0A209A72">
      <w:pPr>
        <w:spacing w:line="640" w:lineRule="exact"/>
        <w:jc w:val="center"/>
        <w:outlineLvl w:val="1"/>
      </w:pPr>
      <w:r>
        <w:rPr>
          <w:rFonts w:ascii="黑体" w:hAnsi="黑体" w:eastAsia="黑体"/>
          <w:sz w:val="32"/>
        </w:rPr>
        <w:t>第一部分 单位概况</w:t>
      </w:r>
    </w:p>
    <w:p w14:paraId="50888205">
      <w:pPr>
        <w:spacing w:line="640" w:lineRule="exact"/>
        <w:ind w:firstLine="640"/>
        <w:jc w:val="both"/>
        <w:outlineLvl w:val="2"/>
      </w:pPr>
      <w:r>
        <w:rPr>
          <w:rFonts w:ascii="黑体" w:hAnsi="黑体" w:eastAsia="黑体"/>
          <w:sz w:val="32"/>
        </w:rPr>
        <w:t>一、主要职能</w:t>
      </w:r>
    </w:p>
    <w:p w14:paraId="24BF69AB">
      <w:pPr>
        <w:spacing w:line="580" w:lineRule="exact"/>
        <w:ind w:firstLine="640"/>
        <w:jc w:val="both"/>
      </w:pPr>
      <w:r>
        <w:rPr>
          <w:rFonts w:ascii="仿宋_GB2312" w:hAnsi="仿宋_GB2312" w:eastAsia="仿宋_GB2312"/>
          <w:sz w:val="32"/>
        </w:rPr>
        <w:t>霍城县良种繁育中心根据成立文件，主要为种植业发展提供技术开发与质量管理服务。种植技术开发。实际承担其他所有的一般政府所承担的所有事项。认真执行国家各项经济政策，保护各种经济组织的合法权益、积极促进本乡乡镇企业及其他农村经济快速稳步</w:t>
      </w:r>
      <w:r>
        <w:rPr>
          <w:rFonts w:hint="eastAsia" w:ascii="仿宋_GB2312" w:hAnsi="仿宋_GB2312" w:eastAsia="仿宋_GB2312"/>
          <w:sz w:val="32"/>
          <w:lang w:eastAsia="zh-CN"/>
        </w:rPr>
        <w:t>地</w:t>
      </w:r>
      <w:r>
        <w:rPr>
          <w:rFonts w:ascii="仿宋_GB2312" w:hAnsi="仿宋_GB2312" w:eastAsia="仿宋_GB2312"/>
          <w:sz w:val="32"/>
        </w:rPr>
        <w:t>发展。宣传党和国家的各项惠民政策、依法管理单位各项事务、依法保护宪法和法律赋予妇女、儿童、</w:t>
      </w:r>
      <w:r>
        <w:rPr>
          <w:rFonts w:hint="eastAsia" w:ascii="仿宋_GB2312" w:hAnsi="仿宋_GB2312" w:eastAsia="仿宋_GB2312"/>
          <w:sz w:val="32"/>
          <w:lang w:eastAsia="zh-CN"/>
        </w:rPr>
        <w:t>老年人</w:t>
      </w:r>
      <w:r>
        <w:rPr>
          <w:rFonts w:ascii="仿宋_GB2312" w:hAnsi="仿宋_GB2312" w:eastAsia="仿宋_GB2312"/>
          <w:sz w:val="32"/>
        </w:rPr>
        <w:t>的合法权益。办理上级人民政府交办的其他工作。</w:t>
      </w:r>
    </w:p>
    <w:p w14:paraId="19F319AD">
      <w:pPr>
        <w:spacing w:line="640" w:lineRule="exact"/>
        <w:ind w:firstLine="640"/>
        <w:jc w:val="both"/>
        <w:outlineLvl w:val="2"/>
      </w:pPr>
      <w:r>
        <w:rPr>
          <w:rFonts w:ascii="黑体" w:hAnsi="黑体" w:eastAsia="黑体"/>
          <w:sz w:val="32"/>
        </w:rPr>
        <w:t>二、机构设置及人员情况</w:t>
      </w:r>
    </w:p>
    <w:p w14:paraId="0D71D9DC">
      <w:pPr>
        <w:spacing w:line="580" w:lineRule="exact"/>
        <w:ind w:firstLine="640"/>
        <w:jc w:val="both"/>
      </w:pPr>
      <w:r>
        <w:rPr>
          <w:rFonts w:ascii="仿宋_GB2312" w:hAnsi="仿宋_GB2312" w:eastAsia="仿宋_GB2312"/>
          <w:sz w:val="32"/>
        </w:rPr>
        <w:t>霍城县良繁中心2024年度，实有人数35人，其中：在职人员25人，增加1人；离休人员0人，增加0人；退休人员10人,增加1人。</w:t>
      </w:r>
    </w:p>
    <w:p w14:paraId="7D6984A0">
      <w:pPr>
        <w:spacing w:line="580" w:lineRule="exact"/>
        <w:ind w:firstLine="640"/>
        <w:jc w:val="both"/>
      </w:pPr>
      <w:r>
        <w:rPr>
          <w:rFonts w:ascii="仿宋_GB2312" w:hAnsi="仿宋_GB2312" w:eastAsia="仿宋_GB2312"/>
          <w:sz w:val="32"/>
        </w:rPr>
        <w:t>霍城县良繁中心无下属预算单位，下设10个科室，分别是：办公室、财务室、党建办、纪检办、综治办、宣传办、民政办、计生办、退役军人服务站、畜牧办。</w:t>
      </w:r>
    </w:p>
    <w:p w14:paraId="6991158E">
      <w:r>
        <w:br w:type="page"/>
      </w:r>
    </w:p>
    <w:p w14:paraId="21A844C4">
      <w:pPr>
        <w:spacing w:line="240" w:lineRule="auto"/>
        <w:jc w:val="center"/>
        <w:outlineLvl w:val="1"/>
      </w:pPr>
      <w:r>
        <w:rPr>
          <w:rFonts w:ascii="黑体" w:hAnsi="黑体" w:eastAsia="黑体"/>
          <w:sz w:val="32"/>
        </w:rPr>
        <w:t>第二部分 部门决算情况说明</w:t>
      </w:r>
    </w:p>
    <w:p w14:paraId="18B1558B">
      <w:pPr>
        <w:spacing w:line="640" w:lineRule="exact"/>
        <w:ind w:firstLine="640"/>
        <w:jc w:val="both"/>
        <w:outlineLvl w:val="2"/>
      </w:pPr>
      <w:r>
        <w:rPr>
          <w:rFonts w:ascii="黑体" w:hAnsi="黑体" w:eastAsia="黑体"/>
          <w:sz w:val="32"/>
        </w:rPr>
        <w:t>一、收入支出决算总体情况说明</w:t>
      </w:r>
    </w:p>
    <w:p w14:paraId="0D87FEFE">
      <w:pPr>
        <w:spacing w:line="580" w:lineRule="exact"/>
        <w:ind w:firstLine="640"/>
        <w:jc w:val="both"/>
      </w:pPr>
      <w:r>
        <w:rPr>
          <w:rFonts w:ascii="仿宋_GB2312" w:hAnsi="仿宋_GB2312" w:eastAsia="仿宋_GB2312"/>
          <w:b/>
          <w:sz w:val="32"/>
        </w:rPr>
        <w:t>2024年度收入总计658.06万元，</w:t>
      </w:r>
      <w:r>
        <w:rPr>
          <w:rFonts w:ascii="仿宋_GB2312" w:hAnsi="仿宋_GB2312" w:eastAsia="仿宋_GB2312"/>
          <w:b w:val="0"/>
          <w:sz w:val="32"/>
        </w:rPr>
        <w:t>其中：本年收入合计658.06万元，使用非财政拨款结余（含专用结余）0.00万元，年初结转和结余0.00万元。</w:t>
      </w:r>
    </w:p>
    <w:p w14:paraId="2C5C1BC5">
      <w:pPr>
        <w:spacing w:line="580" w:lineRule="exact"/>
        <w:ind w:firstLine="640"/>
        <w:jc w:val="both"/>
      </w:pPr>
      <w:r>
        <w:rPr>
          <w:rFonts w:ascii="仿宋_GB2312" w:hAnsi="仿宋_GB2312" w:eastAsia="仿宋_GB2312"/>
          <w:b/>
          <w:sz w:val="32"/>
        </w:rPr>
        <w:t>2024年度支出总计658.06万元，</w:t>
      </w:r>
      <w:r>
        <w:rPr>
          <w:rFonts w:ascii="仿宋_GB2312" w:hAnsi="仿宋_GB2312" w:eastAsia="仿宋_GB2312"/>
          <w:b w:val="0"/>
          <w:sz w:val="32"/>
        </w:rPr>
        <w:t>其中：本年支出合计652.82万元，结余分配0.00万元，年末结转和结余5.24万元。</w:t>
      </w:r>
    </w:p>
    <w:p w14:paraId="7594742B">
      <w:pPr>
        <w:spacing w:line="580" w:lineRule="exact"/>
        <w:ind w:firstLine="640"/>
        <w:jc w:val="both"/>
      </w:pPr>
      <w:r>
        <w:rPr>
          <w:rFonts w:ascii="仿宋_GB2312" w:hAnsi="仿宋_GB2312" w:eastAsia="仿宋_GB2312"/>
          <w:b w:val="0"/>
          <w:sz w:val="32"/>
        </w:rPr>
        <w:t>收入支出总体与上年相比，减少330.80万元，下降33.45%，主要原因是：本年减少良繁中心乡镇干部周转宿舍建设项目、良繁中心2023年中央农村综合改革转移支付项目、霍城县良繁中心2017年干部周转房、便民服务设施及文化活动中心建设项目一至四标段债务、霍城县良繁中心干部宿舍及村级组织活动场所、村民服务中心项目等。</w:t>
      </w:r>
    </w:p>
    <w:p w14:paraId="24ACAFE7">
      <w:pPr>
        <w:spacing w:line="640" w:lineRule="exact"/>
        <w:ind w:firstLine="640"/>
        <w:jc w:val="both"/>
        <w:outlineLvl w:val="2"/>
      </w:pPr>
      <w:r>
        <w:rPr>
          <w:rFonts w:ascii="黑体" w:hAnsi="黑体" w:eastAsia="黑体"/>
          <w:sz w:val="32"/>
        </w:rPr>
        <w:t>二、收入决算情况说明</w:t>
      </w:r>
    </w:p>
    <w:p w14:paraId="6DBAC431">
      <w:pPr>
        <w:spacing w:line="580" w:lineRule="exact"/>
        <w:ind w:firstLine="640"/>
        <w:jc w:val="both"/>
      </w:pPr>
      <w:r>
        <w:rPr>
          <w:rFonts w:ascii="仿宋_GB2312" w:hAnsi="仿宋_GB2312" w:eastAsia="仿宋_GB2312"/>
          <w:b/>
          <w:sz w:val="32"/>
        </w:rPr>
        <w:t>本年收入658.06万元，</w:t>
      </w:r>
      <w:r>
        <w:rPr>
          <w:rFonts w:ascii="仿宋_GB2312" w:hAnsi="仿宋_GB2312" w:eastAsia="仿宋_GB2312"/>
          <w:b w:val="0"/>
          <w:sz w:val="32"/>
        </w:rPr>
        <w:t>其中：财政拨款收入647.06万元，占98.33%；上级补助收入0.00万元，占0.00%；事业收入0.00万元，占0.00%；经营收入0.00万元，占0.00%；附属单位上缴收入0.00万元，占0.00%；其他收入11.00万元，占1.67%。</w:t>
      </w:r>
    </w:p>
    <w:p w14:paraId="613E98D6">
      <w:pPr>
        <w:spacing w:line="640" w:lineRule="exact"/>
        <w:ind w:firstLine="640"/>
        <w:jc w:val="both"/>
        <w:outlineLvl w:val="2"/>
      </w:pPr>
      <w:r>
        <w:rPr>
          <w:rFonts w:ascii="黑体" w:hAnsi="黑体" w:eastAsia="黑体"/>
          <w:sz w:val="32"/>
        </w:rPr>
        <w:t>三、支出决算情况说明</w:t>
      </w:r>
    </w:p>
    <w:p w14:paraId="36709ACC">
      <w:pPr>
        <w:spacing w:line="580" w:lineRule="exact"/>
        <w:ind w:firstLine="640"/>
        <w:jc w:val="both"/>
      </w:pPr>
      <w:r>
        <w:rPr>
          <w:rFonts w:ascii="仿宋_GB2312" w:hAnsi="仿宋_GB2312" w:eastAsia="仿宋_GB2312"/>
          <w:b/>
          <w:sz w:val="32"/>
        </w:rPr>
        <w:t>本年支出652.82万元，</w:t>
      </w:r>
      <w:r>
        <w:rPr>
          <w:rFonts w:ascii="仿宋_GB2312" w:hAnsi="仿宋_GB2312" w:eastAsia="仿宋_GB2312"/>
          <w:b w:val="0"/>
          <w:sz w:val="32"/>
        </w:rPr>
        <w:t>其中：基本支出652.82万元，占100.00%；项目支出0.00万元，占0.00%；上缴上级支出0.00万元，占0.00%；经营支出0.00万元，占0.00%；对附属单位补助支出0.00万元，占0.00%。</w:t>
      </w:r>
    </w:p>
    <w:p w14:paraId="65FBF3A0">
      <w:pPr>
        <w:spacing w:line="640" w:lineRule="exact"/>
        <w:ind w:firstLine="640"/>
        <w:jc w:val="both"/>
        <w:outlineLvl w:val="2"/>
      </w:pPr>
      <w:r>
        <w:rPr>
          <w:rFonts w:ascii="黑体" w:hAnsi="黑体" w:eastAsia="黑体"/>
          <w:sz w:val="32"/>
        </w:rPr>
        <w:t>四、财政拨款收入支出决算总体情况说明</w:t>
      </w:r>
    </w:p>
    <w:p w14:paraId="11BBE97F">
      <w:pPr>
        <w:spacing w:line="580" w:lineRule="exact"/>
        <w:ind w:firstLine="640"/>
        <w:jc w:val="both"/>
      </w:pPr>
      <w:r>
        <w:rPr>
          <w:rFonts w:ascii="仿宋_GB2312" w:hAnsi="仿宋_GB2312" w:eastAsia="仿宋_GB2312"/>
          <w:b/>
          <w:sz w:val="32"/>
        </w:rPr>
        <w:t>2024年度财政拨款收入总计647.06万元，</w:t>
      </w:r>
      <w:r>
        <w:rPr>
          <w:rFonts w:ascii="仿宋_GB2312" w:hAnsi="仿宋_GB2312" w:eastAsia="仿宋_GB2312"/>
          <w:b w:val="0"/>
          <w:sz w:val="32"/>
        </w:rPr>
        <w:t>其中：年初财政拨款结转和结余0.00万元，本年财政拨款收入647.06万元。</w:t>
      </w:r>
      <w:r>
        <w:rPr>
          <w:rFonts w:ascii="仿宋_GB2312" w:hAnsi="仿宋_GB2312" w:eastAsia="仿宋_GB2312"/>
          <w:b/>
          <w:sz w:val="32"/>
        </w:rPr>
        <w:t>财政拨款支出总计647.06万元，</w:t>
      </w:r>
      <w:r>
        <w:rPr>
          <w:rFonts w:ascii="仿宋_GB2312" w:hAnsi="仿宋_GB2312" w:eastAsia="仿宋_GB2312"/>
          <w:b w:val="0"/>
          <w:sz w:val="32"/>
        </w:rPr>
        <w:t>其中：年末财政拨款结转和结余0.00万元，本年财政拨款支出647.06万元。</w:t>
      </w:r>
    </w:p>
    <w:p w14:paraId="6D0816F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341.80万元，下降34.57%，主要原因是：本年减少良繁中心乡镇干部周转宿舍建设项目、良繁中心2023年中央农村综合改革转移支付项目、霍城县良繁中心2017年干部周转房、便民服务设施及文化活动中心建设项目一至四标段债务、霍城县良繁中心干部宿舍及村级组织活动场所、村民服务中心项目等。</w:t>
      </w:r>
      <w:r>
        <w:rPr>
          <w:rFonts w:ascii="仿宋_GB2312" w:hAnsi="仿宋_GB2312" w:eastAsia="仿宋_GB2312"/>
          <w:b/>
          <w:sz w:val="32"/>
        </w:rPr>
        <w:t>与年初预算相比，</w:t>
      </w:r>
      <w:r>
        <w:rPr>
          <w:rFonts w:ascii="仿宋_GB2312" w:hAnsi="仿宋_GB2312" w:eastAsia="仿宋_GB2312"/>
          <w:b w:val="0"/>
          <w:sz w:val="32"/>
        </w:rPr>
        <w:t>年初预算数388.83万元，决算数647.06万元，预决算差异率66.41%，主要原因是：年中追加人员工资、社保、公积金基数调增部分资金，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中央补助地方美术馆、公共图书馆、文化馆（站）免费开放补助资金</w:t>
      </w:r>
      <w:r>
        <w:rPr>
          <w:rFonts w:hint="eastAsia" w:ascii="仿宋_GB2312" w:hAnsi="仿宋_GB2312" w:eastAsia="仿宋_GB2312"/>
          <w:b w:val="0"/>
          <w:sz w:val="32"/>
          <w:lang w:eastAsia="zh-CN"/>
        </w:rPr>
        <w:t>、</w:t>
      </w:r>
      <w:r>
        <w:rPr>
          <w:rFonts w:ascii="仿宋_GB2312" w:hAnsi="仿宋_GB2312" w:eastAsia="仿宋_GB2312"/>
          <w:b w:val="0"/>
          <w:sz w:val="32"/>
        </w:rPr>
        <w:t>村干部工资福利</w:t>
      </w:r>
      <w:r>
        <w:rPr>
          <w:rFonts w:hint="eastAsia" w:ascii="仿宋_GB2312" w:hAnsi="仿宋_GB2312" w:eastAsia="仿宋_GB2312"/>
          <w:b w:val="0"/>
          <w:sz w:val="32"/>
          <w:lang w:val="en-US" w:eastAsia="zh-CN"/>
        </w:rPr>
        <w:t>经费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69982870">
      <w:pPr>
        <w:spacing w:line="640" w:lineRule="exact"/>
        <w:ind w:firstLine="640"/>
        <w:jc w:val="both"/>
        <w:outlineLvl w:val="2"/>
      </w:pPr>
      <w:r>
        <w:rPr>
          <w:rFonts w:ascii="黑体" w:hAnsi="黑体" w:eastAsia="黑体"/>
          <w:sz w:val="32"/>
        </w:rPr>
        <w:t>五、一般公共预算财政拨款支出决算情况说明</w:t>
      </w:r>
    </w:p>
    <w:p w14:paraId="0CF60EEC">
      <w:pPr>
        <w:spacing w:line="640" w:lineRule="exact"/>
        <w:ind w:firstLine="640"/>
        <w:jc w:val="both"/>
        <w:outlineLvl w:val="3"/>
      </w:pPr>
      <w:r>
        <w:rPr>
          <w:rFonts w:ascii="楷体_GB2312" w:hAnsi="楷体_GB2312" w:eastAsia="楷体_GB2312"/>
          <w:b/>
          <w:sz w:val="32"/>
        </w:rPr>
        <w:t>（一）一般公共预算财政拨款支出决算总体情况</w:t>
      </w:r>
    </w:p>
    <w:p w14:paraId="25EB1D26">
      <w:pPr>
        <w:spacing w:line="580" w:lineRule="exact"/>
        <w:ind w:firstLine="640"/>
        <w:jc w:val="both"/>
      </w:pPr>
      <w:r>
        <w:rPr>
          <w:rFonts w:ascii="仿宋_GB2312" w:hAnsi="仿宋_GB2312" w:eastAsia="仿宋_GB2312"/>
          <w:b/>
          <w:sz w:val="32"/>
        </w:rPr>
        <w:t>2024年度一般公共预算财政拨款支出647.06万元，</w:t>
      </w:r>
      <w:r>
        <w:rPr>
          <w:rFonts w:ascii="仿宋_GB2312" w:hAnsi="仿宋_GB2312" w:eastAsia="仿宋_GB2312"/>
          <w:b w:val="0"/>
          <w:sz w:val="32"/>
        </w:rPr>
        <w:t>占本年支出合计的99.12%。</w:t>
      </w:r>
      <w:r>
        <w:rPr>
          <w:rFonts w:ascii="仿宋_GB2312" w:hAnsi="仿宋_GB2312" w:eastAsia="仿宋_GB2312"/>
          <w:b/>
          <w:sz w:val="32"/>
        </w:rPr>
        <w:t>与上年相比，</w:t>
      </w:r>
      <w:r>
        <w:rPr>
          <w:rFonts w:ascii="仿宋_GB2312" w:hAnsi="仿宋_GB2312" w:eastAsia="仿宋_GB2312"/>
          <w:b w:val="0"/>
          <w:sz w:val="32"/>
        </w:rPr>
        <w:t>减少211.80万元，下降24.66%，主要原因是：本年减少霍城县良繁中心2017年干部周转房、便民服务设施及文化活动中心建设项目一至四标段债务、霍城县良繁中心干部宿舍及村级组织活动场所、村民服务中心项目。</w:t>
      </w:r>
      <w:r>
        <w:rPr>
          <w:rFonts w:ascii="仿宋_GB2312" w:hAnsi="仿宋_GB2312" w:eastAsia="仿宋_GB2312"/>
          <w:b/>
          <w:sz w:val="32"/>
        </w:rPr>
        <w:t>与年初预算相比,</w:t>
      </w:r>
      <w:r>
        <w:rPr>
          <w:rFonts w:ascii="仿宋_GB2312" w:hAnsi="仿宋_GB2312" w:eastAsia="仿宋_GB2312"/>
          <w:b w:val="0"/>
          <w:sz w:val="32"/>
        </w:rPr>
        <w:t>年初预算数388.83万元，决算数647.06万元，预决算差异率66.41%，主要原因是：年中追加人员工资、社保、公积金基数调增部分资金，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中央补助地方美术馆、公共图书馆、文化馆（站）免费开放补助资金</w:t>
      </w:r>
      <w:r>
        <w:rPr>
          <w:rFonts w:hint="eastAsia" w:ascii="仿宋_GB2312" w:hAnsi="仿宋_GB2312" w:eastAsia="仿宋_GB2312"/>
          <w:b w:val="0"/>
          <w:sz w:val="32"/>
          <w:lang w:eastAsia="zh-CN"/>
        </w:rPr>
        <w:t>、</w:t>
      </w:r>
      <w:r>
        <w:rPr>
          <w:rFonts w:ascii="仿宋_GB2312" w:hAnsi="仿宋_GB2312" w:eastAsia="仿宋_GB2312"/>
          <w:b w:val="0"/>
          <w:sz w:val="32"/>
        </w:rPr>
        <w:t>村干部工资福利</w:t>
      </w:r>
      <w:r>
        <w:rPr>
          <w:rFonts w:hint="eastAsia" w:ascii="仿宋_GB2312" w:hAnsi="仿宋_GB2312" w:eastAsia="仿宋_GB2312"/>
          <w:b w:val="0"/>
          <w:sz w:val="32"/>
          <w:lang w:val="en-US" w:eastAsia="zh-CN"/>
        </w:rPr>
        <w:t>经费</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2976CA91">
      <w:pPr>
        <w:spacing w:line="640" w:lineRule="exact"/>
        <w:ind w:firstLine="640"/>
        <w:jc w:val="both"/>
        <w:outlineLvl w:val="3"/>
      </w:pPr>
      <w:r>
        <w:rPr>
          <w:rFonts w:ascii="楷体_GB2312" w:hAnsi="楷体_GB2312" w:eastAsia="楷体_GB2312"/>
          <w:b/>
          <w:sz w:val="32"/>
        </w:rPr>
        <w:t>（二）一般公共预算财政拨款支出决算结构情况</w:t>
      </w:r>
    </w:p>
    <w:p w14:paraId="6A4432B5">
      <w:pPr>
        <w:spacing w:line="580" w:lineRule="exact"/>
        <w:ind w:firstLine="640"/>
        <w:jc w:val="both"/>
      </w:pPr>
      <w:r>
        <w:rPr>
          <w:rFonts w:ascii="仿宋_GB2312" w:hAnsi="仿宋_GB2312" w:eastAsia="仿宋_GB2312"/>
          <w:b w:val="0"/>
          <w:sz w:val="32"/>
        </w:rPr>
        <w:t>1.一般公共服务支出(类)33.22万元,占5.13%。</w:t>
      </w:r>
    </w:p>
    <w:p w14:paraId="09A0A8E8">
      <w:pPr>
        <w:spacing w:line="580" w:lineRule="exact"/>
        <w:ind w:firstLine="640"/>
        <w:jc w:val="both"/>
      </w:pPr>
      <w:r>
        <w:rPr>
          <w:rFonts w:ascii="仿宋_GB2312" w:hAnsi="仿宋_GB2312" w:eastAsia="仿宋_GB2312"/>
          <w:b w:val="0"/>
          <w:sz w:val="32"/>
        </w:rPr>
        <w:t>2.文化旅游体育与传媒支出(类)4.80万元,占0.74%。</w:t>
      </w:r>
    </w:p>
    <w:p w14:paraId="3DC3F95E">
      <w:pPr>
        <w:spacing w:line="580" w:lineRule="exact"/>
        <w:ind w:firstLine="640"/>
        <w:jc w:val="both"/>
      </w:pPr>
      <w:r>
        <w:rPr>
          <w:rFonts w:ascii="仿宋_GB2312" w:hAnsi="仿宋_GB2312" w:eastAsia="仿宋_GB2312"/>
          <w:b w:val="0"/>
          <w:sz w:val="32"/>
        </w:rPr>
        <w:t>3.社会保障和就业支出(类)49.54万元,占7.66%。</w:t>
      </w:r>
    </w:p>
    <w:p w14:paraId="097A8D4F">
      <w:pPr>
        <w:spacing w:line="580" w:lineRule="exact"/>
        <w:ind w:firstLine="640"/>
        <w:jc w:val="both"/>
      </w:pPr>
      <w:r>
        <w:rPr>
          <w:rFonts w:ascii="仿宋_GB2312" w:hAnsi="仿宋_GB2312" w:eastAsia="仿宋_GB2312"/>
          <w:b w:val="0"/>
          <w:sz w:val="32"/>
        </w:rPr>
        <w:t>4.卫生健康支出(类)18.03万元,占2.79%。</w:t>
      </w:r>
    </w:p>
    <w:p w14:paraId="469EFF47">
      <w:pPr>
        <w:spacing w:line="580" w:lineRule="exact"/>
        <w:ind w:firstLine="640"/>
        <w:jc w:val="both"/>
      </w:pPr>
      <w:r>
        <w:rPr>
          <w:rFonts w:ascii="仿宋_GB2312" w:hAnsi="仿宋_GB2312" w:eastAsia="仿宋_GB2312"/>
          <w:b w:val="0"/>
          <w:sz w:val="32"/>
        </w:rPr>
        <w:t>5.农林水支出(类)512.11万元,占79.14%。</w:t>
      </w:r>
    </w:p>
    <w:p w14:paraId="7D2C8315">
      <w:pPr>
        <w:spacing w:line="580" w:lineRule="exact"/>
        <w:ind w:firstLine="640"/>
        <w:jc w:val="both"/>
      </w:pPr>
      <w:r>
        <w:rPr>
          <w:rFonts w:ascii="仿宋_GB2312" w:hAnsi="仿宋_GB2312" w:eastAsia="仿宋_GB2312"/>
          <w:b w:val="0"/>
          <w:sz w:val="32"/>
        </w:rPr>
        <w:t>6.住房保障支出(类)29.37万元,占4.54%。</w:t>
      </w:r>
    </w:p>
    <w:p w14:paraId="58AB9A09">
      <w:pPr>
        <w:spacing w:line="640" w:lineRule="exact"/>
        <w:ind w:firstLine="640"/>
        <w:jc w:val="both"/>
        <w:outlineLvl w:val="3"/>
      </w:pPr>
      <w:r>
        <w:rPr>
          <w:rFonts w:ascii="楷体_GB2312" w:hAnsi="楷体_GB2312" w:eastAsia="楷体_GB2312"/>
          <w:b/>
          <w:sz w:val="32"/>
        </w:rPr>
        <w:t>（三）一般公共预算财政拨款支出决算具体情况</w:t>
      </w:r>
    </w:p>
    <w:p w14:paraId="5E24A8B0">
      <w:pPr>
        <w:spacing w:line="580" w:lineRule="exact"/>
        <w:ind w:firstLine="640"/>
        <w:jc w:val="both"/>
      </w:pPr>
      <w:r>
        <w:rPr>
          <w:rFonts w:ascii="仿宋_GB2312" w:hAnsi="仿宋_GB2312" w:eastAsia="仿宋_GB2312"/>
          <w:b w:val="0"/>
          <w:sz w:val="32"/>
        </w:rPr>
        <w:t>1.一般公共服务支出(类)组织事务(款)其他组织事务支出(项):支出决算数为33.22万元，比上年决算减少325.80万元，下降90.75%,主要原因是：本年减少霍城县良繁中心2017年干部周转房、便民服务设施及文化活动中心建设项目一至四标段债务、霍城县良繁中心干部宿舍及村级组织活动场所、村民服务中心项目。</w:t>
      </w:r>
    </w:p>
    <w:p w14:paraId="5292F0B4">
      <w:pPr>
        <w:spacing w:line="580" w:lineRule="exact"/>
        <w:ind w:firstLine="640"/>
        <w:jc w:val="both"/>
      </w:pPr>
      <w:r>
        <w:rPr>
          <w:rFonts w:ascii="仿宋_GB2312" w:hAnsi="仿宋_GB2312" w:eastAsia="仿宋_GB2312"/>
          <w:b w:val="0"/>
          <w:sz w:val="32"/>
        </w:rPr>
        <w:t>2.一般公共服务支出(类)统战事务(款)宗教事务(项):支出决算数为0.00万元，比上年决算减少0.38万元，下降100.00%,主要原因是：本年减少</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工作队工作经费。</w:t>
      </w:r>
    </w:p>
    <w:p w14:paraId="36960B0D">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4.80万元，比上年决算增加1.52万元，增长46.34%,主要原因是：本年增加2024年中央补助地方美术馆、公共图书馆、文化馆（站）免费开放补助资金。</w:t>
      </w:r>
    </w:p>
    <w:p w14:paraId="4BC7BD79">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4.社会保障和就业支出(类)行政事业单位养老支出(款)事业单位离退休(项):支出决算数为6.62万元，比上年决算增加5.33万元，增长413.18%,主要原因是：本年增加退休人员基础绩效奖，退休费支出增加。</w:t>
      </w:r>
    </w:p>
    <w:p w14:paraId="3A205A1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36.16万元，比上年决算增加2.48万元，增长7.36%,主要原因是：本年在职人员工资基数调增，养老缴费基数上涨，相应支出增加。</w:t>
      </w:r>
    </w:p>
    <w:p w14:paraId="18139D8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9.34万元，下降100.00%,主要原因是：本年功能科目调整，机关事业单位职业年金缴费上年度单独列支，本年调整至事业运行科目列支，导致经费较上年减少。</w:t>
      </w:r>
    </w:p>
    <w:p w14:paraId="198B4B9B">
      <w:pPr>
        <w:spacing w:line="580" w:lineRule="exact"/>
        <w:ind w:firstLine="640"/>
        <w:jc w:val="both"/>
      </w:pPr>
      <w:r>
        <w:rPr>
          <w:rFonts w:ascii="仿宋_GB2312" w:hAnsi="仿宋_GB2312" w:eastAsia="仿宋_GB2312"/>
          <w:b w:val="0"/>
          <w:sz w:val="32"/>
        </w:rPr>
        <w:t>7.社会保障和就业支出(类)就业补助(款)其他就业补助支出(项):支出决算数为0.00万元，比上年决算减少2.00万元，下降100.00%,主要原因是：本年未安排就业活动经费。</w:t>
      </w:r>
    </w:p>
    <w:p w14:paraId="69F6269D">
      <w:pPr>
        <w:spacing w:line="580" w:lineRule="exact"/>
        <w:ind w:firstLine="640"/>
        <w:jc w:val="both"/>
      </w:pPr>
      <w:r>
        <w:rPr>
          <w:rFonts w:ascii="仿宋_GB2312" w:hAnsi="仿宋_GB2312" w:eastAsia="仿宋_GB2312"/>
          <w:b w:val="0"/>
          <w:sz w:val="32"/>
        </w:rPr>
        <w:t>8.社会保障和就业支出(类)抚恤(款)死亡抚恤(项):支出决算数为6.76万元，比上年决算减少5.44万元，下降44.59%,主要原因是：本年新增死亡人员较上年减少，死亡抚恤支出较上年减少。</w:t>
      </w:r>
    </w:p>
    <w:p w14:paraId="1BAC1626">
      <w:pPr>
        <w:spacing w:line="580" w:lineRule="exact"/>
        <w:ind w:firstLine="640"/>
        <w:jc w:val="both"/>
      </w:pPr>
      <w:r>
        <w:rPr>
          <w:rFonts w:ascii="仿宋_GB2312" w:hAnsi="仿宋_GB2312" w:eastAsia="仿宋_GB2312"/>
          <w:b w:val="0"/>
          <w:sz w:val="32"/>
        </w:rPr>
        <w:t>9.社会保障和就业支出(类)临时救助(款)临时救助支出(项):支出决算数为0.00万元，比上年决算减少15.00万元，下降100.00%,主要原因是：本年民政困难群众减少，临时救助支出减少。</w:t>
      </w:r>
    </w:p>
    <w:p w14:paraId="2B065C28">
      <w:pPr>
        <w:spacing w:line="580" w:lineRule="exact"/>
        <w:ind w:firstLine="640"/>
        <w:jc w:val="both"/>
      </w:pPr>
      <w:r>
        <w:rPr>
          <w:rFonts w:ascii="仿宋_GB2312" w:hAnsi="仿宋_GB2312" w:eastAsia="仿宋_GB2312"/>
          <w:b w:val="0"/>
          <w:sz w:val="32"/>
        </w:rPr>
        <w:t>10.卫生健康支出(类)行政事业单位医疗(款)事业单位医疗(项):支出决算数为18.03万元，比上年决算减少3.91万元，下降17.82%,主要原因是：因退休人员医疗保险制度改革，退休人员基本医疗不再由单位缴纳，导致经费较上年减少。</w:t>
      </w:r>
    </w:p>
    <w:p w14:paraId="40A02E97">
      <w:pPr>
        <w:spacing w:line="580" w:lineRule="exact"/>
        <w:ind w:firstLine="640"/>
        <w:jc w:val="both"/>
      </w:pPr>
      <w:r>
        <w:rPr>
          <w:rFonts w:ascii="仿宋_GB2312" w:hAnsi="仿宋_GB2312" w:eastAsia="仿宋_GB2312"/>
          <w:b w:val="0"/>
          <w:sz w:val="32"/>
        </w:rPr>
        <w:t>11.农林水支出(类)农业农村(款)事业运行(项):支出决算数为309.24万元，比上年决算减少1.63万元，下降0.52%,主要原因是：本年事业单位人员</w:t>
      </w:r>
      <w:r>
        <w:rPr>
          <w:rFonts w:hint="eastAsia" w:ascii="仿宋_GB2312" w:hAnsi="仿宋_GB2312" w:eastAsia="仿宋_GB2312"/>
          <w:b w:val="0"/>
          <w:sz w:val="32"/>
          <w:lang w:val="en-US" w:eastAsia="zh-CN"/>
        </w:rPr>
        <w:t>变动</w:t>
      </w:r>
      <w:r>
        <w:rPr>
          <w:rFonts w:ascii="仿宋_GB2312" w:hAnsi="仿宋_GB2312" w:eastAsia="仿宋_GB2312"/>
          <w:b w:val="0"/>
          <w:sz w:val="32"/>
        </w:rPr>
        <w:t>，工资、津补贴及奖励金、运行经费减少。</w:t>
      </w:r>
    </w:p>
    <w:p w14:paraId="01E0F12F">
      <w:pPr>
        <w:spacing w:line="580" w:lineRule="exact"/>
        <w:ind w:firstLine="640"/>
        <w:jc w:val="both"/>
      </w:pPr>
      <w:r>
        <w:rPr>
          <w:rFonts w:ascii="仿宋_GB2312" w:hAnsi="仿宋_GB2312" w:eastAsia="仿宋_GB2312"/>
          <w:b w:val="0"/>
          <w:sz w:val="32"/>
        </w:rPr>
        <w:t>12.农林水支出(类)农业农村(款)其他农业农村支出(项):支出决算数为35.67万元，比上年决算增加19.18万元，增长116.31%,主要原因是：本年增加村干部人员生活补助。</w:t>
      </w:r>
    </w:p>
    <w:p w14:paraId="0BB1E21F">
      <w:pPr>
        <w:spacing w:line="580" w:lineRule="exact"/>
        <w:ind w:firstLine="640"/>
        <w:jc w:val="both"/>
      </w:pPr>
      <w:r>
        <w:rPr>
          <w:rFonts w:ascii="仿宋_GB2312" w:hAnsi="仿宋_GB2312" w:eastAsia="仿宋_GB2312"/>
          <w:b w:val="0"/>
          <w:sz w:val="32"/>
        </w:rPr>
        <w:t>13.农林水支出(类)农村综合改革(款)对村级公益事业建设的补助(项):支出决算数为0.00万元，比上年决算减少30.00万元，下降100.00%,主要原因是：本年减少农业综合改革转移支付项目。</w:t>
      </w:r>
    </w:p>
    <w:p w14:paraId="289447F4">
      <w:pPr>
        <w:spacing w:line="580" w:lineRule="exact"/>
        <w:ind w:firstLine="640"/>
        <w:jc w:val="both"/>
      </w:pPr>
      <w:r>
        <w:rPr>
          <w:rFonts w:ascii="仿宋_GB2312" w:hAnsi="仿宋_GB2312" w:eastAsia="仿宋_GB2312"/>
          <w:b w:val="0"/>
          <w:sz w:val="32"/>
        </w:rPr>
        <w:t>14.农林水支出(类)其他农林水支出(款)其他农林水支出(项):支出决算数为167.21万元，比上年决算增加152.30万元，增长1,021.46%,主要原因是：本年度增加村干部工资福利支出。</w:t>
      </w:r>
    </w:p>
    <w:p w14:paraId="1DF1891C">
      <w:pPr>
        <w:spacing w:line="580" w:lineRule="exact"/>
        <w:ind w:firstLine="640"/>
        <w:jc w:val="both"/>
      </w:pPr>
      <w:r>
        <w:rPr>
          <w:rFonts w:ascii="仿宋_GB2312" w:hAnsi="仿宋_GB2312" w:eastAsia="仿宋_GB2312"/>
          <w:b w:val="0"/>
          <w:sz w:val="32"/>
        </w:rPr>
        <w:t>15.住房保障支出(类)住房改革支出(款)住房公积金(项):支出决算数为29.37万元，比上年决算增加0.93万元，增长3.27%,主要原因是：本年在职人员工资基数调增，公积金缴费基数上涨，相应支出增加。</w:t>
      </w:r>
    </w:p>
    <w:p w14:paraId="3DD7ECF0">
      <w:pPr>
        <w:spacing w:line="640" w:lineRule="exact"/>
        <w:ind w:firstLine="640"/>
        <w:jc w:val="both"/>
        <w:outlineLvl w:val="2"/>
      </w:pPr>
      <w:r>
        <w:rPr>
          <w:rFonts w:ascii="黑体" w:hAnsi="黑体" w:eastAsia="黑体"/>
          <w:sz w:val="32"/>
        </w:rPr>
        <w:t>六、一般公共预算财政拨款基本支出决算情况说明</w:t>
      </w:r>
    </w:p>
    <w:p w14:paraId="199E3DD8">
      <w:pPr>
        <w:spacing w:line="580" w:lineRule="exact"/>
        <w:ind w:firstLine="640"/>
        <w:jc w:val="both"/>
      </w:pPr>
      <w:r>
        <w:rPr>
          <w:rFonts w:ascii="仿宋_GB2312" w:hAnsi="仿宋_GB2312" w:eastAsia="仿宋_GB2312"/>
          <w:b w:val="0"/>
          <w:sz w:val="32"/>
        </w:rPr>
        <w:t>2024年度一般公共预算财政拨款基本支出647.06万元，其中：</w:t>
      </w:r>
      <w:r>
        <w:rPr>
          <w:rFonts w:ascii="仿宋_GB2312" w:hAnsi="仿宋_GB2312" w:eastAsia="仿宋_GB2312"/>
          <w:b/>
          <w:sz w:val="32"/>
        </w:rPr>
        <w:t>人员经费613.84万元，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医疗费、其他工资福利支出、退休费、抚恤金、生活补助、医疗费补助。</w:t>
      </w:r>
    </w:p>
    <w:p w14:paraId="20FF95C1">
      <w:pPr>
        <w:spacing w:line="580" w:lineRule="exact"/>
        <w:ind w:firstLine="640"/>
        <w:jc w:val="both"/>
      </w:pPr>
      <w:r>
        <w:rPr>
          <w:rFonts w:ascii="仿宋_GB2312" w:hAnsi="仿宋_GB2312" w:eastAsia="仿宋_GB2312"/>
          <w:b/>
          <w:sz w:val="32"/>
        </w:rPr>
        <w:t>公用经费33.22万元，</w:t>
      </w:r>
      <w:r>
        <w:rPr>
          <w:rFonts w:ascii="仿宋_GB2312" w:hAnsi="仿宋_GB2312" w:eastAsia="仿宋_GB2312"/>
          <w:b w:val="0"/>
          <w:sz w:val="32"/>
        </w:rPr>
        <w:t>包括：办公费、电费、取暖费、维修（护）费、专用燃料费、工会经费、福利费、公务用车运行维护费、其他商品和服务支出。</w:t>
      </w:r>
    </w:p>
    <w:p w14:paraId="5814E963">
      <w:pPr>
        <w:spacing w:line="640" w:lineRule="exact"/>
        <w:ind w:firstLine="640"/>
        <w:jc w:val="both"/>
        <w:outlineLvl w:val="2"/>
      </w:pPr>
      <w:r>
        <w:rPr>
          <w:rFonts w:ascii="黑体" w:hAnsi="黑体" w:eastAsia="黑体"/>
          <w:sz w:val="32"/>
        </w:rPr>
        <w:t>七、政府性基金预算财政拨款收入支出决算情况说明</w:t>
      </w:r>
    </w:p>
    <w:p w14:paraId="0FDAA32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9B464C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减少130.00万元，下降100.00%，主要原因是：本年减少良繁中心乡镇干部周转宿舍建设项目、良繁中心2023年中央农村综合改革转移支付项目。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年初预算数0.00万元，决算数0.00万元，预决算差异率0.00%，主要原因是：本年未安排政府性基金经费。</w:t>
      </w:r>
    </w:p>
    <w:p w14:paraId="0871185C">
      <w:pPr>
        <w:spacing w:line="580" w:lineRule="exact"/>
        <w:ind w:firstLine="640"/>
        <w:jc w:val="both"/>
      </w:pPr>
      <w:r>
        <w:rPr>
          <w:rFonts w:ascii="仿宋_GB2312" w:hAnsi="仿宋_GB2312" w:eastAsia="仿宋_GB2312"/>
          <w:b w:val="0"/>
          <w:sz w:val="32"/>
        </w:rPr>
        <w:t>政府性基金预算财政拨款支出0.00万元。</w:t>
      </w:r>
    </w:p>
    <w:p w14:paraId="35A9DF7B">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0.00万元，比上年决算减少130.00万元，下降100.00%,主要原因是：本年减少良繁中心乡镇干部周转宿舍建设项目、良繁中心2023年中央农村综合改革转移支付项目。</w:t>
      </w:r>
    </w:p>
    <w:p w14:paraId="44238F70">
      <w:pPr>
        <w:spacing w:line="640" w:lineRule="exact"/>
        <w:ind w:firstLine="640"/>
        <w:jc w:val="both"/>
        <w:outlineLvl w:val="2"/>
      </w:pPr>
      <w:r>
        <w:rPr>
          <w:rFonts w:ascii="黑体" w:hAnsi="黑体" w:eastAsia="黑体"/>
          <w:sz w:val="32"/>
        </w:rPr>
        <w:t>八、国有资本经营预算财政拨款收入支出决算情况说明</w:t>
      </w:r>
    </w:p>
    <w:p w14:paraId="73236A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FB3774">
      <w:pPr>
        <w:spacing w:line="640" w:lineRule="exact"/>
        <w:ind w:firstLine="640"/>
        <w:jc w:val="both"/>
        <w:outlineLvl w:val="2"/>
      </w:pPr>
      <w:r>
        <w:rPr>
          <w:rFonts w:ascii="黑体" w:hAnsi="黑体" w:eastAsia="黑体"/>
          <w:sz w:val="32"/>
        </w:rPr>
        <w:t>九、财政拨款“三公”经费支出决算情况说明</w:t>
      </w:r>
    </w:p>
    <w:p w14:paraId="2FD819D0">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1.80万元，增长900.00%，主要原因是：（1）本单位公务用车日渐老化，维修维护成本增加，导致公务用车运行维护费较上年增加。（2）本年支付以前年度公务用车维修费和保险费。其中：因公出国（境）费支出0.00万元，占0.00%，比上年增加0.00万元，增长0.00%，主要原因是：2023年与2024年均未安排因公出国（境）费支出。公务用车购置及运行维护费支出2.00万元，占100.00%，比上年增加1.80万元，增长900.00%，主要原因是：（1）本单位公务用车日渐老化，维修维护成本增加，导致公务用车运行维护费较上年增加。（2）本年支付以前年度公务用车维修费和保险费。公务接待费支出0.00万元，占0.00%，比上年增加0.00万元，增长0.00%，主要原因是：2023年与2024年均未安排公务接待费支出。</w:t>
      </w:r>
    </w:p>
    <w:p w14:paraId="073CE1C4">
      <w:pPr>
        <w:spacing w:line="580" w:lineRule="exact"/>
        <w:ind w:firstLine="640"/>
        <w:jc w:val="both"/>
      </w:pPr>
      <w:r>
        <w:rPr>
          <w:rFonts w:ascii="仿宋_GB2312" w:hAnsi="仿宋_GB2312" w:eastAsia="仿宋_GB2312"/>
          <w:b/>
          <w:sz w:val="32"/>
        </w:rPr>
        <w:t>具体情况如下：</w:t>
      </w:r>
    </w:p>
    <w:p w14:paraId="1AD161C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952844">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3辆，与公务用车保有量差异原因是：固定资产中2辆为垃圾车和抽粪车，预算未安排公务用车运行维护费。</w:t>
      </w:r>
    </w:p>
    <w:p w14:paraId="3329C0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779A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3D0B996B">
      <w:pPr>
        <w:spacing w:line="640" w:lineRule="exact"/>
        <w:ind w:firstLine="640"/>
        <w:jc w:val="both"/>
        <w:outlineLvl w:val="2"/>
      </w:pPr>
      <w:r>
        <w:rPr>
          <w:rFonts w:ascii="黑体" w:hAnsi="黑体" w:eastAsia="黑体"/>
          <w:sz w:val="32"/>
        </w:rPr>
        <w:t>十、其他重要事项的情况说明</w:t>
      </w:r>
    </w:p>
    <w:p w14:paraId="5558E8A2">
      <w:pPr>
        <w:spacing w:line="640" w:lineRule="exact"/>
        <w:ind w:firstLine="640"/>
        <w:jc w:val="both"/>
        <w:outlineLvl w:val="3"/>
      </w:pPr>
      <w:r>
        <w:rPr>
          <w:rFonts w:ascii="楷体_GB2312" w:hAnsi="楷体_GB2312" w:eastAsia="楷体_GB2312"/>
          <w:b/>
          <w:sz w:val="32"/>
        </w:rPr>
        <w:t>（一）机关运行经费及公用经费支出情况</w:t>
      </w:r>
    </w:p>
    <w:p w14:paraId="6B84934B">
      <w:pPr>
        <w:spacing w:line="580" w:lineRule="exact"/>
        <w:ind w:firstLine="640"/>
        <w:jc w:val="both"/>
      </w:pPr>
      <w:r>
        <w:rPr>
          <w:rFonts w:ascii="仿宋_GB2312" w:hAnsi="仿宋_GB2312" w:eastAsia="仿宋_GB2312"/>
          <w:b w:val="0"/>
          <w:sz w:val="32"/>
        </w:rPr>
        <w:t>2024年度霍城县良繁中心（事业单位）公用经费支出33.22万元，比上年减少2.08万元，下降5.89%，主要原因是：严控经费支出，厉行节约，减少经费支出。</w:t>
      </w:r>
    </w:p>
    <w:p w14:paraId="048B172D">
      <w:pPr>
        <w:spacing w:line="640" w:lineRule="exact"/>
        <w:ind w:firstLine="640"/>
        <w:jc w:val="both"/>
        <w:outlineLvl w:val="3"/>
      </w:pPr>
      <w:r>
        <w:rPr>
          <w:rFonts w:ascii="楷体_GB2312" w:hAnsi="楷体_GB2312" w:eastAsia="楷体_GB2312"/>
          <w:b/>
          <w:sz w:val="32"/>
        </w:rPr>
        <w:t>（二）政府采购情况</w:t>
      </w:r>
    </w:p>
    <w:p w14:paraId="098CF75E">
      <w:pPr>
        <w:spacing w:line="580" w:lineRule="exact"/>
        <w:ind w:firstLine="640"/>
        <w:jc w:val="both"/>
      </w:pPr>
      <w:r>
        <w:rPr>
          <w:rFonts w:ascii="仿宋_GB2312" w:hAnsi="仿宋_GB2312" w:eastAsia="仿宋_GB2312"/>
          <w:b w:val="0"/>
          <w:sz w:val="32"/>
        </w:rPr>
        <w:t>2024年度政府采购支出总额0.48万元，其中：政府采购货物支出0.48万元、政府采购工程支出0.00万元、政府采购服务支出0.00万元。</w:t>
      </w:r>
    </w:p>
    <w:p w14:paraId="41A578D7">
      <w:pPr>
        <w:spacing w:line="580" w:lineRule="exact"/>
        <w:ind w:firstLine="640"/>
        <w:jc w:val="both"/>
      </w:pPr>
      <w:r>
        <w:rPr>
          <w:rFonts w:ascii="仿宋_GB2312" w:hAnsi="仿宋_GB2312" w:eastAsia="仿宋_GB2312"/>
          <w:b w:val="0"/>
          <w:sz w:val="32"/>
        </w:rPr>
        <w:t>授予中小企业合同金额0.48万元，占政府采购支出总额的100.00%，其中：授予小微企业合同金额0.48万元，占政府采购支出总额的100.00%。</w:t>
      </w:r>
    </w:p>
    <w:p w14:paraId="0D62CE30">
      <w:pPr>
        <w:spacing w:line="640" w:lineRule="exact"/>
        <w:ind w:firstLine="640"/>
        <w:jc w:val="both"/>
        <w:outlineLvl w:val="3"/>
      </w:pPr>
      <w:r>
        <w:rPr>
          <w:rFonts w:ascii="楷体_GB2312" w:hAnsi="楷体_GB2312" w:eastAsia="楷体_GB2312"/>
          <w:b/>
          <w:sz w:val="32"/>
        </w:rPr>
        <w:t>（三）国有资产占用情况说明</w:t>
      </w:r>
    </w:p>
    <w:p w14:paraId="5638A40C">
      <w:pPr>
        <w:spacing w:line="580" w:lineRule="exact"/>
        <w:ind w:firstLine="640"/>
        <w:jc w:val="both"/>
      </w:pPr>
      <w:r>
        <w:rPr>
          <w:rFonts w:ascii="仿宋_GB2312" w:hAnsi="仿宋_GB2312" w:eastAsia="仿宋_GB2312"/>
          <w:b w:val="0"/>
          <w:sz w:val="32"/>
        </w:rPr>
        <w:t>截至2024年12月31日，房屋5,184.00平方米，价值442.55万元。车辆3辆，价值30.58万元，其中：副部（省）级及以上领导用车0辆、主要负责人用车0辆、机要通信用车0辆、应急保障用车0辆、执法执勤用车0辆、特种专业技术用车0辆、离退休干部服务用车0辆、其他用车3辆，其他用车主要是：垃圾车和抽粪车。单价100万元（含）以上设备（不含车辆）0台（套）。</w:t>
      </w:r>
    </w:p>
    <w:p w14:paraId="72DFF446">
      <w:pPr>
        <w:spacing w:line="640" w:lineRule="exact"/>
        <w:ind w:firstLine="640"/>
        <w:jc w:val="both"/>
        <w:outlineLvl w:val="2"/>
      </w:pPr>
      <w:r>
        <w:rPr>
          <w:rFonts w:ascii="黑体" w:hAnsi="黑体" w:eastAsia="黑体"/>
          <w:sz w:val="32"/>
        </w:rPr>
        <w:t>十一、预算绩效的情况说明</w:t>
      </w:r>
    </w:p>
    <w:p w14:paraId="4C8FED3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652.82万元，实际执行总额652.82万元；预算绩效评价项目0个，全年预算数0.00万元，全年执行数0.00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w:t>
      </w:r>
      <w:r>
        <w:rPr>
          <w:rFonts w:hint="eastAsia" w:ascii="仿宋_GB2312" w:hAnsi="仿宋_GB2312" w:eastAsia="仿宋_GB2312"/>
          <w:b w:val="0"/>
          <w:sz w:val="32"/>
          <w:lang w:eastAsia="zh-CN"/>
        </w:rPr>
        <w:t>本单位</w:t>
      </w:r>
      <w:r>
        <w:rPr>
          <w:rFonts w:ascii="仿宋_GB2312" w:hAnsi="仿宋_GB2312" w:eastAsia="仿宋_GB2312"/>
          <w:b w:val="0"/>
          <w:sz w:val="32"/>
        </w:rPr>
        <w:t>抽查发现，各村中固定资产账务管理存在入账不及时，漏入、入账信息、金额不准确或资产台账未登记到具体使用人等情况。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具体附整体支出绩效自评表。</w:t>
      </w:r>
    </w:p>
    <w:p w14:paraId="2FE0D71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479B136">
        <w:tblPrEx>
          <w:tblCellMar>
            <w:top w:w="0" w:type="dxa"/>
            <w:left w:w="108" w:type="dxa"/>
            <w:bottom w:w="0" w:type="dxa"/>
            <w:right w:w="108" w:type="dxa"/>
          </w:tblCellMar>
        </w:tblPrEx>
        <w:tc>
          <w:tcPr>
            <w:tcW w:w="8840" w:type="dxa"/>
            <w:gridSpan w:val="8"/>
            <w:vAlign w:val="center"/>
          </w:tcPr>
          <w:p w14:paraId="456DD4F5">
            <w:pPr>
              <w:jc w:val="center"/>
            </w:pPr>
            <w:r>
              <w:rPr>
                <w:rFonts w:ascii="宋体" w:hAnsi="宋体" w:eastAsia="宋体"/>
                <w:sz w:val="24"/>
              </w:rPr>
              <w:t>单位整体支出绩效自评表</w:t>
            </w:r>
          </w:p>
        </w:tc>
      </w:tr>
      <w:tr w14:paraId="7A7E5C38">
        <w:tblPrEx>
          <w:tblCellMar>
            <w:top w:w="0" w:type="dxa"/>
            <w:left w:w="108" w:type="dxa"/>
            <w:bottom w:w="0" w:type="dxa"/>
            <w:right w:w="108" w:type="dxa"/>
          </w:tblCellMar>
        </w:tblPrEx>
        <w:tc>
          <w:tcPr>
            <w:tcW w:w="8840" w:type="dxa"/>
            <w:gridSpan w:val="8"/>
            <w:vAlign w:val="center"/>
          </w:tcPr>
          <w:p w14:paraId="05C48C0B">
            <w:pPr>
              <w:jc w:val="center"/>
            </w:pPr>
            <w:r>
              <w:rPr>
                <w:rFonts w:ascii="宋体" w:hAnsi="宋体" w:eastAsia="宋体"/>
                <w:sz w:val="24"/>
              </w:rPr>
              <w:t>（2024年度）</w:t>
            </w:r>
          </w:p>
        </w:tc>
      </w:tr>
      <w:tr w14:paraId="4F4A4B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D4F4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1B2FA">
            <w:pPr>
              <w:jc w:val="center"/>
            </w:pPr>
            <w:r>
              <w:rPr>
                <w:rFonts w:ascii="宋体" w:hAnsi="宋体" w:eastAsia="宋体"/>
                <w:sz w:val="16"/>
              </w:rPr>
              <w:t>霍城县良繁中心</w:t>
            </w:r>
          </w:p>
        </w:tc>
      </w:tr>
      <w:tr w14:paraId="25427ED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2E46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940E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5D70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0246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8BFF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4172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BF2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C7A06">
            <w:pPr>
              <w:jc w:val="center"/>
            </w:pPr>
            <w:r>
              <w:rPr>
                <w:rFonts w:ascii="宋体" w:hAnsi="宋体" w:eastAsia="宋体"/>
                <w:sz w:val="16"/>
              </w:rPr>
              <w:t>得分</w:t>
            </w:r>
          </w:p>
        </w:tc>
      </w:tr>
      <w:tr w14:paraId="5C7D63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0676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5D7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387E9">
            <w:pPr>
              <w:jc w:val="center"/>
            </w:pPr>
            <w:r>
              <w:rPr>
                <w:rFonts w:ascii="宋体" w:hAnsi="宋体" w:eastAsia="宋体"/>
                <w:sz w:val="16"/>
              </w:rPr>
              <w:t>388.83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A8CB5">
            <w:pPr>
              <w:jc w:val="center"/>
            </w:pPr>
            <w:r>
              <w:rPr>
                <w:rFonts w:ascii="宋体" w:hAnsi="宋体" w:eastAsia="宋体"/>
                <w:sz w:val="16"/>
              </w:rPr>
              <w:t>652.82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E70AA">
            <w:pPr>
              <w:jc w:val="center"/>
            </w:pPr>
            <w:r>
              <w:rPr>
                <w:rFonts w:ascii="宋体" w:hAnsi="宋体" w:eastAsia="宋体"/>
                <w:sz w:val="16"/>
              </w:rPr>
              <w:t>652.82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83C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DCBF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294C7">
            <w:pPr>
              <w:jc w:val="center"/>
            </w:pPr>
            <w:r>
              <w:rPr>
                <w:rFonts w:ascii="宋体" w:hAnsi="宋体" w:eastAsia="宋体"/>
                <w:sz w:val="16"/>
              </w:rPr>
              <w:t>10</w:t>
            </w:r>
          </w:p>
        </w:tc>
      </w:tr>
      <w:tr w14:paraId="210387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55AE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0C94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925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85A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EEDE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A6C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B04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FC21F">
            <w:pPr>
              <w:jc w:val="center"/>
            </w:pPr>
            <w:r>
              <w:rPr>
                <w:rFonts w:ascii="宋体" w:hAnsi="宋体" w:eastAsia="宋体"/>
                <w:sz w:val="16"/>
              </w:rPr>
              <w:t>-</w:t>
            </w:r>
          </w:p>
        </w:tc>
      </w:tr>
      <w:tr w14:paraId="2578CD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36C5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F2C8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8FD40">
            <w:pPr>
              <w:jc w:val="center"/>
            </w:pPr>
            <w:r>
              <w:rPr>
                <w:rFonts w:ascii="宋体" w:hAnsi="宋体" w:eastAsia="宋体"/>
                <w:sz w:val="16"/>
              </w:rPr>
              <w:t>388.83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0F0E6">
            <w:pPr>
              <w:jc w:val="center"/>
            </w:pPr>
            <w:r>
              <w:rPr>
                <w:rFonts w:ascii="宋体" w:hAnsi="宋体" w:eastAsia="宋体"/>
                <w:sz w:val="16"/>
              </w:rPr>
              <w:t>652.82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0B3B6">
            <w:pPr>
              <w:jc w:val="center"/>
            </w:pPr>
            <w:r>
              <w:rPr>
                <w:rFonts w:ascii="宋体" w:hAnsi="宋体" w:eastAsia="宋体"/>
                <w:sz w:val="16"/>
              </w:rPr>
              <w:t>652.82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ED5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65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4F952">
            <w:pPr>
              <w:jc w:val="center"/>
            </w:pPr>
            <w:r>
              <w:rPr>
                <w:rFonts w:ascii="宋体" w:hAnsi="宋体" w:eastAsia="宋体"/>
                <w:sz w:val="16"/>
              </w:rPr>
              <w:t>-</w:t>
            </w:r>
          </w:p>
        </w:tc>
      </w:tr>
      <w:tr w14:paraId="44C938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9374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5E1A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9DD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7ECE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20D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788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4E2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EFE7E">
            <w:pPr>
              <w:jc w:val="center"/>
            </w:pPr>
            <w:r>
              <w:rPr>
                <w:rFonts w:ascii="宋体" w:hAnsi="宋体" w:eastAsia="宋体"/>
                <w:sz w:val="16"/>
              </w:rPr>
              <w:t>-</w:t>
            </w:r>
          </w:p>
        </w:tc>
      </w:tr>
      <w:tr w14:paraId="190FFF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CA29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9A3E8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3D7DDD">
            <w:pPr>
              <w:jc w:val="center"/>
            </w:pPr>
            <w:r>
              <w:rPr>
                <w:rFonts w:ascii="宋体" w:hAnsi="宋体" w:eastAsia="宋体"/>
                <w:sz w:val="16"/>
              </w:rPr>
              <w:t>实际完成情况</w:t>
            </w:r>
          </w:p>
        </w:tc>
      </w:tr>
      <w:tr w14:paraId="5D07DF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7DC56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D5BAA5">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 xml:space="preserve">坚持以习近平新时代中国特色社会主义思想为指导，全面贯彻落实党的二十大精神，深入学习贯彻习近平总书记视察新疆重要讲话重要指示精神，认真落实自治区、自治州、县委各项工作部署，坚持稳字当头、稳中求进工作总基调，攻重点、打硬仗、求突破，确保经济实现持续好转、风险得到有效管控、社会大局保持稳定，坚定不移加快幸福良繁建设步伐。全年预期总目标是：地区生产总值同比增长8%，固定资产投资增长20%，社会消费品零售总额增长13%，农村居民人均可支配收入分别增长12%。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实现上述目标，是全中心各族群众的共同期盼，更是各级党组织和广大党员干部的使命担当，我们必须始终保持奋发向上的精神状态和一往无前的奋斗姿态，抢抓机遇、争先创优，以更加严深细实的工作作风，努力在新的起点上推动良繁中心改革发展稳定各项事业取得新进展、再上新台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E7345C">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围绕经济发展，民生改善，环境治理等重点工作，扎实推进各项任务，年度绩效目标基本完成。其中土地流转达8930亩，土地流转率达到95.6%，亩均达1600元，增加了群众的收入，拍摄以“铸牢中华民族共同体意识”为主题的各类宣传微视频23部；组织群众参观伊犁将军府等爱国主义教育基地、民族团结教育实践基地7场次，开展各类宣传教育50余场次，组织参加县级现场</w:t>
            </w:r>
            <w:bookmarkStart w:id="0" w:name="_GoBack"/>
            <w:r>
              <w:rPr>
                <w:rFonts w:ascii="宋体" w:hAnsi="宋体" w:eastAsia="宋体"/>
                <w:sz w:val="16"/>
              </w:rPr>
              <w:t>招聘</w:t>
            </w:r>
            <w:bookmarkEnd w:id="0"/>
            <w:r>
              <w:rPr>
                <w:rFonts w:ascii="宋体" w:hAnsi="宋体" w:eastAsia="宋体"/>
                <w:sz w:val="16"/>
              </w:rPr>
              <w:t>会7场次、举办中心专场招聘会6次，完成劳动力转移就业1530人，完成全年总目标的102%，完成城镇新增就业人员102人，完成全年目标任务的102%，完成就业困难人员10人，完成全年目标任务的100%，组织网格员、包联干部、党员中心户等各支力量对院落布局、房屋结构、庭院种养殖等摸底评估，对评估在90分以下的355个院落进行改造提升，拆除残垣断壁、私搭乱建6处，治理脏乱路面69处，清除房前屋后杂草350余处，粉刷庭院破旧大门200个。保持了经济持续健康发展和社会大局和谐稳定，全中心呈现出经济发展稳中向好、民生持续改善、社会安定和谐的良好局面。</w:t>
            </w:r>
          </w:p>
        </w:tc>
      </w:tr>
      <w:tr w14:paraId="2AB178B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600A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78C1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DF55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2406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1526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C7DE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9D66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498E9">
            <w:pPr>
              <w:jc w:val="center"/>
            </w:pPr>
            <w:r>
              <w:rPr>
                <w:rFonts w:ascii="宋体" w:hAnsi="宋体" w:eastAsia="宋体"/>
                <w:sz w:val="16"/>
              </w:rPr>
              <w:t>得分</w:t>
            </w:r>
          </w:p>
        </w:tc>
      </w:tr>
      <w:tr w14:paraId="265A7F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1A46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3CCE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A03B3">
            <w:pPr>
              <w:jc w:val="center"/>
            </w:pPr>
            <w:r>
              <w:rPr>
                <w:rFonts w:ascii="宋体" w:hAnsi="宋体" w:eastAsia="宋体"/>
                <w:sz w:val="16"/>
              </w:rPr>
              <w:t>计划土地流转率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8B66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CA8F5">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0AA7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B20EE">
            <w:pPr>
              <w:jc w:val="center"/>
            </w:pPr>
            <w:r>
              <w:rPr>
                <w:rFonts w:ascii="宋体" w:hAnsi="宋体" w:eastAsia="宋体"/>
                <w:sz w:val="16"/>
              </w:rPr>
              <w:t>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95E08">
            <w:pPr>
              <w:jc w:val="center"/>
            </w:pPr>
            <w:r>
              <w:rPr>
                <w:rFonts w:ascii="宋体" w:hAnsi="宋体" w:eastAsia="宋体"/>
                <w:sz w:val="16"/>
              </w:rPr>
              <w:t>20</w:t>
            </w:r>
          </w:p>
        </w:tc>
      </w:tr>
      <w:tr w14:paraId="1E885E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B8BD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B075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B6CD3">
            <w:pPr>
              <w:jc w:val="center"/>
            </w:pPr>
            <w:r>
              <w:rPr>
                <w:rFonts w:ascii="宋体" w:hAnsi="宋体" w:eastAsia="宋体"/>
                <w:sz w:val="16"/>
              </w:rPr>
              <w:t>组织各类文体活动次数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0B38B">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F0437">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F56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5AE92">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F22C9">
            <w:pPr>
              <w:jc w:val="center"/>
            </w:pPr>
            <w:r>
              <w:rPr>
                <w:rFonts w:ascii="宋体" w:hAnsi="宋体" w:eastAsia="宋体"/>
                <w:sz w:val="16"/>
              </w:rPr>
              <w:t>10</w:t>
            </w:r>
          </w:p>
        </w:tc>
      </w:tr>
      <w:tr w14:paraId="4AF091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9DEA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B184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7801D">
            <w:pPr>
              <w:jc w:val="center"/>
            </w:pPr>
            <w:r>
              <w:rPr>
                <w:rFonts w:ascii="宋体" w:hAnsi="宋体" w:eastAsia="宋体"/>
                <w:sz w:val="16"/>
              </w:rPr>
              <w:t>安装路灯维修和蝴蝶结灯数量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25AA5">
            <w:pPr>
              <w:jc w:val="center"/>
            </w:pPr>
            <w:r>
              <w:rPr>
                <w:rFonts w:ascii="宋体" w:hAnsi="宋体" w:eastAsia="宋体"/>
                <w:sz w:val="16"/>
              </w:rPr>
              <w:t>&gt;=30盏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77FB1">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82FC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12925">
            <w:pPr>
              <w:jc w:val="center"/>
            </w:pPr>
            <w:r>
              <w:rPr>
                <w:rFonts w:ascii="宋体" w:hAnsi="宋体" w:eastAsia="宋体"/>
                <w:sz w:val="16"/>
              </w:rPr>
              <w:t>40盏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F5443">
            <w:pPr>
              <w:jc w:val="center"/>
            </w:pPr>
            <w:r>
              <w:rPr>
                <w:rFonts w:ascii="宋体" w:hAnsi="宋体" w:eastAsia="宋体"/>
                <w:sz w:val="16"/>
              </w:rPr>
              <w:t>15</w:t>
            </w:r>
          </w:p>
        </w:tc>
      </w:tr>
      <w:tr w14:paraId="0960A3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319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59DE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420DD">
            <w:pPr>
              <w:jc w:val="center"/>
            </w:pPr>
            <w:r>
              <w:rPr>
                <w:rFonts w:ascii="宋体" w:hAnsi="宋体" w:eastAsia="宋体"/>
                <w:sz w:val="16"/>
              </w:rPr>
              <w:t>劳动力就业转移人数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913F4">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FCD4A">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A7F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62183">
            <w:pPr>
              <w:jc w:val="center"/>
            </w:pPr>
            <w:r>
              <w:rPr>
                <w:rFonts w:ascii="宋体" w:hAnsi="宋体" w:eastAsia="宋体"/>
                <w:sz w:val="16"/>
              </w:rPr>
              <w:t>1530人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74C2E">
            <w:pPr>
              <w:jc w:val="center"/>
            </w:pPr>
            <w:r>
              <w:rPr>
                <w:rFonts w:ascii="宋体" w:hAnsi="宋体" w:eastAsia="宋体"/>
                <w:sz w:val="16"/>
              </w:rPr>
              <w:t>15</w:t>
            </w:r>
          </w:p>
        </w:tc>
      </w:tr>
      <w:tr w14:paraId="29E3EF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42E26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92AC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471C6">
            <w:pPr>
              <w:jc w:val="center"/>
            </w:pPr>
            <w:r>
              <w:rPr>
                <w:rFonts w:ascii="宋体" w:hAnsi="宋体" w:eastAsia="宋体"/>
                <w:sz w:val="16"/>
              </w:rPr>
              <w:t>地区生产总值同比增长率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BFA3B">
            <w:pPr>
              <w:jc w:val="center"/>
            </w:pPr>
            <w:r>
              <w:rPr>
                <w:rFonts w:ascii="宋体" w:hAnsi="宋体" w:eastAsia="宋体"/>
                <w:sz w:val="16"/>
              </w:rPr>
              <w:t>&gt;=8.3%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180EF">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E568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C6A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D79B1">
            <w:pPr>
              <w:jc w:val="center"/>
            </w:pPr>
            <w:r>
              <w:rPr>
                <w:rFonts w:ascii="宋体" w:hAnsi="宋体" w:eastAsia="宋体"/>
                <w:sz w:val="16"/>
              </w:rPr>
              <w:t>15</w:t>
            </w:r>
          </w:p>
        </w:tc>
      </w:tr>
      <w:tr w14:paraId="56098F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7D4F2">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CBCA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00955">
            <w:pPr>
              <w:jc w:val="center"/>
            </w:pPr>
            <w:r>
              <w:rPr>
                <w:rFonts w:ascii="宋体" w:hAnsi="宋体" w:eastAsia="宋体"/>
                <w:sz w:val="16"/>
              </w:rPr>
              <w:t>群众困难诉求解决人数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F5CA6">
            <w:pPr>
              <w:jc w:val="center"/>
            </w:pPr>
            <w:r>
              <w:rPr>
                <w:rFonts w:ascii="宋体" w:hAnsi="宋体" w:eastAsia="宋体"/>
                <w:sz w:val="16"/>
              </w:rPr>
              <w:t>=200人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405BB">
            <w:pPr>
              <w:jc w:val="center"/>
            </w:pPr>
            <w:r>
              <w:rPr>
                <w:rFonts w:ascii="宋体" w:hAnsi="宋体" w:eastAsia="宋体"/>
                <w:sz w:val="16"/>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48B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EF972">
            <w:pPr>
              <w:jc w:val="center"/>
            </w:pPr>
            <w:r>
              <w:rPr>
                <w:rFonts w:ascii="宋体" w:hAnsi="宋体" w:eastAsia="宋体"/>
                <w:sz w:val="16"/>
              </w:rPr>
              <w:t>235人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AB086">
            <w:pPr>
              <w:jc w:val="center"/>
            </w:pPr>
            <w:r>
              <w:rPr>
                <w:rFonts w:ascii="宋体" w:hAnsi="宋体" w:eastAsia="宋体"/>
                <w:sz w:val="16"/>
              </w:rPr>
              <w:t>15</w:t>
            </w:r>
          </w:p>
        </w:tc>
      </w:tr>
    </w:tbl>
    <w:p w14:paraId="0750DDD3">
      <w:r>
        <w:br w:type="page"/>
      </w:r>
    </w:p>
    <w:p w14:paraId="74AD68A6">
      <w:pPr>
        <w:spacing w:line="640" w:lineRule="exact"/>
        <w:ind w:firstLine="640"/>
        <w:jc w:val="both"/>
        <w:outlineLvl w:val="2"/>
      </w:pPr>
      <w:r>
        <w:rPr>
          <w:rFonts w:ascii="黑体" w:hAnsi="黑体" w:eastAsia="黑体"/>
          <w:sz w:val="32"/>
        </w:rPr>
        <w:t>十二、其他需说明的事项</w:t>
      </w:r>
    </w:p>
    <w:p w14:paraId="11C3615B">
      <w:pPr>
        <w:spacing w:line="580" w:lineRule="exact"/>
        <w:ind w:firstLine="640"/>
        <w:jc w:val="both"/>
      </w:pPr>
      <w:r>
        <w:rPr>
          <w:rFonts w:ascii="仿宋_GB2312" w:hAnsi="仿宋_GB2312" w:eastAsia="仿宋_GB2312"/>
          <w:b w:val="0"/>
          <w:sz w:val="32"/>
        </w:rPr>
        <w:t>本单位无其他需说明的事项。</w:t>
      </w:r>
    </w:p>
    <w:p w14:paraId="733BABAE">
      <w:r>
        <w:br w:type="page"/>
      </w:r>
    </w:p>
    <w:p w14:paraId="7CF204C2">
      <w:pPr>
        <w:spacing w:line="240" w:lineRule="auto"/>
        <w:jc w:val="center"/>
        <w:outlineLvl w:val="1"/>
      </w:pPr>
      <w:r>
        <w:rPr>
          <w:rFonts w:ascii="黑体" w:hAnsi="黑体" w:eastAsia="黑体"/>
          <w:sz w:val="32"/>
        </w:rPr>
        <w:t>第三部分 专业名词解释</w:t>
      </w:r>
    </w:p>
    <w:p w14:paraId="3FC2B27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62617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33AF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C9EED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F2679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EFA31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672243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A7F40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5D649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7E3FB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BD7F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576C9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361EC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711A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BB17CA">
      <w:r>
        <w:br w:type="page"/>
      </w:r>
    </w:p>
    <w:p w14:paraId="6EE2ED22">
      <w:pPr>
        <w:spacing w:line="240" w:lineRule="auto"/>
        <w:jc w:val="center"/>
        <w:outlineLvl w:val="1"/>
      </w:pPr>
      <w:r>
        <w:rPr>
          <w:rFonts w:ascii="黑体" w:hAnsi="黑体" w:eastAsia="黑体"/>
          <w:sz w:val="32"/>
        </w:rPr>
        <w:t>第四部分 部门决算报表（见附表）</w:t>
      </w:r>
    </w:p>
    <w:p w14:paraId="00805DFA">
      <w:pPr>
        <w:spacing w:line="240" w:lineRule="auto"/>
        <w:ind w:firstLine="640"/>
        <w:jc w:val="both"/>
      </w:pPr>
      <w:r>
        <w:rPr>
          <w:rFonts w:ascii="仿宋_GB2312" w:hAnsi="仿宋_GB2312" w:eastAsia="仿宋_GB2312"/>
          <w:b w:val="0"/>
          <w:sz w:val="32"/>
        </w:rPr>
        <w:t>一、《收入支出决算总表》</w:t>
      </w:r>
    </w:p>
    <w:p w14:paraId="4BC0C0E9">
      <w:pPr>
        <w:spacing w:line="240" w:lineRule="auto"/>
        <w:ind w:firstLine="640"/>
        <w:jc w:val="both"/>
      </w:pPr>
      <w:r>
        <w:rPr>
          <w:rFonts w:ascii="仿宋_GB2312" w:hAnsi="仿宋_GB2312" w:eastAsia="仿宋_GB2312"/>
          <w:b w:val="0"/>
          <w:sz w:val="32"/>
        </w:rPr>
        <w:t>二、《收入决算表》</w:t>
      </w:r>
    </w:p>
    <w:p w14:paraId="71A23CC3">
      <w:pPr>
        <w:spacing w:line="240" w:lineRule="auto"/>
        <w:ind w:firstLine="640"/>
        <w:jc w:val="both"/>
      </w:pPr>
      <w:r>
        <w:rPr>
          <w:rFonts w:ascii="仿宋_GB2312" w:hAnsi="仿宋_GB2312" w:eastAsia="仿宋_GB2312"/>
          <w:b w:val="0"/>
          <w:sz w:val="32"/>
        </w:rPr>
        <w:t>三、《支出决算表》</w:t>
      </w:r>
    </w:p>
    <w:p w14:paraId="242C35CE">
      <w:pPr>
        <w:spacing w:line="240" w:lineRule="auto"/>
        <w:ind w:firstLine="640"/>
        <w:jc w:val="both"/>
      </w:pPr>
      <w:r>
        <w:rPr>
          <w:rFonts w:ascii="仿宋_GB2312" w:hAnsi="仿宋_GB2312" w:eastAsia="仿宋_GB2312"/>
          <w:b w:val="0"/>
          <w:sz w:val="32"/>
        </w:rPr>
        <w:t>四、《财政拨款收入支出决算总表》</w:t>
      </w:r>
    </w:p>
    <w:p w14:paraId="476906FC">
      <w:pPr>
        <w:spacing w:line="240" w:lineRule="auto"/>
        <w:ind w:firstLine="640"/>
        <w:jc w:val="both"/>
      </w:pPr>
      <w:r>
        <w:rPr>
          <w:rFonts w:ascii="仿宋_GB2312" w:hAnsi="仿宋_GB2312" w:eastAsia="仿宋_GB2312"/>
          <w:b w:val="0"/>
          <w:sz w:val="32"/>
        </w:rPr>
        <w:t>五、《一般公共预算财政拨款支出决算表》</w:t>
      </w:r>
    </w:p>
    <w:p w14:paraId="6747A057">
      <w:pPr>
        <w:spacing w:line="240" w:lineRule="auto"/>
        <w:ind w:firstLine="640"/>
        <w:jc w:val="both"/>
      </w:pPr>
      <w:r>
        <w:rPr>
          <w:rFonts w:ascii="仿宋_GB2312" w:hAnsi="仿宋_GB2312" w:eastAsia="仿宋_GB2312"/>
          <w:b w:val="0"/>
          <w:sz w:val="32"/>
        </w:rPr>
        <w:t>六、《一般公共预算财政拨款基本支出决算表》</w:t>
      </w:r>
    </w:p>
    <w:p w14:paraId="32E95911">
      <w:pPr>
        <w:spacing w:line="240" w:lineRule="auto"/>
        <w:ind w:firstLine="640"/>
        <w:jc w:val="both"/>
      </w:pPr>
      <w:r>
        <w:rPr>
          <w:rFonts w:ascii="仿宋_GB2312" w:hAnsi="仿宋_GB2312" w:eastAsia="仿宋_GB2312"/>
          <w:b w:val="0"/>
          <w:sz w:val="32"/>
        </w:rPr>
        <w:t>七、《政府性基金预算财政拨款收入支出决算表》</w:t>
      </w:r>
    </w:p>
    <w:p w14:paraId="376C4947">
      <w:pPr>
        <w:spacing w:line="240" w:lineRule="auto"/>
        <w:ind w:firstLine="640"/>
        <w:jc w:val="both"/>
      </w:pPr>
      <w:r>
        <w:rPr>
          <w:rFonts w:ascii="仿宋_GB2312" w:hAnsi="仿宋_GB2312" w:eastAsia="仿宋_GB2312"/>
          <w:b w:val="0"/>
          <w:sz w:val="32"/>
        </w:rPr>
        <w:t>八、《国有资本经营预算财政拨款收入支出决算表》</w:t>
      </w:r>
    </w:p>
    <w:p w14:paraId="393E1843">
      <w:pPr>
        <w:spacing w:line="240" w:lineRule="auto"/>
        <w:ind w:firstLine="640"/>
        <w:jc w:val="both"/>
      </w:pPr>
      <w:r>
        <w:rPr>
          <w:rFonts w:ascii="仿宋_GB2312" w:hAnsi="仿宋_GB2312" w:eastAsia="仿宋_GB2312"/>
          <w:b w:val="0"/>
          <w:sz w:val="32"/>
        </w:rPr>
        <w:t>九、《财政拨款“三公”经费支出决算表》</w:t>
      </w:r>
    </w:p>
    <w:p w14:paraId="6B6749DE">
      <w:pPr>
        <w:spacing w:line="240" w:lineRule="auto"/>
        <w:ind w:firstLine="640"/>
        <w:jc w:val="both"/>
      </w:pPr>
    </w:p>
    <w:p w14:paraId="307B40A8">
      <w:pPr>
        <w:spacing w:line="240" w:lineRule="auto"/>
        <w:ind w:firstLine="640"/>
        <w:jc w:val="both"/>
      </w:pPr>
    </w:p>
    <w:p w14:paraId="3E8103E2">
      <w:pPr>
        <w:spacing w:line="240" w:lineRule="auto"/>
        <w:ind w:firstLine="640"/>
        <w:jc w:val="both"/>
      </w:pPr>
    </w:p>
    <w:p w14:paraId="46D2635E">
      <w:pPr>
        <w:spacing w:line="240" w:lineRule="auto"/>
        <w:ind w:firstLine="640"/>
        <w:jc w:val="both"/>
      </w:pPr>
    </w:p>
    <w:p w14:paraId="28DDAB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39DC19-04A7-4F8E-8177-32B86B9D5A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6A6F6BD-5817-41F8-A7D7-617F835BA131}"/>
  </w:font>
  <w:font w:name="仿宋_GB2312">
    <w:panose1 w:val="02010609030101010101"/>
    <w:charset w:val="86"/>
    <w:family w:val="modern"/>
    <w:pitch w:val="default"/>
    <w:sig w:usb0="00000001" w:usb1="080E0000" w:usb2="00000000" w:usb3="00000000" w:csb0="00040000" w:csb1="00000000"/>
    <w:embedRegular r:id="rId3" w:fontKey="{3B40E934-8C1F-4C21-ACA1-660C1DA0942B}"/>
  </w:font>
  <w:font w:name="楷体_GB2312">
    <w:panose1 w:val="02010609030101010101"/>
    <w:charset w:val="86"/>
    <w:family w:val="auto"/>
    <w:pitch w:val="default"/>
    <w:sig w:usb0="00000001" w:usb1="080E0000" w:usb2="00000000" w:usb3="00000000" w:csb0="00040000" w:csb1="00000000"/>
    <w:embedRegular r:id="rId4" w:fontKey="{C1D861B5-EBE4-491F-9F75-28D76C5BDB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433A9"/>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00657"/>
    <w:rsid w:val="6E0F7A08"/>
    <w:rsid w:val="6E801ABC"/>
    <w:rsid w:val="71473612"/>
    <w:rsid w:val="718F7F65"/>
    <w:rsid w:val="73423603"/>
    <w:rsid w:val="737A5923"/>
    <w:rsid w:val="73DE4104"/>
    <w:rsid w:val="73FB6630"/>
    <w:rsid w:val="74CE04EC"/>
    <w:rsid w:val="74E76DCD"/>
    <w:rsid w:val="76660D7C"/>
    <w:rsid w:val="76D25953"/>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6009</Words>
  <Characters>6890</Characters>
  <Lines>0</Lines>
  <Paragraphs>0</Paragraphs>
  <TotalTime>22</TotalTime>
  <ScaleCrop>false</ScaleCrop>
  <LinksUpToDate>false</LinksUpToDate>
  <CharactersWithSpaces>6898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2025-09-25T08:06:16Z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