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霍城县职业技能教育培训服务管理局2024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3BFE1EF">
      <w:r>
        <w:br w:type="page"/>
      </w:r>
    </w:p>
    <w:p w14:paraId="65951092">
      <w:pPr>
        <w:spacing w:line="640" w:lineRule="exact"/>
        <w:jc w:val="center"/>
        <w:outlineLvl w:val="1"/>
      </w:pPr>
      <w:r>
        <w:rPr>
          <w:rFonts w:ascii="黑体" w:hAnsi="黑体" w:eastAsia="黑体"/>
          <w:sz w:val="32"/>
        </w:rPr>
        <w:t>第一部分 单位概况</w:t>
      </w:r>
    </w:p>
    <w:p w14:paraId="7B183581">
      <w:pPr>
        <w:spacing w:line="640" w:lineRule="exact"/>
        <w:ind w:firstLine="640"/>
        <w:jc w:val="both"/>
        <w:outlineLvl w:val="2"/>
      </w:pPr>
      <w:r>
        <w:rPr>
          <w:rFonts w:ascii="黑体" w:hAnsi="黑体" w:eastAsia="黑体"/>
          <w:sz w:val="32"/>
        </w:rPr>
        <w:t>一、主要职能</w:t>
      </w:r>
    </w:p>
    <w:p w14:paraId="10E15143">
      <w:pPr>
        <w:spacing w:line="580" w:lineRule="exact"/>
        <w:ind w:firstLine="640"/>
        <w:jc w:val="both"/>
      </w:pPr>
      <w:r>
        <w:rPr>
          <w:rFonts w:ascii="仿宋_GB2312" w:hAnsi="仿宋_GB2312" w:eastAsia="仿宋_GB2312"/>
          <w:sz w:val="32"/>
        </w:rPr>
        <w:t>本单位主要职能SM不予公开。</w:t>
      </w:r>
    </w:p>
    <w:p w14:paraId="374EFBF6">
      <w:pPr>
        <w:spacing w:line="640" w:lineRule="exact"/>
        <w:ind w:firstLine="640"/>
        <w:jc w:val="both"/>
        <w:outlineLvl w:val="2"/>
      </w:pPr>
      <w:r>
        <w:rPr>
          <w:rFonts w:ascii="黑体" w:hAnsi="黑体" w:eastAsia="黑体"/>
          <w:sz w:val="32"/>
        </w:rPr>
        <w:t>二、机构设置及人员情况</w:t>
      </w:r>
    </w:p>
    <w:p w14:paraId="00416166">
      <w:pPr>
        <w:spacing w:line="580" w:lineRule="exact"/>
        <w:ind w:firstLine="640"/>
        <w:jc w:val="both"/>
      </w:pPr>
      <w:r>
        <w:rPr>
          <w:rFonts w:ascii="仿宋_GB2312" w:hAnsi="仿宋_GB2312" w:eastAsia="仿宋_GB2312"/>
          <w:sz w:val="32"/>
        </w:rPr>
        <w:t>本单位机构设置及人员情况SM不予公开。</w:t>
      </w:r>
    </w:p>
    <w:p w14:paraId="02D198A1">
      <w:r>
        <w:br w:type="page"/>
      </w:r>
    </w:p>
    <w:p w14:paraId="5350E5E9">
      <w:pPr>
        <w:spacing w:line="240" w:lineRule="auto"/>
        <w:jc w:val="center"/>
        <w:outlineLvl w:val="1"/>
      </w:pPr>
      <w:r>
        <w:rPr>
          <w:rFonts w:ascii="黑体" w:hAnsi="黑体" w:eastAsia="黑体"/>
          <w:sz w:val="32"/>
        </w:rPr>
        <w:t>第二部分 部门决算情况说明</w:t>
      </w:r>
    </w:p>
    <w:p w14:paraId="25779790">
      <w:pPr>
        <w:spacing w:line="640" w:lineRule="exact"/>
        <w:ind w:firstLine="640"/>
        <w:jc w:val="both"/>
        <w:outlineLvl w:val="2"/>
      </w:pPr>
      <w:r>
        <w:rPr>
          <w:rFonts w:ascii="黑体" w:hAnsi="黑体" w:eastAsia="黑体"/>
          <w:sz w:val="32"/>
        </w:rPr>
        <w:t>一、收入支出决算总体情况说明</w:t>
      </w:r>
    </w:p>
    <w:p w14:paraId="5C214846">
      <w:pPr>
        <w:spacing w:line="580" w:lineRule="exact"/>
        <w:ind w:firstLine="640"/>
        <w:jc w:val="both"/>
      </w:pPr>
      <w:r>
        <w:rPr>
          <w:rFonts w:ascii="仿宋_GB2312" w:hAnsi="仿宋_GB2312" w:eastAsia="仿宋_GB2312"/>
          <w:b/>
          <w:sz w:val="32"/>
        </w:rPr>
        <w:t>2024年度收入总计1,798.31万元，</w:t>
      </w:r>
      <w:r>
        <w:rPr>
          <w:rFonts w:ascii="仿宋_GB2312" w:hAnsi="仿宋_GB2312" w:eastAsia="仿宋_GB2312"/>
          <w:b w:val="0"/>
          <w:sz w:val="32"/>
        </w:rPr>
        <w:t>其中：本年收入合计1,798.31万元，使用非财政拨款结余（含专用结余）0.00万元，年初结转和结余0.00万元。</w:t>
      </w:r>
    </w:p>
    <w:p w14:paraId="1D315F9B">
      <w:pPr>
        <w:spacing w:line="580" w:lineRule="exact"/>
        <w:ind w:firstLine="640"/>
        <w:jc w:val="both"/>
      </w:pPr>
      <w:r>
        <w:rPr>
          <w:rFonts w:ascii="仿宋_GB2312" w:hAnsi="仿宋_GB2312" w:eastAsia="仿宋_GB2312"/>
          <w:b/>
          <w:sz w:val="32"/>
        </w:rPr>
        <w:t>2024年度支出总计1,798.31万元，</w:t>
      </w:r>
      <w:r>
        <w:rPr>
          <w:rFonts w:ascii="仿宋_GB2312" w:hAnsi="仿宋_GB2312" w:eastAsia="仿宋_GB2312"/>
          <w:b w:val="0"/>
          <w:sz w:val="32"/>
        </w:rPr>
        <w:t>其中：本年支出合计1,798.31万元，结余分配0.00万元，年末结转和结余0.00万元。</w:t>
      </w:r>
    </w:p>
    <w:p w14:paraId="3012CB6A">
      <w:pPr>
        <w:spacing w:line="580" w:lineRule="exact"/>
        <w:ind w:firstLine="640"/>
        <w:jc w:val="both"/>
      </w:pPr>
      <w:r>
        <w:rPr>
          <w:rFonts w:ascii="仿宋_GB2312" w:hAnsi="仿宋_GB2312" w:eastAsia="仿宋_GB2312"/>
          <w:b w:val="0"/>
          <w:sz w:val="32"/>
        </w:rPr>
        <w:t>收入支出总体与上年相比，增加715.39万元，增长66.06%，主要原因是：本年偿还企业</w:t>
      </w:r>
      <w:bookmarkStart w:id="0" w:name="_GoBack"/>
      <w:r>
        <w:rPr>
          <w:rFonts w:ascii="仿宋_GB2312" w:hAnsi="仿宋_GB2312" w:eastAsia="仿宋_GB2312"/>
          <w:b w:val="0"/>
          <w:sz w:val="32"/>
        </w:rPr>
        <w:t>欠款</w:t>
      </w:r>
      <w:bookmarkEnd w:id="0"/>
      <w:r>
        <w:rPr>
          <w:rFonts w:ascii="仿宋_GB2312" w:hAnsi="仿宋_GB2312" w:eastAsia="仿宋_GB2312"/>
          <w:b w:val="0"/>
          <w:sz w:val="32"/>
        </w:rPr>
        <w:t>项目资金较上年增加。</w:t>
      </w:r>
    </w:p>
    <w:p w14:paraId="491A9D61">
      <w:pPr>
        <w:spacing w:line="640" w:lineRule="exact"/>
        <w:ind w:firstLine="640"/>
        <w:jc w:val="both"/>
        <w:outlineLvl w:val="2"/>
      </w:pPr>
      <w:r>
        <w:rPr>
          <w:rFonts w:ascii="黑体" w:hAnsi="黑体" w:eastAsia="黑体"/>
          <w:sz w:val="32"/>
        </w:rPr>
        <w:t>二、收入决算情况说明</w:t>
      </w:r>
    </w:p>
    <w:p w14:paraId="381E7B84">
      <w:pPr>
        <w:spacing w:line="580" w:lineRule="exact"/>
        <w:ind w:firstLine="640"/>
        <w:jc w:val="both"/>
      </w:pPr>
      <w:r>
        <w:rPr>
          <w:rFonts w:ascii="仿宋_GB2312" w:hAnsi="仿宋_GB2312" w:eastAsia="仿宋_GB2312"/>
          <w:b/>
          <w:sz w:val="32"/>
        </w:rPr>
        <w:t>本年收入1,798.31万元，</w:t>
      </w:r>
      <w:r>
        <w:rPr>
          <w:rFonts w:ascii="仿宋_GB2312" w:hAnsi="仿宋_GB2312" w:eastAsia="仿宋_GB2312"/>
          <w:b w:val="0"/>
          <w:sz w:val="32"/>
        </w:rPr>
        <w:t>其中：财政拨款收入1,798.31万元，占100.00%；上级补助收入0.00万元，占0.00%；事业收入0.00万元，占0.00%；经营收入0.00万元，占0.00%；附属单位上缴收入0.00万元，占0.00%；其他收入0.00万元，占0.00%。</w:t>
      </w:r>
    </w:p>
    <w:p w14:paraId="4980BEFA">
      <w:pPr>
        <w:spacing w:line="640" w:lineRule="exact"/>
        <w:ind w:firstLine="640"/>
        <w:jc w:val="both"/>
        <w:outlineLvl w:val="2"/>
      </w:pPr>
      <w:r>
        <w:rPr>
          <w:rFonts w:ascii="黑体" w:hAnsi="黑体" w:eastAsia="黑体"/>
          <w:sz w:val="32"/>
        </w:rPr>
        <w:t>三、支出决算情况说明</w:t>
      </w:r>
    </w:p>
    <w:p w14:paraId="47D59E6C">
      <w:pPr>
        <w:spacing w:line="580" w:lineRule="exact"/>
        <w:ind w:firstLine="640"/>
        <w:jc w:val="both"/>
      </w:pPr>
      <w:r>
        <w:rPr>
          <w:rFonts w:ascii="仿宋_GB2312" w:hAnsi="仿宋_GB2312" w:eastAsia="仿宋_GB2312"/>
          <w:b/>
          <w:sz w:val="32"/>
        </w:rPr>
        <w:t>本年支出1,798.31万元，</w:t>
      </w:r>
      <w:r>
        <w:rPr>
          <w:rFonts w:ascii="仿宋_GB2312" w:hAnsi="仿宋_GB2312" w:eastAsia="仿宋_GB2312"/>
          <w:b w:val="0"/>
          <w:sz w:val="32"/>
        </w:rPr>
        <w:t>其中：基本支出1,798.31万元，占100.00%；项目支出0.00万元，占0.00%；上缴上级支出0.00万元，占0.00%；经营支出0.00万元，占0.00%；对附属单位补助支出0.00万元，占0.00%。</w:t>
      </w:r>
    </w:p>
    <w:p w14:paraId="7C939459">
      <w:pPr>
        <w:spacing w:line="640" w:lineRule="exact"/>
        <w:ind w:firstLine="640"/>
        <w:jc w:val="both"/>
        <w:outlineLvl w:val="2"/>
      </w:pPr>
      <w:r>
        <w:rPr>
          <w:rFonts w:ascii="黑体" w:hAnsi="黑体" w:eastAsia="黑体"/>
          <w:sz w:val="32"/>
        </w:rPr>
        <w:t>四、财政拨款收入支出决算总体情况说明</w:t>
      </w:r>
    </w:p>
    <w:p w14:paraId="73FE8D3D">
      <w:pPr>
        <w:spacing w:line="580" w:lineRule="exact"/>
        <w:ind w:firstLine="640"/>
        <w:jc w:val="both"/>
      </w:pPr>
      <w:r>
        <w:rPr>
          <w:rFonts w:ascii="仿宋_GB2312" w:hAnsi="仿宋_GB2312" w:eastAsia="仿宋_GB2312"/>
          <w:b/>
          <w:sz w:val="32"/>
        </w:rPr>
        <w:t>2024年度财政拨款收入总计1,798.31万元，</w:t>
      </w:r>
      <w:r>
        <w:rPr>
          <w:rFonts w:ascii="仿宋_GB2312" w:hAnsi="仿宋_GB2312" w:eastAsia="仿宋_GB2312"/>
          <w:b w:val="0"/>
          <w:sz w:val="32"/>
        </w:rPr>
        <w:t>其中：年初财政拨款结转和结余0.00万元，本年财政拨款收入1,798.31万元。</w:t>
      </w:r>
      <w:r>
        <w:rPr>
          <w:rFonts w:ascii="仿宋_GB2312" w:hAnsi="仿宋_GB2312" w:eastAsia="仿宋_GB2312"/>
          <w:b/>
          <w:sz w:val="32"/>
        </w:rPr>
        <w:t>财政拨款支出总计1,798.31万元，</w:t>
      </w:r>
      <w:r>
        <w:rPr>
          <w:rFonts w:ascii="仿宋_GB2312" w:hAnsi="仿宋_GB2312" w:eastAsia="仿宋_GB2312"/>
          <w:b w:val="0"/>
          <w:sz w:val="32"/>
        </w:rPr>
        <w:t>其中：年末财政拨款结转和结余0.00万元，本年财政拨款支出1,798.31万元。</w:t>
      </w:r>
    </w:p>
    <w:p w14:paraId="76E771B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增加715.39万元，增长66.06%，主要原因是：本年偿还企业欠款项目资金较上年增加。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年初预算数1,898.31万元，决算数1,798.31万元，预决算差异率-5.27%，主要原因是：年中调减其他教育费附加安排的支出资金，导致预决算差异率。</w:t>
      </w:r>
    </w:p>
    <w:p w14:paraId="3F41578D">
      <w:pPr>
        <w:spacing w:line="640" w:lineRule="exact"/>
        <w:ind w:firstLine="640"/>
        <w:jc w:val="both"/>
        <w:outlineLvl w:val="2"/>
      </w:pPr>
      <w:r>
        <w:rPr>
          <w:rFonts w:ascii="黑体" w:hAnsi="黑体" w:eastAsia="黑体"/>
          <w:sz w:val="32"/>
        </w:rPr>
        <w:t>五、一般公共预算财政拨款支出决算情况说明</w:t>
      </w:r>
    </w:p>
    <w:p w14:paraId="7CEC7528">
      <w:pPr>
        <w:spacing w:line="640" w:lineRule="exact"/>
        <w:ind w:firstLine="640"/>
        <w:jc w:val="both"/>
        <w:outlineLvl w:val="3"/>
      </w:pPr>
      <w:r>
        <w:rPr>
          <w:rFonts w:ascii="楷体_GB2312" w:hAnsi="楷体_GB2312" w:eastAsia="楷体_GB2312"/>
          <w:b/>
          <w:sz w:val="32"/>
        </w:rPr>
        <w:t>（一）一般公共预算财政拨款支出决算总体情况</w:t>
      </w:r>
    </w:p>
    <w:p w14:paraId="6BD9B8C3">
      <w:pPr>
        <w:spacing w:line="580" w:lineRule="exact"/>
        <w:ind w:firstLine="640"/>
        <w:jc w:val="both"/>
      </w:pPr>
      <w:r>
        <w:rPr>
          <w:rFonts w:ascii="仿宋_GB2312" w:hAnsi="仿宋_GB2312" w:eastAsia="仿宋_GB2312"/>
          <w:b/>
          <w:sz w:val="32"/>
        </w:rPr>
        <w:t>2024年度一般公共预算财政拨款支出1,798.31万元，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增加715.39万元，增长66.06%，主要原因是：本年偿还企业欠款项目资金较上年增加。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年初预算数1,898.31万元，决算数1,798.31万元，预决算差异率-5.27%，主要原因是：年中调减其他教育费附加安排的支出资金，导致预决算差异率。</w:t>
      </w:r>
    </w:p>
    <w:p w14:paraId="7341C445">
      <w:pPr>
        <w:spacing w:line="640" w:lineRule="exact"/>
        <w:ind w:firstLine="640"/>
        <w:jc w:val="both"/>
        <w:outlineLvl w:val="3"/>
      </w:pPr>
      <w:r>
        <w:rPr>
          <w:rFonts w:ascii="楷体_GB2312" w:hAnsi="楷体_GB2312" w:eastAsia="楷体_GB2312"/>
          <w:b/>
          <w:sz w:val="32"/>
        </w:rPr>
        <w:t>（二）一般公共预算财政拨款支出决算结构情况</w:t>
      </w:r>
    </w:p>
    <w:p w14:paraId="3A87EAE5">
      <w:pPr>
        <w:spacing w:line="580" w:lineRule="exact"/>
        <w:ind w:firstLine="640"/>
        <w:jc w:val="both"/>
      </w:pPr>
      <w:r>
        <w:rPr>
          <w:rFonts w:ascii="仿宋_GB2312" w:hAnsi="仿宋_GB2312" w:eastAsia="仿宋_GB2312"/>
          <w:b w:val="0"/>
          <w:sz w:val="32"/>
        </w:rPr>
        <w:t>1.一般公共服务支出(类)19.91万元,占1.11%。</w:t>
      </w:r>
    </w:p>
    <w:p w14:paraId="607FFB43">
      <w:pPr>
        <w:spacing w:line="580" w:lineRule="exact"/>
        <w:ind w:firstLine="640"/>
        <w:jc w:val="both"/>
      </w:pPr>
      <w:r>
        <w:rPr>
          <w:rFonts w:ascii="仿宋_GB2312" w:hAnsi="仿宋_GB2312" w:eastAsia="仿宋_GB2312"/>
          <w:b w:val="0"/>
          <w:sz w:val="32"/>
        </w:rPr>
        <w:t>2.公共安全支出(类)50.00万元,占2.78%。</w:t>
      </w:r>
    </w:p>
    <w:p w14:paraId="3858132E">
      <w:pPr>
        <w:spacing w:line="580" w:lineRule="exact"/>
        <w:ind w:firstLine="640"/>
        <w:jc w:val="both"/>
      </w:pPr>
      <w:r>
        <w:rPr>
          <w:rFonts w:ascii="仿宋_GB2312" w:hAnsi="仿宋_GB2312" w:eastAsia="仿宋_GB2312"/>
          <w:b w:val="0"/>
          <w:sz w:val="32"/>
        </w:rPr>
        <w:t>3.教育支出(类)1,124.50万元,占62.53%。</w:t>
      </w:r>
    </w:p>
    <w:p w14:paraId="691C79AA">
      <w:pPr>
        <w:spacing w:line="580" w:lineRule="exact"/>
        <w:ind w:firstLine="640"/>
        <w:jc w:val="both"/>
      </w:pPr>
      <w:r>
        <w:rPr>
          <w:rFonts w:ascii="仿宋_GB2312" w:hAnsi="仿宋_GB2312" w:eastAsia="仿宋_GB2312"/>
          <w:b w:val="0"/>
          <w:sz w:val="32"/>
        </w:rPr>
        <w:t>4.科学技术支出(类)603.90万元,占33.58%。</w:t>
      </w:r>
    </w:p>
    <w:p w14:paraId="66F7DC79">
      <w:pPr>
        <w:spacing w:line="640" w:lineRule="exact"/>
        <w:ind w:firstLine="640"/>
        <w:jc w:val="both"/>
        <w:outlineLvl w:val="3"/>
      </w:pPr>
      <w:r>
        <w:rPr>
          <w:rFonts w:ascii="楷体_GB2312" w:hAnsi="楷体_GB2312" w:eastAsia="楷体_GB2312"/>
          <w:b/>
          <w:sz w:val="32"/>
        </w:rPr>
        <w:t>（三）一般公共预算财政拨款支出决算具体情况</w:t>
      </w:r>
    </w:p>
    <w:p w14:paraId="2C008D55">
      <w:pPr>
        <w:spacing w:line="580" w:lineRule="exact"/>
        <w:ind w:firstLine="640"/>
        <w:jc w:val="both"/>
      </w:pPr>
      <w:r>
        <w:rPr>
          <w:rFonts w:ascii="仿宋_GB2312" w:hAnsi="仿宋_GB2312" w:eastAsia="仿宋_GB2312"/>
          <w:b w:val="0"/>
          <w:sz w:val="32"/>
        </w:rPr>
        <w:t>1.一般公共服务支出(类)其他一般公共服务支出(款)其他一般公共服务支出(项):支出决算数为19.91万元，比上年决算增加19.91万元，增长100.00%,主要原因是：本年其他一般公共服务支出中，偿还企业欠款项目资金较上年增加。</w:t>
      </w:r>
    </w:p>
    <w:p w14:paraId="0939356C">
      <w:pPr>
        <w:spacing w:line="580" w:lineRule="exact"/>
        <w:ind w:firstLine="640"/>
        <w:jc w:val="both"/>
      </w:pPr>
      <w:r>
        <w:rPr>
          <w:rFonts w:ascii="仿宋_GB2312" w:hAnsi="仿宋_GB2312" w:eastAsia="仿宋_GB2312"/>
          <w:b w:val="0"/>
          <w:sz w:val="32"/>
        </w:rPr>
        <w:t>2.公共安全支出(类)公安(款)其他公安支出(项):支出决算数为50.00万元，比上年决算增加50.00万元，增长100.00%,主要原因是：本年其他公安支出中，增加偿还企业欠款项目资金。</w:t>
      </w:r>
    </w:p>
    <w:p w14:paraId="3A24C068">
      <w:pPr>
        <w:spacing w:line="580" w:lineRule="exact"/>
        <w:ind w:firstLine="640"/>
        <w:jc w:val="both"/>
      </w:pPr>
      <w:r>
        <w:rPr>
          <w:rFonts w:ascii="仿宋_GB2312" w:hAnsi="仿宋_GB2312" w:eastAsia="仿宋_GB2312"/>
          <w:b w:val="0"/>
          <w:sz w:val="32"/>
        </w:rPr>
        <w:t>3.教育支出(类)职业教育(款)其他职业教育支出(项):支出决算数为0.00万元，比上年决算减少39.04万元，下降100.00%,主要原因是：上年补发了2020年绩效奖，本年无绩效奖励支出，导致经费较上年减少。</w:t>
      </w:r>
    </w:p>
    <w:p w14:paraId="2867B0B0">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1,124.50万元，比上年决算增加948.52万元，增长538.99%,主要原因是：本年其他教育费附加安排的支出中偿还企业欠款项目资金较上年增加。</w:t>
      </w:r>
    </w:p>
    <w:p w14:paraId="316F3175">
      <w:pPr>
        <w:spacing w:line="580" w:lineRule="exact"/>
        <w:ind w:firstLine="640"/>
        <w:jc w:val="both"/>
      </w:pPr>
      <w:r>
        <w:rPr>
          <w:rFonts w:ascii="仿宋_GB2312" w:hAnsi="仿宋_GB2312" w:eastAsia="仿宋_GB2312"/>
          <w:b w:val="0"/>
          <w:sz w:val="32"/>
        </w:rPr>
        <w:t>5.科学技术支出(类)科技条件与服务(款)其他科技条件与服务支出(项):支出决算数为603.90万元，比上年决算减少85.00万元，下降12.34%,主要原因是：本年其他科技条件与服务支出款项支出中，减少偿还企业欠款项目资金，导致经费较上年减少。</w:t>
      </w:r>
    </w:p>
    <w:p w14:paraId="6F9A0C0C">
      <w:pPr>
        <w:spacing w:line="580" w:lineRule="exact"/>
        <w:ind w:firstLine="640"/>
        <w:jc w:val="both"/>
      </w:pPr>
      <w:r>
        <w:rPr>
          <w:rFonts w:ascii="仿宋_GB2312" w:hAnsi="仿宋_GB2312" w:eastAsia="仿宋_GB2312"/>
          <w:b w:val="0"/>
          <w:sz w:val="32"/>
        </w:rPr>
        <w:t>6.卫生健康支出(类)公共卫生(款)突发公共卫生事件应急处理(项):支出决算数为0.00万元，比上年决算减少179.00万元，下降100.00%,主要原因是：上年支出</w:t>
      </w:r>
      <w:r>
        <w:rPr>
          <w:rFonts w:hint="eastAsia" w:ascii="仿宋_GB2312" w:hAnsi="仿宋_GB2312" w:eastAsia="仿宋_GB2312"/>
          <w:b w:val="0"/>
          <w:sz w:val="32"/>
          <w:lang w:val="en-US" w:eastAsia="zh-CN"/>
        </w:rPr>
        <w:t>YQ</w:t>
      </w:r>
      <w:r>
        <w:rPr>
          <w:rFonts w:ascii="仿宋_GB2312" w:hAnsi="仿宋_GB2312" w:eastAsia="仿宋_GB2312"/>
          <w:b w:val="0"/>
          <w:sz w:val="32"/>
        </w:rPr>
        <w:t>费用，本年无此项支出，导致经费较上年减少。</w:t>
      </w:r>
    </w:p>
    <w:p w14:paraId="63FA0CD3">
      <w:pPr>
        <w:spacing w:line="640" w:lineRule="exact"/>
        <w:ind w:firstLine="640"/>
        <w:jc w:val="both"/>
        <w:outlineLvl w:val="2"/>
      </w:pPr>
      <w:r>
        <w:rPr>
          <w:rFonts w:ascii="黑体" w:hAnsi="黑体" w:eastAsia="黑体"/>
          <w:sz w:val="32"/>
        </w:rPr>
        <w:t>六、一般公共预算财政拨款基本支出决算情况说明</w:t>
      </w:r>
    </w:p>
    <w:p w14:paraId="33EB201A">
      <w:pPr>
        <w:spacing w:line="580" w:lineRule="exact"/>
        <w:ind w:firstLine="640"/>
        <w:jc w:val="both"/>
      </w:pPr>
      <w:r>
        <w:rPr>
          <w:rFonts w:ascii="仿宋_GB2312" w:hAnsi="仿宋_GB2312" w:eastAsia="仿宋_GB2312"/>
          <w:b w:val="0"/>
          <w:sz w:val="32"/>
        </w:rPr>
        <w:t>2024年度一般公共预算财政拨款基本支出1,798.31万元，其中：</w:t>
      </w:r>
      <w:r>
        <w:rPr>
          <w:rFonts w:ascii="仿宋_GB2312" w:hAnsi="仿宋_GB2312" w:eastAsia="仿宋_GB2312"/>
          <w:b/>
          <w:sz w:val="32"/>
        </w:rPr>
        <w:t>人员经费0.00万元，</w:t>
      </w:r>
      <w:r>
        <w:rPr>
          <w:rFonts w:ascii="仿宋_GB2312" w:hAnsi="仿宋_GB2312" w:eastAsia="仿宋_GB2312"/>
          <w:b w:val="0"/>
          <w:sz w:val="32"/>
        </w:rPr>
        <w:t>包括：无人员经费。</w:t>
      </w:r>
    </w:p>
    <w:p w14:paraId="130FA802">
      <w:pPr>
        <w:spacing w:line="580" w:lineRule="exact"/>
        <w:ind w:firstLine="640"/>
        <w:jc w:val="both"/>
      </w:pPr>
      <w:r>
        <w:rPr>
          <w:rFonts w:ascii="仿宋_GB2312" w:hAnsi="仿宋_GB2312" w:eastAsia="仿宋_GB2312"/>
          <w:b/>
          <w:sz w:val="32"/>
        </w:rPr>
        <w:t>公用经费1,798.31万元，</w:t>
      </w:r>
      <w:r>
        <w:rPr>
          <w:rFonts w:ascii="仿宋_GB2312" w:hAnsi="仿宋_GB2312" w:eastAsia="仿宋_GB2312"/>
          <w:b w:val="0"/>
          <w:sz w:val="32"/>
        </w:rPr>
        <w:t>包括：专用燃料费。</w:t>
      </w:r>
    </w:p>
    <w:p w14:paraId="780C6CA8">
      <w:pPr>
        <w:spacing w:line="640" w:lineRule="exact"/>
        <w:ind w:firstLine="640"/>
        <w:jc w:val="both"/>
        <w:outlineLvl w:val="2"/>
      </w:pPr>
      <w:r>
        <w:rPr>
          <w:rFonts w:ascii="黑体" w:hAnsi="黑体" w:eastAsia="黑体"/>
          <w:sz w:val="32"/>
        </w:rPr>
        <w:t>七、政府性基金预算财政拨款收入支出决算情况说明</w:t>
      </w:r>
    </w:p>
    <w:p w14:paraId="750BB2C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8F4580E">
      <w:pPr>
        <w:spacing w:line="640" w:lineRule="exact"/>
        <w:ind w:firstLine="640"/>
        <w:jc w:val="both"/>
        <w:outlineLvl w:val="2"/>
      </w:pPr>
      <w:r>
        <w:rPr>
          <w:rFonts w:ascii="黑体" w:hAnsi="黑体" w:eastAsia="黑体"/>
          <w:sz w:val="32"/>
        </w:rPr>
        <w:t>八、国有资本经营预算财政拨款收入支出决算情况说明</w:t>
      </w:r>
    </w:p>
    <w:p w14:paraId="6B5A6E8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9593221">
      <w:pPr>
        <w:spacing w:line="640" w:lineRule="exact"/>
        <w:ind w:firstLine="640"/>
        <w:jc w:val="both"/>
        <w:outlineLvl w:val="2"/>
      </w:pPr>
      <w:r>
        <w:rPr>
          <w:rFonts w:ascii="黑体" w:hAnsi="黑体" w:eastAsia="黑体"/>
          <w:sz w:val="32"/>
        </w:rPr>
        <w:t>九、财政拨款“三公”经费支出决算情况说明</w:t>
      </w:r>
    </w:p>
    <w:p w14:paraId="45CAE08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5F38885">
      <w:pPr>
        <w:spacing w:line="580" w:lineRule="exact"/>
        <w:ind w:firstLine="640"/>
        <w:jc w:val="both"/>
      </w:pPr>
      <w:r>
        <w:rPr>
          <w:rFonts w:ascii="仿宋_GB2312" w:hAnsi="仿宋_GB2312" w:eastAsia="仿宋_GB2312"/>
          <w:b/>
          <w:sz w:val="32"/>
        </w:rPr>
        <w:t>具体情况如下：</w:t>
      </w:r>
    </w:p>
    <w:p w14:paraId="6FCAE29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030FC6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04C77F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6F3746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DB74B95">
      <w:pPr>
        <w:spacing w:line="640" w:lineRule="exact"/>
        <w:ind w:firstLine="640"/>
        <w:jc w:val="both"/>
        <w:outlineLvl w:val="2"/>
      </w:pPr>
      <w:r>
        <w:rPr>
          <w:rFonts w:ascii="黑体" w:hAnsi="黑体" w:eastAsia="黑体"/>
          <w:sz w:val="32"/>
        </w:rPr>
        <w:t>十、其他重要事项的情况说明</w:t>
      </w:r>
    </w:p>
    <w:p w14:paraId="1A12A157">
      <w:pPr>
        <w:spacing w:line="640" w:lineRule="exact"/>
        <w:ind w:firstLine="640"/>
        <w:jc w:val="both"/>
        <w:outlineLvl w:val="3"/>
      </w:pPr>
      <w:r>
        <w:rPr>
          <w:rFonts w:ascii="楷体_GB2312" w:hAnsi="楷体_GB2312" w:eastAsia="楷体_GB2312"/>
          <w:b/>
          <w:sz w:val="32"/>
        </w:rPr>
        <w:t>（一）机关运行经费及公用经费支出情况</w:t>
      </w:r>
    </w:p>
    <w:p w14:paraId="6526CE27">
      <w:pPr>
        <w:spacing w:line="580" w:lineRule="exact"/>
        <w:ind w:firstLine="640"/>
        <w:jc w:val="both"/>
      </w:pPr>
      <w:r>
        <w:rPr>
          <w:rFonts w:ascii="仿宋_GB2312" w:hAnsi="仿宋_GB2312" w:eastAsia="仿宋_GB2312"/>
          <w:b w:val="0"/>
          <w:sz w:val="32"/>
        </w:rPr>
        <w:t>2024年度霍城县职业技能教育培训服务管理局（事业单位）公用经费支出1,798.31万元，比上年增加929.75万元，增长107.04%，主要原因是：本年偿还企业欠款项目资金较上年增加。</w:t>
      </w:r>
    </w:p>
    <w:p w14:paraId="5AECABBA">
      <w:pPr>
        <w:spacing w:line="640" w:lineRule="exact"/>
        <w:ind w:firstLine="640"/>
        <w:jc w:val="both"/>
        <w:outlineLvl w:val="3"/>
      </w:pPr>
      <w:r>
        <w:rPr>
          <w:rFonts w:ascii="楷体_GB2312" w:hAnsi="楷体_GB2312" w:eastAsia="楷体_GB2312"/>
          <w:b/>
          <w:sz w:val="32"/>
        </w:rPr>
        <w:t>（二）政府采购情况</w:t>
      </w:r>
    </w:p>
    <w:p w14:paraId="798908EA">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70703483">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20D77446">
      <w:pPr>
        <w:spacing w:line="640" w:lineRule="exact"/>
        <w:ind w:firstLine="640"/>
        <w:jc w:val="both"/>
        <w:outlineLvl w:val="3"/>
      </w:pPr>
      <w:r>
        <w:rPr>
          <w:rFonts w:ascii="楷体_GB2312" w:hAnsi="楷体_GB2312" w:eastAsia="楷体_GB2312"/>
          <w:b/>
          <w:sz w:val="32"/>
        </w:rPr>
        <w:t>（三）国有资产占用情况说明</w:t>
      </w:r>
    </w:p>
    <w:p w14:paraId="14E5C904">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D6BE4CB">
      <w:pPr>
        <w:spacing w:line="640" w:lineRule="exact"/>
        <w:ind w:firstLine="640"/>
        <w:jc w:val="both"/>
        <w:outlineLvl w:val="2"/>
      </w:pPr>
      <w:r>
        <w:rPr>
          <w:rFonts w:ascii="黑体" w:hAnsi="黑体" w:eastAsia="黑体"/>
          <w:sz w:val="32"/>
        </w:rPr>
        <w:t>十一、预算绩效的情况说明</w:t>
      </w:r>
    </w:p>
    <w:p w14:paraId="674F273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rPr>
        <w:t>1,798.31</w:t>
      </w:r>
      <w:r>
        <w:rPr>
          <w:rFonts w:ascii="仿宋_GB2312" w:hAnsi="仿宋_GB2312" w:eastAsia="仿宋_GB2312"/>
          <w:b w:val="0"/>
          <w:sz w:val="32"/>
        </w:rPr>
        <w:t>万元，实际执行总额</w:t>
      </w:r>
      <w:r>
        <w:rPr>
          <w:rFonts w:hint="eastAsia" w:ascii="仿宋_GB2312" w:hAnsi="仿宋_GB2312" w:eastAsia="仿宋_GB2312"/>
          <w:b w:val="0"/>
          <w:sz w:val="32"/>
        </w:rPr>
        <w:t>1,798.31</w:t>
      </w:r>
      <w:r>
        <w:rPr>
          <w:rFonts w:ascii="仿宋_GB2312" w:hAnsi="仿宋_GB2312" w:eastAsia="仿宋_GB2312"/>
          <w:b w:val="0"/>
          <w:sz w:val="32"/>
        </w:rPr>
        <w:t>万元；预算绩效评价项目</w:t>
      </w:r>
      <w:r>
        <w:rPr>
          <w:rFonts w:hint="eastAsia" w:ascii="仿宋_GB2312" w:hAnsi="仿宋_GB2312" w:eastAsia="仿宋_GB2312"/>
          <w:b w:val="0"/>
          <w:sz w:val="32"/>
          <w:lang w:val="en-US" w:eastAsia="zh-CN"/>
        </w:rPr>
        <w:t>1</w:t>
      </w:r>
      <w:r>
        <w:rPr>
          <w:rFonts w:ascii="仿宋_GB2312" w:hAnsi="仿宋_GB2312" w:eastAsia="仿宋_GB2312"/>
          <w:b w:val="0"/>
          <w:sz w:val="32"/>
        </w:rPr>
        <w:t>个，全年预算数1</w:t>
      </w:r>
      <w:r>
        <w:rPr>
          <w:rFonts w:hint="eastAsia" w:ascii="仿宋_GB2312" w:hAnsi="仿宋_GB2312" w:eastAsia="仿宋_GB2312"/>
          <w:b w:val="0"/>
          <w:sz w:val="32"/>
          <w:lang w:val="en-US" w:eastAsia="zh-CN"/>
        </w:rPr>
        <w:t>,</w:t>
      </w:r>
      <w:r>
        <w:rPr>
          <w:rFonts w:ascii="仿宋_GB2312" w:hAnsi="仿宋_GB2312" w:eastAsia="仿宋_GB2312"/>
          <w:b w:val="0"/>
          <w:sz w:val="32"/>
        </w:rPr>
        <w:t>798.31万元，全年执行数1</w:t>
      </w:r>
      <w:r>
        <w:rPr>
          <w:rFonts w:hint="eastAsia" w:ascii="仿宋_GB2312" w:hAnsi="仿宋_GB2312" w:eastAsia="仿宋_GB2312"/>
          <w:b w:val="0"/>
          <w:sz w:val="32"/>
          <w:lang w:val="en-US" w:eastAsia="zh-CN"/>
        </w:rPr>
        <w:t>,</w:t>
      </w:r>
      <w:r>
        <w:rPr>
          <w:rFonts w:ascii="仿宋_GB2312" w:hAnsi="仿宋_GB2312" w:eastAsia="仿宋_GB2312"/>
          <w:b w:val="0"/>
          <w:sz w:val="32"/>
        </w:rPr>
        <w:t>798.31万元。预算绩效管理取得的成效：本年度本单位</w:t>
      </w:r>
      <w:r>
        <w:rPr>
          <w:rFonts w:hint="eastAsia" w:ascii="仿宋_GB2312" w:hAnsi="仿宋_GB2312" w:eastAsia="仿宋_GB2312"/>
          <w:b w:val="0"/>
          <w:sz w:val="32"/>
          <w:lang w:val="en-US" w:eastAsia="zh-CN"/>
        </w:rPr>
        <w:t>项目</w:t>
      </w:r>
      <w:r>
        <w:rPr>
          <w:rFonts w:ascii="仿宋_GB2312" w:hAnsi="仿宋_GB2312" w:eastAsia="仿宋_GB2312"/>
          <w:b w:val="0"/>
          <w:sz w:val="32"/>
        </w:rPr>
        <w:t>绩效自评表不予公开。发现的问题及原因：本年度本单位</w:t>
      </w:r>
      <w:r>
        <w:rPr>
          <w:rFonts w:hint="eastAsia" w:ascii="仿宋_GB2312" w:hAnsi="仿宋_GB2312" w:eastAsia="仿宋_GB2312"/>
          <w:b w:val="0"/>
          <w:sz w:val="32"/>
          <w:lang w:val="en-US" w:eastAsia="zh-CN"/>
        </w:rPr>
        <w:t>项目</w:t>
      </w:r>
      <w:r>
        <w:rPr>
          <w:rFonts w:ascii="仿宋_GB2312" w:hAnsi="仿宋_GB2312" w:eastAsia="仿宋_GB2312"/>
          <w:b w:val="0"/>
          <w:sz w:val="32"/>
        </w:rPr>
        <w:t>绩效自评表不予公开。下一步改进措施：本年度本单位</w:t>
      </w:r>
      <w:r>
        <w:rPr>
          <w:rFonts w:hint="eastAsia" w:ascii="仿宋_GB2312" w:hAnsi="仿宋_GB2312" w:eastAsia="仿宋_GB2312"/>
          <w:b w:val="0"/>
          <w:sz w:val="32"/>
          <w:lang w:val="en-US" w:eastAsia="zh-CN"/>
        </w:rPr>
        <w:t>项目</w:t>
      </w:r>
      <w:r>
        <w:rPr>
          <w:rFonts w:ascii="仿宋_GB2312" w:hAnsi="仿宋_GB2312" w:eastAsia="仿宋_GB2312"/>
          <w:b w:val="0"/>
          <w:sz w:val="32"/>
        </w:rPr>
        <w:t>绩效自评表不予公开。</w:t>
      </w:r>
    </w:p>
    <w:p w14:paraId="4D7C3E90">
      <w:r>
        <w:br w:type="page"/>
      </w:r>
    </w:p>
    <w:p w14:paraId="7E6301BB">
      <w:pPr>
        <w:spacing w:line="640" w:lineRule="exact"/>
        <w:ind w:firstLine="640"/>
        <w:jc w:val="both"/>
        <w:outlineLvl w:val="2"/>
      </w:pPr>
      <w:r>
        <w:rPr>
          <w:rFonts w:ascii="黑体" w:hAnsi="黑体" w:eastAsia="黑体"/>
          <w:sz w:val="32"/>
        </w:rPr>
        <w:t>十二、其他需说明的事项</w:t>
      </w:r>
    </w:p>
    <w:p w14:paraId="0D8A378E">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本年度本单位整体绩效自评表不予公开。</w:t>
      </w:r>
    </w:p>
    <w:p w14:paraId="4CC39FD4">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SM</w:t>
      </w:r>
      <w:r>
        <w:rPr>
          <w:rFonts w:ascii="仿宋_GB2312" w:hAnsi="仿宋_GB2312" w:eastAsia="仿宋_GB2312"/>
          <w:b w:val="0"/>
          <w:sz w:val="32"/>
        </w:rPr>
        <w:t>项目1个，全年预算数1</w:t>
      </w:r>
      <w:r>
        <w:rPr>
          <w:rFonts w:hint="eastAsia" w:ascii="仿宋_GB2312" w:hAnsi="仿宋_GB2312" w:eastAsia="仿宋_GB2312"/>
          <w:b w:val="0"/>
          <w:sz w:val="32"/>
          <w:lang w:val="en-US" w:eastAsia="zh-CN"/>
        </w:rPr>
        <w:t>,</w:t>
      </w:r>
      <w:r>
        <w:rPr>
          <w:rFonts w:ascii="仿宋_GB2312" w:hAnsi="仿宋_GB2312" w:eastAsia="仿宋_GB2312"/>
          <w:b w:val="0"/>
          <w:sz w:val="32"/>
        </w:rPr>
        <w:t>798.31万元，全年执行数1</w:t>
      </w:r>
      <w:r>
        <w:rPr>
          <w:rFonts w:hint="eastAsia" w:ascii="仿宋_GB2312" w:hAnsi="仿宋_GB2312" w:eastAsia="仿宋_GB2312"/>
          <w:b w:val="0"/>
          <w:sz w:val="32"/>
          <w:lang w:val="en-US" w:eastAsia="zh-CN"/>
        </w:rPr>
        <w:t>,</w:t>
      </w:r>
      <w:r>
        <w:rPr>
          <w:rFonts w:ascii="仿宋_GB2312" w:hAnsi="仿宋_GB2312" w:eastAsia="仿宋_GB2312"/>
          <w:b w:val="0"/>
          <w:sz w:val="32"/>
        </w:rPr>
        <w:t>798.31万元。</w:t>
      </w:r>
    </w:p>
    <w:p w14:paraId="625DDE89">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本单位2024年度无政府采购支出，授予中小企业合同金额0.00万元。</w:t>
      </w:r>
    </w:p>
    <w:p w14:paraId="1E605972">
      <w:r>
        <w:br w:type="page"/>
      </w:r>
    </w:p>
    <w:p w14:paraId="060F944C">
      <w:pPr>
        <w:spacing w:line="240" w:lineRule="auto"/>
        <w:jc w:val="center"/>
        <w:outlineLvl w:val="1"/>
      </w:pPr>
      <w:r>
        <w:rPr>
          <w:rFonts w:ascii="黑体" w:hAnsi="黑体" w:eastAsia="黑体"/>
          <w:sz w:val="32"/>
        </w:rPr>
        <w:t>第三部分 专业名词解释</w:t>
      </w:r>
    </w:p>
    <w:p w14:paraId="7322C15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2E6B6D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10BBE0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404D5A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62F627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056D8A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B861D1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9C764C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DC044E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C0F52B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746122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B178C2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FB7260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BB15D9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BA81D90">
      <w:r>
        <w:br w:type="page"/>
      </w:r>
    </w:p>
    <w:p w14:paraId="16E826D2">
      <w:pPr>
        <w:spacing w:line="240" w:lineRule="auto"/>
        <w:jc w:val="center"/>
        <w:outlineLvl w:val="1"/>
      </w:pPr>
      <w:r>
        <w:rPr>
          <w:rFonts w:ascii="黑体" w:hAnsi="黑体" w:eastAsia="黑体"/>
          <w:sz w:val="32"/>
        </w:rPr>
        <w:t>第四部分 部门决算报表（见附表）</w:t>
      </w:r>
    </w:p>
    <w:p w14:paraId="70483FF0">
      <w:pPr>
        <w:spacing w:line="240" w:lineRule="auto"/>
        <w:ind w:firstLine="640"/>
        <w:jc w:val="both"/>
      </w:pPr>
      <w:r>
        <w:rPr>
          <w:rFonts w:ascii="仿宋_GB2312" w:hAnsi="仿宋_GB2312" w:eastAsia="仿宋_GB2312"/>
          <w:b w:val="0"/>
          <w:sz w:val="32"/>
        </w:rPr>
        <w:t>一、《收入支出决算总表》</w:t>
      </w:r>
    </w:p>
    <w:p w14:paraId="2260DD8B">
      <w:pPr>
        <w:spacing w:line="240" w:lineRule="auto"/>
        <w:ind w:firstLine="640"/>
        <w:jc w:val="both"/>
      </w:pPr>
      <w:r>
        <w:rPr>
          <w:rFonts w:ascii="仿宋_GB2312" w:hAnsi="仿宋_GB2312" w:eastAsia="仿宋_GB2312"/>
          <w:b w:val="0"/>
          <w:sz w:val="32"/>
        </w:rPr>
        <w:t>二、《收入决算表》</w:t>
      </w:r>
    </w:p>
    <w:p w14:paraId="220EC303">
      <w:pPr>
        <w:spacing w:line="240" w:lineRule="auto"/>
        <w:ind w:firstLine="640"/>
        <w:jc w:val="both"/>
      </w:pPr>
      <w:r>
        <w:rPr>
          <w:rFonts w:ascii="仿宋_GB2312" w:hAnsi="仿宋_GB2312" w:eastAsia="仿宋_GB2312"/>
          <w:b w:val="0"/>
          <w:sz w:val="32"/>
        </w:rPr>
        <w:t>三、《支出决算表》</w:t>
      </w:r>
    </w:p>
    <w:p w14:paraId="103891E0">
      <w:pPr>
        <w:spacing w:line="240" w:lineRule="auto"/>
        <w:ind w:firstLine="640"/>
        <w:jc w:val="both"/>
      </w:pPr>
      <w:r>
        <w:rPr>
          <w:rFonts w:ascii="仿宋_GB2312" w:hAnsi="仿宋_GB2312" w:eastAsia="仿宋_GB2312"/>
          <w:b w:val="0"/>
          <w:sz w:val="32"/>
        </w:rPr>
        <w:t>四、《财政拨款收入支出决算总表》</w:t>
      </w:r>
    </w:p>
    <w:p w14:paraId="3FA5D4CF">
      <w:pPr>
        <w:spacing w:line="240" w:lineRule="auto"/>
        <w:ind w:firstLine="640"/>
        <w:jc w:val="both"/>
      </w:pPr>
      <w:r>
        <w:rPr>
          <w:rFonts w:ascii="仿宋_GB2312" w:hAnsi="仿宋_GB2312" w:eastAsia="仿宋_GB2312"/>
          <w:b w:val="0"/>
          <w:sz w:val="32"/>
        </w:rPr>
        <w:t>五、《一般公共预算财政拨款支出决算表》</w:t>
      </w:r>
    </w:p>
    <w:p w14:paraId="5328EF0D">
      <w:pPr>
        <w:spacing w:line="240" w:lineRule="auto"/>
        <w:ind w:firstLine="640"/>
        <w:jc w:val="both"/>
      </w:pPr>
      <w:r>
        <w:rPr>
          <w:rFonts w:ascii="仿宋_GB2312" w:hAnsi="仿宋_GB2312" w:eastAsia="仿宋_GB2312"/>
          <w:b w:val="0"/>
          <w:sz w:val="32"/>
        </w:rPr>
        <w:t>六、《一般公共预算财政拨款基本支出决算表》</w:t>
      </w:r>
    </w:p>
    <w:p w14:paraId="2663013B">
      <w:pPr>
        <w:spacing w:line="240" w:lineRule="auto"/>
        <w:ind w:firstLine="640"/>
        <w:jc w:val="both"/>
      </w:pPr>
      <w:r>
        <w:rPr>
          <w:rFonts w:ascii="仿宋_GB2312" w:hAnsi="仿宋_GB2312" w:eastAsia="仿宋_GB2312"/>
          <w:b w:val="0"/>
          <w:sz w:val="32"/>
        </w:rPr>
        <w:t>七、《政府性基金预算财政拨款收入支出决算表》</w:t>
      </w:r>
    </w:p>
    <w:p w14:paraId="71D3FA00">
      <w:pPr>
        <w:spacing w:line="240" w:lineRule="auto"/>
        <w:ind w:firstLine="640"/>
        <w:jc w:val="both"/>
      </w:pPr>
      <w:r>
        <w:rPr>
          <w:rFonts w:ascii="仿宋_GB2312" w:hAnsi="仿宋_GB2312" w:eastAsia="仿宋_GB2312"/>
          <w:b w:val="0"/>
          <w:sz w:val="32"/>
        </w:rPr>
        <w:t>八、《国有资本经营预算财政拨款收入支出决算表》</w:t>
      </w:r>
    </w:p>
    <w:p w14:paraId="637464B0">
      <w:pPr>
        <w:spacing w:line="240" w:lineRule="auto"/>
        <w:ind w:firstLine="640"/>
        <w:jc w:val="both"/>
      </w:pPr>
      <w:r>
        <w:rPr>
          <w:rFonts w:ascii="仿宋_GB2312" w:hAnsi="仿宋_GB2312" w:eastAsia="仿宋_GB2312"/>
          <w:b w:val="0"/>
          <w:sz w:val="32"/>
        </w:rPr>
        <w:t>九、《财政拨款“三公”经费支出决算表》</w:t>
      </w:r>
    </w:p>
    <w:p w14:paraId="7F554C98">
      <w:pPr>
        <w:spacing w:line="240" w:lineRule="auto"/>
        <w:ind w:firstLine="640"/>
        <w:jc w:val="both"/>
      </w:pPr>
    </w:p>
    <w:p w14:paraId="6DD137F1">
      <w:pPr>
        <w:spacing w:line="240" w:lineRule="auto"/>
        <w:ind w:firstLine="640"/>
        <w:jc w:val="both"/>
      </w:pPr>
    </w:p>
    <w:p w14:paraId="0B077F7D">
      <w:pPr>
        <w:spacing w:line="240" w:lineRule="auto"/>
        <w:ind w:firstLine="640"/>
        <w:jc w:val="both"/>
      </w:pPr>
    </w:p>
    <w:p w14:paraId="5D3F58BD">
      <w:pPr>
        <w:spacing w:line="240" w:lineRule="auto"/>
        <w:ind w:firstLine="640"/>
        <w:jc w:val="both"/>
      </w:pPr>
    </w:p>
    <w:p w14:paraId="033F239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5147E57"/>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0C16A3"/>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BF57B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4674</Words>
  <Characters>5378</Characters>
  <Lines>0</Lines>
  <Paragraphs>0</Paragraphs>
  <TotalTime>11</TotalTime>
  <ScaleCrop>false</ScaleCrop>
  <LinksUpToDate>false</LinksUpToDate>
  <CharactersWithSpaces>5388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2025-09-25T08:19:13Z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