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1D77D5">
      <w:r>
        <w:br w:type="page"/>
      </w:r>
    </w:p>
    <w:p w14:paraId="2A532A07">
      <w:pPr>
        <w:spacing w:line="640" w:lineRule="exact"/>
        <w:jc w:val="center"/>
        <w:outlineLvl w:val="1"/>
      </w:pPr>
      <w:r>
        <w:rPr>
          <w:rFonts w:ascii="黑体" w:hAnsi="黑体" w:eastAsia="黑体"/>
          <w:sz w:val="32"/>
        </w:rPr>
        <w:t>第一部分 单位概况</w:t>
      </w:r>
    </w:p>
    <w:p w14:paraId="7BBE96B1">
      <w:pPr>
        <w:spacing w:line="640" w:lineRule="exact"/>
        <w:ind w:firstLine="640"/>
        <w:jc w:val="both"/>
        <w:outlineLvl w:val="2"/>
      </w:pPr>
      <w:r>
        <w:rPr>
          <w:rFonts w:ascii="黑体" w:hAnsi="黑体" w:eastAsia="黑体"/>
          <w:sz w:val="32"/>
        </w:rPr>
        <w:t>一、主要职能</w:t>
      </w:r>
    </w:p>
    <w:p w14:paraId="54516FDA">
      <w:pPr>
        <w:spacing w:line="580" w:lineRule="exact"/>
        <w:ind w:firstLine="640"/>
        <w:jc w:val="both"/>
      </w:pPr>
      <w:r>
        <w:rPr>
          <w:rFonts w:ascii="仿宋_GB2312" w:hAnsi="仿宋_GB2312" w:eastAsia="仿宋_GB2312"/>
          <w:sz w:val="32"/>
        </w:rPr>
        <w:t>霍城县第一中学是九年一贯制学校，复制贯彻党的教育方针，坚持正确办学方向、实行教育与生产相结合，对学生进行德育、智育、体育、美育和劳动等方面的教育，负责组织少年入学，严格控制学生辍学，依法保证少年接受教育。本年度工作计划：建设一支高素质的师资队伍，为学校可持续发展奠定基础，巩固、提高教学成果，普及义务教育，保障初中生全部入学就读及结业。</w:t>
      </w:r>
    </w:p>
    <w:p w14:paraId="4B70166D">
      <w:pPr>
        <w:spacing w:line="640" w:lineRule="exact"/>
        <w:ind w:firstLine="640"/>
        <w:jc w:val="both"/>
        <w:outlineLvl w:val="2"/>
      </w:pPr>
      <w:r>
        <w:rPr>
          <w:rFonts w:ascii="黑体" w:hAnsi="黑体" w:eastAsia="黑体"/>
          <w:sz w:val="32"/>
        </w:rPr>
        <w:t>二、机构设置及人员情况</w:t>
      </w:r>
    </w:p>
    <w:p w14:paraId="5FA235D6">
      <w:pPr>
        <w:spacing w:line="580" w:lineRule="exact"/>
        <w:ind w:firstLine="640"/>
        <w:jc w:val="both"/>
      </w:pPr>
      <w:r>
        <w:rPr>
          <w:rFonts w:ascii="仿宋_GB2312" w:hAnsi="仿宋_GB2312" w:eastAsia="仿宋_GB2312"/>
          <w:sz w:val="32"/>
        </w:rPr>
        <w:t>霍城县第一中学2024年度，实有人数314人，其中：在职人员230人，增加137人；离休人员0人，增加0人；退休人员84人,增加5人。</w:t>
      </w:r>
    </w:p>
    <w:p w14:paraId="206E03C7">
      <w:pPr>
        <w:spacing w:line="580" w:lineRule="exact"/>
        <w:ind w:firstLine="640"/>
        <w:jc w:val="both"/>
      </w:pPr>
      <w:r>
        <w:rPr>
          <w:rFonts w:ascii="仿宋_GB2312" w:hAnsi="仿宋_GB2312" w:eastAsia="仿宋_GB2312"/>
          <w:sz w:val="32"/>
        </w:rPr>
        <w:t>霍城县第一中学无下属预算单位，下设9个科室，分别是：党建办、教务处、德育处、平安办、财务室、工会、七年级组、八年级组、九年级组。</w:t>
      </w:r>
    </w:p>
    <w:p w14:paraId="1A3B59DF">
      <w:r>
        <w:br w:type="page"/>
      </w:r>
    </w:p>
    <w:p w14:paraId="2EB13DD8">
      <w:pPr>
        <w:spacing w:line="240" w:lineRule="auto"/>
        <w:jc w:val="center"/>
        <w:outlineLvl w:val="1"/>
      </w:pPr>
      <w:r>
        <w:rPr>
          <w:rFonts w:ascii="黑体" w:hAnsi="黑体" w:eastAsia="黑体"/>
          <w:sz w:val="32"/>
        </w:rPr>
        <w:t>第二部分 部门决算情况说明</w:t>
      </w:r>
    </w:p>
    <w:p w14:paraId="4DBD877B">
      <w:pPr>
        <w:spacing w:line="640" w:lineRule="exact"/>
        <w:ind w:firstLine="640"/>
        <w:jc w:val="both"/>
        <w:outlineLvl w:val="2"/>
      </w:pPr>
      <w:r>
        <w:rPr>
          <w:rFonts w:ascii="黑体" w:hAnsi="黑体" w:eastAsia="黑体"/>
          <w:sz w:val="32"/>
        </w:rPr>
        <w:t>一、收入支出决算总体情况说明</w:t>
      </w:r>
    </w:p>
    <w:p w14:paraId="3BFF77AC">
      <w:pPr>
        <w:spacing w:line="580" w:lineRule="exact"/>
        <w:ind w:firstLine="640"/>
        <w:jc w:val="both"/>
      </w:pPr>
      <w:r>
        <w:rPr>
          <w:rFonts w:ascii="仿宋_GB2312" w:hAnsi="仿宋_GB2312" w:eastAsia="仿宋_GB2312"/>
          <w:b/>
          <w:sz w:val="32"/>
        </w:rPr>
        <w:t>2024年度收入总计4,761.13万元，</w:t>
      </w:r>
      <w:r>
        <w:rPr>
          <w:rFonts w:ascii="仿宋_GB2312" w:hAnsi="仿宋_GB2312" w:eastAsia="仿宋_GB2312"/>
          <w:b w:val="0"/>
          <w:sz w:val="32"/>
        </w:rPr>
        <w:t>其中：本年收入合计4,761.13万元，使用非财政拨款结余（含专用结余）0.00万元，年初结转和结余0.00万元。</w:t>
      </w:r>
    </w:p>
    <w:p w14:paraId="74CF0D34">
      <w:pPr>
        <w:spacing w:line="580" w:lineRule="exact"/>
        <w:ind w:firstLine="640"/>
        <w:jc w:val="both"/>
      </w:pPr>
      <w:r>
        <w:rPr>
          <w:rFonts w:ascii="仿宋_GB2312" w:hAnsi="仿宋_GB2312" w:eastAsia="仿宋_GB2312"/>
          <w:b/>
          <w:sz w:val="32"/>
        </w:rPr>
        <w:t>2024年度支出总计4,761.13万元，</w:t>
      </w:r>
      <w:r>
        <w:rPr>
          <w:rFonts w:ascii="仿宋_GB2312" w:hAnsi="仿宋_GB2312" w:eastAsia="仿宋_GB2312"/>
          <w:b w:val="0"/>
          <w:sz w:val="32"/>
        </w:rPr>
        <w:t>其中：本年支出合计4,761.13万元，结余分配0.00万元，年末结转和结余0.00万元。</w:t>
      </w:r>
    </w:p>
    <w:p w14:paraId="0DA183CE">
      <w:pPr>
        <w:spacing w:line="580" w:lineRule="exact"/>
        <w:ind w:firstLine="640"/>
        <w:jc w:val="both"/>
      </w:pPr>
      <w:r>
        <w:rPr>
          <w:rFonts w:ascii="仿宋_GB2312" w:hAnsi="仿宋_GB2312" w:eastAsia="仿宋_GB2312"/>
          <w:b w:val="0"/>
          <w:sz w:val="32"/>
        </w:rPr>
        <w:t>收入支出总体与上年相比，增加2,045.19万元，增长75.30%，主要原因是：本年霍城县惠远中学、三宫中学、三道河中学合并至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，在职人员增加，在职人员工资调增、社保、公积金基数调增，人员经费增加。</w:t>
      </w:r>
    </w:p>
    <w:p w14:paraId="7744A9E8">
      <w:pPr>
        <w:spacing w:line="640" w:lineRule="exact"/>
        <w:ind w:firstLine="640"/>
        <w:jc w:val="both"/>
        <w:outlineLvl w:val="2"/>
      </w:pPr>
      <w:r>
        <w:rPr>
          <w:rFonts w:ascii="黑体" w:hAnsi="黑体" w:eastAsia="黑体"/>
          <w:sz w:val="32"/>
        </w:rPr>
        <w:t>二、收入决算情况说明</w:t>
      </w:r>
    </w:p>
    <w:p w14:paraId="64073CEC">
      <w:pPr>
        <w:spacing w:line="580" w:lineRule="exact"/>
        <w:ind w:firstLine="640"/>
        <w:jc w:val="both"/>
      </w:pPr>
      <w:r>
        <w:rPr>
          <w:rFonts w:ascii="仿宋_GB2312" w:hAnsi="仿宋_GB2312" w:eastAsia="仿宋_GB2312"/>
          <w:b/>
          <w:sz w:val="32"/>
        </w:rPr>
        <w:t>本年收入4,761.13万元，</w:t>
      </w:r>
      <w:r>
        <w:rPr>
          <w:rFonts w:ascii="仿宋_GB2312" w:hAnsi="仿宋_GB2312" w:eastAsia="仿宋_GB2312"/>
          <w:b w:val="0"/>
          <w:sz w:val="32"/>
        </w:rPr>
        <w:t>其中：财政拨款收入4,761.13万元，占100.00%；上级补助收入0.00万元，占0.00%；事业收入0.00万元，占0.00%；经营收入0.00万元，占0.00%；附属单位上缴收入0.00万元，占0.00%；其他收入0.00万元，占0.00%。</w:t>
      </w:r>
    </w:p>
    <w:p w14:paraId="55473BFC">
      <w:pPr>
        <w:spacing w:line="640" w:lineRule="exact"/>
        <w:ind w:firstLine="640"/>
        <w:jc w:val="both"/>
        <w:outlineLvl w:val="2"/>
      </w:pPr>
      <w:r>
        <w:rPr>
          <w:rFonts w:ascii="黑体" w:hAnsi="黑体" w:eastAsia="黑体"/>
          <w:sz w:val="32"/>
        </w:rPr>
        <w:t>三、支出决算情况说明</w:t>
      </w:r>
    </w:p>
    <w:p w14:paraId="2A9F2D7F">
      <w:pPr>
        <w:spacing w:line="580" w:lineRule="exact"/>
        <w:ind w:firstLine="640"/>
        <w:jc w:val="both"/>
      </w:pPr>
      <w:r>
        <w:rPr>
          <w:rFonts w:ascii="仿宋_GB2312" w:hAnsi="仿宋_GB2312" w:eastAsia="仿宋_GB2312"/>
          <w:b/>
          <w:sz w:val="32"/>
        </w:rPr>
        <w:t>本年支出4,761.13万元，</w:t>
      </w:r>
      <w:r>
        <w:rPr>
          <w:rFonts w:ascii="仿宋_GB2312" w:hAnsi="仿宋_GB2312" w:eastAsia="仿宋_GB2312"/>
          <w:b w:val="0"/>
          <w:sz w:val="32"/>
        </w:rPr>
        <w:t>其中：基本支出4,761.13万元，占100.00%；项目支出0.00万元，占0.00%；上缴上级支出0.00万元，占0.00%；经营支出0.00万元，占0.00%；对附属单位补助支出0.00万元，占0.00%。</w:t>
      </w:r>
    </w:p>
    <w:p w14:paraId="78E36D02">
      <w:pPr>
        <w:spacing w:line="640" w:lineRule="exact"/>
        <w:ind w:firstLine="640"/>
        <w:jc w:val="both"/>
        <w:outlineLvl w:val="2"/>
      </w:pPr>
      <w:r>
        <w:rPr>
          <w:rFonts w:ascii="黑体" w:hAnsi="黑体" w:eastAsia="黑体"/>
          <w:sz w:val="32"/>
        </w:rPr>
        <w:t>四、财政拨款收入支出决算总体情况说明</w:t>
      </w:r>
    </w:p>
    <w:p w14:paraId="1A573090">
      <w:pPr>
        <w:spacing w:line="580" w:lineRule="exact"/>
        <w:ind w:firstLine="640"/>
        <w:jc w:val="both"/>
      </w:pPr>
      <w:r>
        <w:rPr>
          <w:rFonts w:ascii="仿宋_GB2312" w:hAnsi="仿宋_GB2312" w:eastAsia="仿宋_GB2312"/>
          <w:b/>
          <w:sz w:val="32"/>
        </w:rPr>
        <w:t>2024年度财政拨款收入总计4,761.13万元，</w:t>
      </w:r>
      <w:r>
        <w:rPr>
          <w:rFonts w:ascii="仿宋_GB2312" w:hAnsi="仿宋_GB2312" w:eastAsia="仿宋_GB2312"/>
          <w:b w:val="0"/>
          <w:sz w:val="32"/>
        </w:rPr>
        <w:t>其中：年初财政拨款结转和结余0.00万元，本年财政拨款收入4,761.13万元。</w:t>
      </w:r>
      <w:r>
        <w:rPr>
          <w:rFonts w:ascii="仿宋_GB2312" w:hAnsi="仿宋_GB2312" w:eastAsia="仿宋_GB2312"/>
          <w:b/>
          <w:sz w:val="32"/>
        </w:rPr>
        <w:t>财政拨款支出总计4,761.13万元，</w:t>
      </w:r>
      <w:r>
        <w:rPr>
          <w:rFonts w:ascii="仿宋_GB2312" w:hAnsi="仿宋_GB2312" w:eastAsia="仿宋_GB2312"/>
          <w:b w:val="0"/>
          <w:sz w:val="32"/>
        </w:rPr>
        <w:t>其中：年末财政拨款结转和结余0.00万元，本年财政拨款支出4,761.13万元。</w:t>
      </w:r>
    </w:p>
    <w:p w14:paraId="28B9512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增加2,071.53万元，增长77.02%，主要原因是：本年霍城县惠远中学、三宫中学、三道河中学合并至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年初预算数2,363.78万元，决算数4,761.13万元，预决算差异率101.42%，主要原因是：本年霍城县惠远中学、三宫中学、三道河中学合并至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，在职人员增加，年中追加人员经费及人员工资、社保、公积金基数调增部分资金，导致预决算存在差异。</w:t>
      </w:r>
    </w:p>
    <w:p w14:paraId="379A7FA6">
      <w:pPr>
        <w:spacing w:line="640" w:lineRule="exact"/>
        <w:ind w:firstLine="640"/>
        <w:jc w:val="both"/>
        <w:outlineLvl w:val="2"/>
      </w:pPr>
      <w:r>
        <w:rPr>
          <w:rFonts w:ascii="黑体" w:hAnsi="黑体" w:eastAsia="黑体"/>
          <w:sz w:val="32"/>
        </w:rPr>
        <w:t>五、一般公共预算财政拨款支出决算情况说明</w:t>
      </w:r>
    </w:p>
    <w:p w14:paraId="69072C46">
      <w:pPr>
        <w:spacing w:line="640" w:lineRule="exact"/>
        <w:ind w:firstLine="640"/>
        <w:jc w:val="both"/>
        <w:outlineLvl w:val="3"/>
      </w:pPr>
      <w:r>
        <w:rPr>
          <w:rFonts w:ascii="楷体_GB2312" w:hAnsi="楷体_GB2312" w:eastAsia="楷体_GB2312"/>
          <w:b/>
          <w:sz w:val="32"/>
        </w:rPr>
        <w:t>（一）一般公共预算财政拨款支出决算总体情况</w:t>
      </w:r>
    </w:p>
    <w:p w14:paraId="448CBF77">
      <w:pPr>
        <w:spacing w:line="580" w:lineRule="exact"/>
        <w:ind w:firstLine="640"/>
        <w:jc w:val="both"/>
      </w:pPr>
      <w:r>
        <w:rPr>
          <w:rFonts w:ascii="仿宋_GB2312" w:hAnsi="仿宋_GB2312" w:eastAsia="仿宋_GB2312"/>
          <w:b/>
          <w:sz w:val="32"/>
        </w:rPr>
        <w:t>2024年度一般公共预算财政拨款支出4,761.13万元，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增加2,071.53万元，增长77.02%，主要原因是：本年霍城县惠远中学、三宫中学、三道河中学合并至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年初预算数2,363.78万元，决算数4,761.13万元，预决算差异率101.42%，主要原因是：本年霍城县惠远中学、三宫中学、三道河中学合并至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，在职人员增加，年中追加人员经费及人员工资、社保、公积金基数调增部分资金，导致预决算存在差异。</w:t>
      </w:r>
    </w:p>
    <w:p w14:paraId="0744B4B6">
      <w:pPr>
        <w:spacing w:line="640" w:lineRule="exact"/>
        <w:ind w:firstLine="640"/>
        <w:jc w:val="both"/>
        <w:outlineLvl w:val="3"/>
      </w:pPr>
      <w:r>
        <w:rPr>
          <w:rFonts w:ascii="楷体_GB2312" w:hAnsi="楷体_GB2312" w:eastAsia="楷体_GB2312"/>
          <w:b/>
          <w:sz w:val="32"/>
        </w:rPr>
        <w:t>（二）一般公共预算财政拨款支出决算结构情况</w:t>
      </w:r>
    </w:p>
    <w:p w14:paraId="18B70D0A">
      <w:pPr>
        <w:spacing w:line="580" w:lineRule="exact"/>
        <w:ind w:firstLine="640"/>
        <w:jc w:val="both"/>
      </w:pPr>
      <w:r>
        <w:rPr>
          <w:rFonts w:ascii="仿宋_GB2312" w:hAnsi="仿宋_GB2312" w:eastAsia="仿宋_GB2312"/>
          <w:b w:val="0"/>
          <w:sz w:val="32"/>
        </w:rPr>
        <w:t>1.教育支出(类)3,958.62万元,占83.14%。</w:t>
      </w:r>
    </w:p>
    <w:p w14:paraId="68D34480">
      <w:pPr>
        <w:spacing w:line="580" w:lineRule="exact"/>
        <w:ind w:firstLine="640"/>
        <w:jc w:val="both"/>
      </w:pPr>
      <w:r>
        <w:rPr>
          <w:rFonts w:ascii="仿宋_GB2312" w:hAnsi="仿宋_GB2312" w:eastAsia="仿宋_GB2312"/>
          <w:b w:val="0"/>
          <w:sz w:val="32"/>
        </w:rPr>
        <w:t>2.社会保障和就业支出(类)582.08万元,占12.23%。</w:t>
      </w:r>
    </w:p>
    <w:p w14:paraId="3724C0C1">
      <w:pPr>
        <w:spacing w:line="580" w:lineRule="exact"/>
        <w:ind w:firstLine="640"/>
        <w:jc w:val="both"/>
      </w:pPr>
      <w:r>
        <w:rPr>
          <w:rFonts w:ascii="仿宋_GB2312" w:hAnsi="仿宋_GB2312" w:eastAsia="仿宋_GB2312"/>
          <w:b w:val="0"/>
          <w:sz w:val="32"/>
        </w:rPr>
        <w:t>3.卫生健康支出(类)220.43万元,占4.63%。</w:t>
      </w:r>
    </w:p>
    <w:p w14:paraId="6B2D98C9">
      <w:pPr>
        <w:spacing w:line="640" w:lineRule="exact"/>
        <w:ind w:firstLine="640"/>
        <w:jc w:val="both"/>
        <w:outlineLvl w:val="3"/>
      </w:pPr>
      <w:r>
        <w:rPr>
          <w:rFonts w:ascii="楷体_GB2312" w:hAnsi="楷体_GB2312" w:eastAsia="楷体_GB2312"/>
          <w:b/>
          <w:sz w:val="32"/>
        </w:rPr>
        <w:t>（三）一般公共预算财政拨款支出决算具体情况</w:t>
      </w:r>
    </w:p>
    <w:p w14:paraId="075B2D93">
      <w:pPr>
        <w:spacing w:line="580" w:lineRule="exact"/>
        <w:ind w:firstLine="640"/>
        <w:jc w:val="both"/>
      </w:pPr>
      <w:r>
        <w:rPr>
          <w:rFonts w:ascii="仿宋_GB2312" w:hAnsi="仿宋_GB2312" w:eastAsia="仿宋_GB2312"/>
          <w:b w:val="0"/>
          <w:sz w:val="32"/>
        </w:rPr>
        <w:t>1.教育支出(类)普通教育(款)初中教育(项):支出决算数为3,875.87万元，比上年决算增加1,768.63万元，增长83.93%,主要原因是：本年霍城县惠远中学、三宫中学、三道河中学合并至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，在职人员增加，在职人员工资调增、社保、公积金基数调增，人员经费增加；科目调整，班主任津贴上年单独列支，本年调整至初中教育列支，导致经费增加。</w:t>
      </w:r>
    </w:p>
    <w:p w14:paraId="71B42BAA">
      <w:pPr>
        <w:spacing w:line="580" w:lineRule="exact"/>
        <w:ind w:firstLine="640"/>
        <w:jc w:val="both"/>
      </w:pPr>
      <w:r>
        <w:rPr>
          <w:rFonts w:ascii="仿宋_GB2312" w:hAnsi="仿宋_GB2312" w:eastAsia="仿宋_GB2312"/>
          <w:b w:val="0"/>
          <w:sz w:val="32"/>
        </w:rPr>
        <w:t>2.教育支出(类)普通教育(款)其他普通教育支出(项):支出决算数为60.42万元，比上年决算减少41.01万元，下降40.43%,主要原因是：本年临聘人员减少，人员经费减少。</w:t>
      </w:r>
    </w:p>
    <w:p w14:paraId="1364E1B7">
      <w:pPr>
        <w:spacing w:line="580" w:lineRule="exact"/>
        <w:ind w:firstLine="640"/>
        <w:jc w:val="both"/>
      </w:pPr>
      <w:r>
        <w:rPr>
          <w:rFonts w:ascii="仿宋_GB2312" w:hAnsi="仿宋_GB2312" w:eastAsia="仿宋_GB2312"/>
          <w:b w:val="0"/>
          <w:sz w:val="32"/>
        </w:rPr>
        <w:t>3.教育支出(类)特殊教育(款)特殊学校教育(项):支出决算数为2.33万元，比上年决算增加2.33万元，增长100.00%,主要原因是：本年新增残疾学生项目经费。</w:t>
      </w:r>
    </w:p>
    <w:p w14:paraId="00A9B065">
      <w:pPr>
        <w:spacing w:line="580" w:lineRule="exact"/>
        <w:ind w:firstLine="640"/>
        <w:jc w:val="both"/>
      </w:pPr>
      <w:r>
        <w:rPr>
          <w:rFonts w:ascii="仿宋_GB2312" w:hAnsi="仿宋_GB2312" w:eastAsia="仿宋_GB2312"/>
          <w:b w:val="0"/>
          <w:sz w:val="32"/>
        </w:rPr>
        <w:t>4.教育支出(类)特殊教育(款)其他特殊教育支出(项):支出决算数为20.00万元，比上年决算增加20.00万元，增长100.00%,主要原因是：本年新增残疾学生项目经费。</w:t>
      </w:r>
    </w:p>
    <w:p w14:paraId="3B6863AA">
      <w:pPr>
        <w:spacing w:line="580" w:lineRule="exact"/>
        <w:ind w:firstLine="640"/>
        <w:jc w:val="both"/>
      </w:pPr>
      <w:r>
        <w:rPr>
          <w:rFonts w:ascii="仿宋_GB2312" w:hAnsi="仿宋_GB2312" w:eastAsia="仿宋_GB2312"/>
          <w:b w:val="0"/>
          <w:sz w:val="32"/>
        </w:rPr>
        <w:t>5.教育支出(类)教育费附加安排的支出(款)其他教育费附加安排的支出(项):支出决算数为0.00万元，比上年决算减少2.55万元，下降100.00%,主要原因是：本年减少培训费。</w:t>
      </w:r>
    </w:p>
    <w:p w14:paraId="7D7755B4">
      <w:pPr>
        <w:spacing w:line="580" w:lineRule="exact"/>
        <w:ind w:firstLine="640"/>
        <w:jc w:val="both"/>
      </w:pPr>
      <w:r>
        <w:rPr>
          <w:rFonts w:ascii="仿宋_GB2312" w:hAnsi="仿宋_GB2312" w:eastAsia="仿宋_GB2312"/>
          <w:b w:val="0"/>
          <w:sz w:val="32"/>
        </w:rPr>
        <w:t>6.教育支出(类)其他教育支出(款)其他教育支出(项):支出决算数为0.00万元，比上年决算减少4.37万元，下降100.00%,主要原因是：本年科目调整，班主任津贴上年单独列支，本年调整至初中教育列支，导致经费减少。</w:t>
      </w:r>
    </w:p>
    <w:p w14:paraId="6DC05728">
      <w:pPr>
        <w:spacing w:line="580" w:lineRule="exact"/>
        <w:ind w:firstLine="640"/>
        <w:jc w:val="both"/>
      </w:pPr>
      <w:r>
        <w:rPr>
          <w:rFonts w:ascii="仿宋_GB2312" w:hAnsi="仿宋_GB2312" w:eastAsia="仿宋_GB2312"/>
          <w:b w:val="0"/>
          <w:sz w:val="32"/>
        </w:rPr>
        <w:t>7.社会保障和就业支出(类)行政事业单位养老支出(款)事业单位离退休(项):支出决算数为63.74万元，比上年决算增加49.08万元，增长334.79%,主要原因是：本年退休人员增加，发放退休人员基础绩效，退休费支出增加。</w:t>
      </w:r>
    </w:p>
    <w:p w14:paraId="634E3623">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440.86万元，比上年决算增加258.68万元，增长141.99%,主要原因是：本年霍城县惠远中学、三宫中学、三道河中学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，在职人员增加，在职人员工资调增，养老保险缴费支出增加。</w:t>
      </w:r>
    </w:p>
    <w:p w14:paraId="6E564A9F">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77.49万元，比上年决算增加19.15万元，增长32.82%,主要原因是：本年新增退休人员较上年增加，职业年金缴费支出增加。</w:t>
      </w:r>
    </w:p>
    <w:p w14:paraId="44B2334E">
      <w:pPr>
        <w:spacing w:line="580" w:lineRule="exact"/>
        <w:ind w:firstLine="640"/>
        <w:jc w:val="both"/>
      </w:pPr>
      <w:r>
        <w:rPr>
          <w:rFonts w:ascii="仿宋_GB2312" w:hAnsi="仿宋_GB2312" w:eastAsia="仿宋_GB2312"/>
          <w:b w:val="0"/>
          <w:sz w:val="32"/>
        </w:rPr>
        <w:t>10.社会保障和就业支出(类)抚恤(款)死亡抚恤(项):支出决算数为0.00万元，比上年决算减少84.64万元，下降100.00%,主要原因是：本年无新增死亡人员，死亡抚恤支出较上年减少。</w:t>
      </w:r>
    </w:p>
    <w:p w14:paraId="3C59727F">
      <w:pPr>
        <w:spacing w:line="580" w:lineRule="exact"/>
        <w:ind w:firstLine="640"/>
        <w:jc w:val="both"/>
      </w:pPr>
      <w:r>
        <w:rPr>
          <w:rFonts w:ascii="仿宋_GB2312" w:hAnsi="仿宋_GB2312" w:eastAsia="仿宋_GB2312"/>
          <w:b w:val="0"/>
          <w:sz w:val="32"/>
        </w:rPr>
        <w:t>11.卫生健康支出(类)行政事业单位医疗(款)事业单位医疗(项):支出决算数为220.43万元，比上年决算增加86.25万元，增长64.28%,主要原因是：本年霍城县惠远中学、三宫中学、三道河中学合并至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，在职人员增加，在职人员工资调增，事业单位医疗缴费增加。</w:t>
      </w:r>
    </w:p>
    <w:p w14:paraId="1376273D">
      <w:pPr>
        <w:spacing w:line="640" w:lineRule="exact"/>
        <w:ind w:firstLine="640"/>
        <w:jc w:val="both"/>
        <w:outlineLvl w:val="2"/>
      </w:pPr>
      <w:r>
        <w:rPr>
          <w:rFonts w:ascii="黑体" w:hAnsi="黑体" w:eastAsia="黑体"/>
          <w:sz w:val="32"/>
        </w:rPr>
        <w:t>六、一般公共预算财政拨款基本支出决算情况说明</w:t>
      </w:r>
    </w:p>
    <w:p w14:paraId="2CAACCF3">
      <w:pPr>
        <w:spacing w:line="580" w:lineRule="exact"/>
        <w:ind w:firstLine="640"/>
        <w:jc w:val="both"/>
      </w:pPr>
      <w:r>
        <w:rPr>
          <w:rFonts w:ascii="仿宋_GB2312" w:hAnsi="仿宋_GB2312" w:eastAsia="仿宋_GB2312"/>
          <w:b w:val="0"/>
          <w:sz w:val="32"/>
        </w:rPr>
        <w:t>2024年度一般公共预算财政拨款基本支出4,761.13万元，其中：</w:t>
      </w:r>
      <w:r>
        <w:rPr>
          <w:rFonts w:ascii="仿宋_GB2312" w:hAnsi="仿宋_GB2312" w:eastAsia="仿宋_GB2312"/>
          <w:b/>
          <w:sz w:val="32"/>
        </w:rPr>
        <w:t>人员经费4,399.98万元，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包括：基本工资、津贴补贴、奖金、绩效工资、机关事业单位基本养老保险缴费、职业年金缴费、职工基本医疗保险缴费、其他社会保障缴费、住房公积金、其他工资福利支出、退休费、生活补助、助学金。</w:t>
      </w:r>
    </w:p>
    <w:p w14:paraId="5A3DD562">
      <w:pPr>
        <w:spacing w:line="580" w:lineRule="exact"/>
        <w:ind w:firstLine="640"/>
        <w:jc w:val="both"/>
      </w:pPr>
      <w:r>
        <w:rPr>
          <w:rFonts w:ascii="仿宋_GB2312" w:hAnsi="仿宋_GB2312" w:eastAsia="仿宋_GB2312"/>
          <w:b/>
          <w:sz w:val="32"/>
        </w:rPr>
        <w:t>公用经费361.14万元，</w:t>
      </w:r>
      <w:r>
        <w:rPr>
          <w:rFonts w:ascii="仿宋_GB2312" w:hAnsi="仿宋_GB2312" w:eastAsia="仿宋_GB2312"/>
          <w:b w:val="0"/>
          <w:sz w:val="32"/>
        </w:rPr>
        <w:t>包括：办公费、印刷费、手续费、水费、电费、邮电费、取暖费、物业管理费、差旅费、维修（护）费、培训费、专用材料费、工会经费、福利费。</w:t>
      </w:r>
    </w:p>
    <w:p w14:paraId="08D4D018">
      <w:pPr>
        <w:spacing w:line="640" w:lineRule="exact"/>
        <w:ind w:firstLine="640"/>
        <w:jc w:val="both"/>
        <w:outlineLvl w:val="2"/>
      </w:pPr>
      <w:r>
        <w:rPr>
          <w:rFonts w:ascii="黑体" w:hAnsi="黑体" w:eastAsia="黑体"/>
          <w:sz w:val="32"/>
        </w:rPr>
        <w:t>七、政府性基金预算财政拨款收入支出决算情况说明</w:t>
      </w:r>
    </w:p>
    <w:p w14:paraId="5E4F65A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B8A1EAD">
      <w:pPr>
        <w:spacing w:line="640" w:lineRule="exact"/>
        <w:ind w:firstLine="640"/>
        <w:jc w:val="both"/>
        <w:outlineLvl w:val="2"/>
      </w:pPr>
      <w:r>
        <w:rPr>
          <w:rFonts w:ascii="黑体" w:hAnsi="黑体" w:eastAsia="黑体"/>
          <w:sz w:val="32"/>
        </w:rPr>
        <w:t>八、国有资本经营预算财政拨款收入支出决算情况说明</w:t>
      </w:r>
    </w:p>
    <w:p w14:paraId="08BE732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E7E9CF1">
      <w:pPr>
        <w:spacing w:line="640" w:lineRule="exact"/>
        <w:ind w:firstLine="640"/>
        <w:jc w:val="both"/>
        <w:outlineLvl w:val="2"/>
      </w:pPr>
      <w:r>
        <w:rPr>
          <w:rFonts w:ascii="黑体" w:hAnsi="黑体" w:eastAsia="黑体"/>
          <w:sz w:val="32"/>
        </w:rPr>
        <w:t>九、财政拨款“三公”经费支出决算情况说明</w:t>
      </w:r>
    </w:p>
    <w:p w14:paraId="2D6EB29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0C78B72">
      <w:pPr>
        <w:spacing w:line="580" w:lineRule="exact"/>
        <w:ind w:firstLine="640"/>
        <w:jc w:val="both"/>
      </w:pPr>
      <w:r>
        <w:rPr>
          <w:rFonts w:ascii="仿宋_GB2312" w:hAnsi="仿宋_GB2312" w:eastAsia="仿宋_GB2312"/>
          <w:b/>
          <w:sz w:val="32"/>
        </w:rPr>
        <w:t>具体情况如下：</w:t>
      </w:r>
    </w:p>
    <w:p w14:paraId="1B35D4B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E70680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A373C1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FC0690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257EE24">
      <w:pPr>
        <w:spacing w:line="640" w:lineRule="exact"/>
        <w:ind w:firstLine="640"/>
        <w:jc w:val="both"/>
        <w:outlineLvl w:val="2"/>
      </w:pPr>
      <w:r>
        <w:rPr>
          <w:rFonts w:ascii="黑体" w:hAnsi="黑体" w:eastAsia="黑体"/>
          <w:sz w:val="32"/>
        </w:rPr>
        <w:t>十、其他重要事项的情况说明</w:t>
      </w:r>
    </w:p>
    <w:p w14:paraId="49CFA72C">
      <w:pPr>
        <w:spacing w:line="640" w:lineRule="exact"/>
        <w:ind w:firstLine="640"/>
        <w:jc w:val="both"/>
        <w:outlineLvl w:val="3"/>
      </w:pPr>
      <w:r>
        <w:rPr>
          <w:rFonts w:ascii="楷体_GB2312" w:hAnsi="楷体_GB2312" w:eastAsia="楷体_GB2312"/>
          <w:b/>
          <w:sz w:val="32"/>
        </w:rPr>
        <w:t>（一）机关运行经费及公用经费支出情况</w:t>
      </w:r>
    </w:p>
    <w:p w14:paraId="5E4A2BA7">
      <w:pPr>
        <w:spacing w:line="580" w:lineRule="exact"/>
        <w:ind w:firstLine="640"/>
        <w:jc w:val="both"/>
      </w:pPr>
      <w:r>
        <w:rPr>
          <w:rFonts w:ascii="仿宋_GB2312" w:hAnsi="仿宋_GB2312" w:eastAsia="仿宋_GB2312"/>
          <w:b w:val="0"/>
          <w:sz w:val="32"/>
        </w:rPr>
        <w:t>2024年度霍城县第一中学（事业单位）公用经费支出361.14万元，比上年增加37.04万元，增长11.43%，主要原因是：本年霍城县惠远中学、三宫中学、三道河中学合并至</w:t>
      </w:r>
      <w:r>
        <w:rPr>
          <w:rFonts w:hint="eastAsia" w:ascii="仿宋_GB2312" w:hAnsi="仿宋_GB2312" w:eastAsia="仿宋_GB2312"/>
          <w:b w:val="0"/>
          <w:sz w:val="32"/>
          <w:lang w:eastAsia="zh-CN"/>
        </w:rPr>
        <w:t>本单位</w:t>
      </w:r>
      <w:r>
        <w:rPr>
          <w:rFonts w:ascii="仿宋_GB2312" w:hAnsi="仿宋_GB2312" w:eastAsia="仿宋_GB2312"/>
          <w:b w:val="0"/>
          <w:sz w:val="32"/>
        </w:rPr>
        <w:t>，在职人员增加，办公经费增加。</w:t>
      </w:r>
    </w:p>
    <w:p w14:paraId="1483A15F">
      <w:pPr>
        <w:spacing w:line="640" w:lineRule="exact"/>
        <w:ind w:firstLine="640"/>
        <w:jc w:val="both"/>
        <w:outlineLvl w:val="3"/>
      </w:pPr>
      <w:r>
        <w:rPr>
          <w:rFonts w:ascii="楷体_GB2312" w:hAnsi="楷体_GB2312" w:eastAsia="楷体_GB2312"/>
          <w:b/>
          <w:sz w:val="32"/>
        </w:rPr>
        <w:t>（二）政府采购情况</w:t>
      </w:r>
    </w:p>
    <w:p w14:paraId="37E4DD37">
      <w:pPr>
        <w:spacing w:line="580" w:lineRule="exact"/>
        <w:ind w:firstLine="640"/>
        <w:jc w:val="both"/>
      </w:pPr>
      <w:r>
        <w:rPr>
          <w:rFonts w:ascii="仿宋_GB2312" w:hAnsi="仿宋_GB2312" w:eastAsia="仿宋_GB2312"/>
          <w:b w:val="0"/>
          <w:sz w:val="32"/>
        </w:rPr>
        <w:t>2024年度政府采购支出总额34.59万元，其中：政府采购货物支出10.08万元、政府采购工程支出24.51万元、政府采购服务支出0.00万元。</w:t>
      </w:r>
    </w:p>
    <w:p w14:paraId="1859A621">
      <w:pPr>
        <w:spacing w:line="580" w:lineRule="exact"/>
        <w:ind w:firstLine="640"/>
        <w:jc w:val="both"/>
      </w:pPr>
      <w:r>
        <w:rPr>
          <w:rFonts w:ascii="仿宋_GB2312" w:hAnsi="仿宋_GB2312" w:eastAsia="仿宋_GB2312"/>
          <w:b w:val="0"/>
          <w:sz w:val="32"/>
        </w:rPr>
        <w:t>授予中小企业合同金额34.59万元，占政府采购支出总额的100.00%，其中：授予小微企业合同金额34.59万元，占政府采购支出总额的100.00%。</w:t>
      </w:r>
    </w:p>
    <w:p w14:paraId="2465E26A">
      <w:pPr>
        <w:spacing w:line="640" w:lineRule="exact"/>
        <w:ind w:firstLine="640"/>
        <w:jc w:val="both"/>
        <w:outlineLvl w:val="3"/>
      </w:pPr>
      <w:r>
        <w:rPr>
          <w:rFonts w:ascii="楷体_GB2312" w:hAnsi="楷体_GB2312" w:eastAsia="楷体_GB2312"/>
          <w:b/>
          <w:sz w:val="32"/>
        </w:rPr>
        <w:t>（三）国有资产占用情况说明</w:t>
      </w:r>
    </w:p>
    <w:p w14:paraId="114E226D">
      <w:pPr>
        <w:spacing w:line="580" w:lineRule="exact"/>
        <w:ind w:firstLine="640"/>
        <w:jc w:val="both"/>
      </w:pPr>
      <w:r>
        <w:rPr>
          <w:rFonts w:ascii="仿宋_GB2312" w:hAnsi="仿宋_GB2312" w:eastAsia="仿宋_GB2312"/>
          <w:b w:val="0"/>
          <w:sz w:val="32"/>
        </w:rPr>
        <w:t>截至2024年12月31日，房屋26,351.36平方米，价值7,541.48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7292D24">
      <w:pPr>
        <w:spacing w:line="640" w:lineRule="exact"/>
        <w:ind w:firstLine="640"/>
        <w:jc w:val="both"/>
        <w:outlineLvl w:val="2"/>
      </w:pPr>
      <w:r>
        <w:rPr>
          <w:rFonts w:ascii="黑体" w:hAnsi="黑体" w:eastAsia="黑体"/>
          <w:sz w:val="32"/>
        </w:rPr>
        <w:t>十一、预算绩效的情况说明</w:t>
      </w:r>
    </w:p>
    <w:p w14:paraId="7188D9E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4,761.12万元，实际执行总额4,761.12万元；预算绩效评价项目1个，全年预算数20.00万元，全年执行数20.00万元。预算绩效管理取得的成效：一是资源配置优化：通过科学的预算绩效管理，学校能够更精准地将资金分配到教学、科研、师资建设等关键领域，提高了资源的利用效率。二是决策科学性增强：基于绩效数据的分析，为学校的决策提供了有力的支持，决策更加科学合理，避免了盲目投资和资源浪费。发现的问题及原因：一是未实现全面预算的信息化管理，不能及时考核预算执行情况。二是内部管理制度不完善，内部管理流程不清晰。三是预算执行完成后的绩效管理还有待完善和加强。下一步改进措施：一是年初预算充分准备基础数据，做到预算精细、精准。二是逐步实现全面预算管理，加强事前控制，及时分析、总结及评估，不断提高预算编制的准确性，提高可操作性。三是建立健全各项财务管理制度，并严格按照规定进行管理。具体附整体支出绩效自评表，项目支出绩效自评表和评价报告。</w:t>
      </w:r>
    </w:p>
    <w:p w14:paraId="08471D0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757AC41">
        <w:tblPrEx>
          <w:tblCellMar>
            <w:top w:w="0" w:type="dxa"/>
            <w:left w:w="108" w:type="dxa"/>
            <w:bottom w:w="0" w:type="dxa"/>
            <w:right w:w="108" w:type="dxa"/>
          </w:tblCellMar>
        </w:tblPrEx>
        <w:tc>
          <w:tcPr>
            <w:tcW w:w="8840" w:type="dxa"/>
            <w:gridSpan w:val="8"/>
            <w:vAlign w:val="center"/>
          </w:tcPr>
          <w:p w14:paraId="4CA0E2CB">
            <w:pPr>
              <w:jc w:val="center"/>
            </w:pPr>
            <w:r>
              <w:rPr>
                <w:rFonts w:ascii="宋体" w:hAnsi="宋体" w:eastAsia="宋体"/>
                <w:sz w:val="24"/>
              </w:rPr>
              <w:t>单位整体支出绩效自评表</w:t>
            </w:r>
          </w:p>
        </w:tc>
      </w:tr>
      <w:tr w14:paraId="47341AFA">
        <w:tblPrEx>
          <w:tblCellMar>
            <w:top w:w="0" w:type="dxa"/>
            <w:left w:w="108" w:type="dxa"/>
            <w:bottom w:w="0" w:type="dxa"/>
            <w:right w:w="108" w:type="dxa"/>
          </w:tblCellMar>
        </w:tblPrEx>
        <w:tc>
          <w:tcPr>
            <w:tcW w:w="8840" w:type="dxa"/>
            <w:gridSpan w:val="8"/>
            <w:vAlign w:val="center"/>
          </w:tcPr>
          <w:p w14:paraId="7D95E242">
            <w:pPr>
              <w:jc w:val="center"/>
            </w:pPr>
            <w:r>
              <w:rPr>
                <w:rFonts w:ascii="宋体" w:hAnsi="宋体" w:eastAsia="宋体"/>
                <w:sz w:val="24"/>
              </w:rPr>
              <w:t>（2024年度）</w:t>
            </w:r>
          </w:p>
        </w:tc>
      </w:tr>
      <w:tr w14:paraId="2E23940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29F90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11E97A">
            <w:pPr>
              <w:jc w:val="center"/>
            </w:pPr>
            <w:r>
              <w:rPr>
                <w:rFonts w:ascii="宋体" w:hAnsi="宋体" w:eastAsia="宋体"/>
                <w:sz w:val="16"/>
              </w:rPr>
              <w:t>霍城县第一中学</w:t>
            </w:r>
          </w:p>
        </w:tc>
      </w:tr>
      <w:tr w14:paraId="234E82F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D029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50A1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8025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9A35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1C52A">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96AB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A7E3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1E211">
            <w:pPr>
              <w:jc w:val="center"/>
            </w:pPr>
            <w:r>
              <w:rPr>
                <w:rFonts w:ascii="宋体" w:hAnsi="宋体" w:eastAsia="宋体"/>
                <w:sz w:val="16"/>
              </w:rPr>
              <w:t>得分</w:t>
            </w:r>
          </w:p>
        </w:tc>
      </w:tr>
      <w:tr w14:paraId="3ADE50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372D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EEA67">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CAD26C">
            <w:pPr>
              <w:jc w:val="center"/>
            </w:pPr>
            <w:r>
              <w:rPr>
                <w:rFonts w:ascii="宋体" w:hAnsi="宋体" w:eastAsia="宋体"/>
                <w:sz w:val="16"/>
              </w:rPr>
              <w:t>2,363.78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D13D0">
            <w:pPr>
              <w:jc w:val="center"/>
            </w:pPr>
            <w:r>
              <w:rPr>
                <w:rFonts w:ascii="宋体" w:hAnsi="宋体" w:eastAsia="宋体"/>
                <w:sz w:val="16"/>
              </w:rPr>
              <w:t>4,761.12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911E12">
            <w:pPr>
              <w:jc w:val="center"/>
            </w:pPr>
            <w:r>
              <w:rPr>
                <w:rFonts w:ascii="宋体" w:hAnsi="宋体" w:eastAsia="宋体"/>
                <w:sz w:val="16"/>
              </w:rPr>
              <w:t>4,761.12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28AB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90F9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A9247B">
            <w:pPr>
              <w:jc w:val="center"/>
            </w:pPr>
            <w:r>
              <w:rPr>
                <w:rFonts w:ascii="宋体" w:hAnsi="宋体" w:eastAsia="宋体"/>
                <w:sz w:val="16"/>
              </w:rPr>
              <w:t>10</w:t>
            </w:r>
          </w:p>
        </w:tc>
      </w:tr>
      <w:tr w14:paraId="7453C1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0BBC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4AEF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A426E">
            <w:pPr>
              <w:jc w:val="center"/>
            </w:pPr>
            <w:r>
              <w:rPr>
                <w:rFonts w:ascii="宋体" w:hAnsi="宋体" w:eastAsia="宋体"/>
                <w:sz w:val="16"/>
              </w:rPr>
              <w:t>476.42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30D8F">
            <w:pPr>
              <w:jc w:val="center"/>
            </w:pPr>
            <w:r>
              <w:rPr>
                <w:rFonts w:ascii="宋体" w:hAnsi="宋体" w:eastAsia="宋体"/>
                <w:sz w:val="16"/>
              </w:rPr>
              <w:t>476.42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B74BC">
            <w:pPr>
              <w:jc w:val="center"/>
            </w:pPr>
            <w:r>
              <w:rPr>
                <w:rFonts w:ascii="宋体" w:hAnsi="宋体" w:eastAsia="宋体"/>
                <w:sz w:val="16"/>
              </w:rPr>
              <w:t>476.42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A0AE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7BF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39583">
            <w:pPr>
              <w:jc w:val="center"/>
            </w:pPr>
            <w:r>
              <w:rPr>
                <w:rFonts w:ascii="宋体" w:hAnsi="宋体" w:eastAsia="宋体"/>
                <w:sz w:val="16"/>
              </w:rPr>
              <w:t>-</w:t>
            </w:r>
          </w:p>
        </w:tc>
      </w:tr>
      <w:tr w14:paraId="145CED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62800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F6879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90C33">
            <w:pPr>
              <w:jc w:val="center"/>
            </w:pPr>
            <w:r>
              <w:rPr>
                <w:rFonts w:ascii="宋体" w:hAnsi="宋体" w:eastAsia="宋体"/>
                <w:sz w:val="16"/>
              </w:rPr>
              <w:t>1,887.36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106A3">
            <w:pPr>
              <w:jc w:val="center"/>
            </w:pPr>
            <w:r>
              <w:rPr>
                <w:rFonts w:ascii="宋体" w:hAnsi="宋体" w:eastAsia="宋体"/>
                <w:sz w:val="16"/>
              </w:rPr>
              <w:t>4,284.70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494AA">
            <w:pPr>
              <w:jc w:val="center"/>
            </w:pPr>
            <w:r>
              <w:rPr>
                <w:rFonts w:ascii="宋体" w:hAnsi="宋体" w:eastAsia="宋体"/>
                <w:sz w:val="16"/>
              </w:rPr>
              <w:t>4,284.70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07D7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EB7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C29AF">
            <w:pPr>
              <w:jc w:val="center"/>
            </w:pPr>
            <w:r>
              <w:rPr>
                <w:rFonts w:ascii="宋体" w:hAnsi="宋体" w:eastAsia="宋体"/>
                <w:sz w:val="16"/>
              </w:rPr>
              <w:t>-</w:t>
            </w:r>
          </w:p>
        </w:tc>
      </w:tr>
      <w:tr w14:paraId="65BE1C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98FF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5452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C768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6551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0D3F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CF6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2820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3BD13">
            <w:pPr>
              <w:jc w:val="center"/>
            </w:pPr>
            <w:r>
              <w:rPr>
                <w:rFonts w:ascii="宋体" w:hAnsi="宋体" w:eastAsia="宋体"/>
                <w:sz w:val="16"/>
              </w:rPr>
              <w:t>-</w:t>
            </w:r>
          </w:p>
        </w:tc>
      </w:tr>
      <w:tr w14:paraId="1BEC69E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4065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42B3AD">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619992">
            <w:pPr>
              <w:jc w:val="center"/>
            </w:pPr>
            <w:r>
              <w:rPr>
                <w:rFonts w:ascii="宋体" w:hAnsi="宋体" w:eastAsia="宋体"/>
                <w:sz w:val="16"/>
              </w:rPr>
              <w:t>实际完成情况</w:t>
            </w:r>
          </w:p>
        </w:tc>
      </w:tr>
      <w:tr w14:paraId="2B204B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69B74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C384BC">
            <w:pPr>
              <w:jc w:val="both"/>
            </w:pPr>
            <w:bookmarkStart w:id="0" w:name="_GoBack"/>
            <w:bookmarkEnd w:id="0"/>
            <w:r>
              <w:rPr>
                <w:rFonts w:ascii="宋体" w:hAnsi="宋体" w:eastAsia="宋体"/>
                <w:sz w:val="16"/>
              </w:rPr>
              <w:t>1.霍城县第一中学是九年一贯制学校，复制贯彻党的教育方针，坚持正确办学方向、实行教育与生产相结合</w:t>
            </w:r>
            <w:r>
              <w:rPr>
                <w:rFonts w:hint="eastAsia" w:ascii="宋体" w:hAnsi="宋体"/>
                <w:sz w:val="16"/>
                <w:lang w:eastAsia="zh-CN"/>
              </w:rPr>
              <w:t>。</w:t>
            </w:r>
            <w:r>
              <w:rPr>
                <w:rFonts w:ascii="宋体" w:hAnsi="宋体" w:eastAsia="宋体"/>
                <w:sz w:val="16"/>
              </w:rPr>
              <w:t>2.对学生进行德育、智育、体育、美育和劳动等方面的教育，负责组织少年入学，严格控制学生辍学，依法保证少年接受教育。本年度工作计划：建设一支高素质的师资队伍，为学校可持续发展奠定基础，巩固、提高教学成果，普及义务教育，保障初中生全部入学就读及结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723F78">
            <w:pPr>
              <w:jc w:val="both"/>
            </w:pPr>
            <w:r>
              <w:rPr>
                <w:rFonts w:ascii="宋体" w:hAnsi="宋体" w:eastAsia="宋体"/>
                <w:sz w:val="16"/>
              </w:rPr>
              <w:t>一是在协同育人与学生素养培养上，构建了较为完善的学校、家庭、社会协同育人机制。同时，学校增设了心理健康课程和体育特色活动，少年儿童身心健康发展得到有力保障。二是师德师风建设方面，开展了多场专题培训与师德楷模评选活动，教师职业道德水平显著提升，为培养德智体美劳全面发展的学生奠定了坚实基础。三是教育经费使用上，严格贯彻中央及自治区党委要求，充分发挥经费政策引领作用。通过优化资源配置，深化教育改革项目，强化财务监管，将每一分钱都用在刀刃上，提升了经费使用效益，有力推动了教育公平与质量提升。</w:t>
            </w:r>
          </w:p>
        </w:tc>
      </w:tr>
      <w:tr w14:paraId="6619C77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1725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197E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0A6F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F3E5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F1EC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732A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B8B19">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0FFB8">
            <w:pPr>
              <w:jc w:val="center"/>
            </w:pPr>
            <w:r>
              <w:rPr>
                <w:rFonts w:ascii="宋体" w:hAnsi="宋体" w:eastAsia="宋体"/>
                <w:sz w:val="16"/>
              </w:rPr>
              <w:t>得分</w:t>
            </w:r>
          </w:p>
        </w:tc>
      </w:tr>
      <w:tr w14:paraId="435A46E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9B77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18F4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8B24A">
            <w:pPr>
              <w:jc w:val="center"/>
            </w:pPr>
            <w:r>
              <w:rPr>
                <w:rFonts w:ascii="宋体" w:hAnsi="宋体" w:eastAsia="宋体"/>
                <w:sz w:val="16"/>
              </w:rPr>
              <w:t>消除义务教育大班额</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457C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BF9C1">
            <w:pPr>
              <w:jc w:val="center"/>
            </w:pPr>
            <w:r>
              <w:rPr>
                <w:rFonts w:ascii="宋体" w:hAnsi="宋体" w:eastAsia="宋体"/>
                <w:sz w:val="16"/>
              </w:rPr>
              <w:t>教育事业综合统计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A9EC4">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662B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BF03C">
            <w:pPr>
              <w:jc w:val="center"/>
            </w:pPr>
            <w:r>
              <w:rPr>
                <w:rFonts w:ascii="宋体" w:hAnsi="宋体" w:eastAsia="宋体"/>
                <w:sz w:val="16"/>
              </w:rPr>
              <w:t>20</w:t>
            </w:r>
          </w:p>
        </w:tc>
      </w:tr>
      <w:tr w14:paraId="111074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DC62C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EDB6D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FB596">
            <w:pPr>
              <w:jc w:val="center"/>
            </w:pPr>
            <w:r>
              <w:rPr>
                <w:rFonts w:ascii="宋体" w:hAnsi="宋体" w:eastAsia="宋体"/>
                <w:sz w:val="16"/>
              </w:rPr>
              <w:t>义务教育巩固率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EE632">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18943">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AA1A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03F49">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5E6CE">
            <w:pPr>
              <w:jc w:val="center"/>
            </w:pPr>
            <w:r>
              <w:rPr>
                <w:rFonts w:ascii="宋体" w:hAnsi="宋体" w:eastAsia="宋体"/>
                <w:sz w:val="16"/>
              </w:rPr>
              <w:t>20</w:t>
            </w:r>
          </w:p>
        </w:tc>
      </w:tr>
      <w:tr w14:paraId="03E766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91332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D031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BAB4E">
            <w:pPr>
              <w:jc w:val="center"/>
            </w:pPr>
            <w:r>
              <w:rPr>
                <w:rFonts w:ascii="宋体" w:hAnsi="宋体" w:eastAsia="宋体"/>
                <w:sz w:val="16"/>
              </w:rPr>
              <w:t>实现信息化教学覆盖率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287E7E">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1E81A">
            <w:pPr>
              <w:jc w:val="center"/>
            </w:pPr>
            <w:r>
              <w:rPr>
                <w:rFonts w:ascii="宋体" w:hAnsi="宋体" w:eastAsia="宋体"/>
                <w:sz w:val="16"/>
              </w:rPr>
              <w:t>教育事业综合统计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DF4E08">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BD7C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B3D92">
            <w:pPr>
              <w:jc w:val="center"/>
            </w:pPr>
            <w:r>
              <w:rPr>
                <w:rFonts w:ascii="宋体" w:hAnsi="宋体" w:eastAsia="宋体"/>
                <w:sz w:val="16"/>
              </w:rPr>
              <w:t>20</w:t>
            </w:r>
          </w:p>
        </w:tc>
      </w:tr>
      <w:tr w14:paraId="72DA8F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06496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8479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B30E6">
            <w:pPr>
              <w:jc w:val="center"/>
            </w:pPr>
            <w:r>
              <w:rPr>
                <w:rFonts w:ascii="宋体" w:hAnsi="宋体" w:eastAsia="宋体"/>
                <w:sz w:val="16"/>
              </w:rPr>
              <w:t>义务教育优质均衡率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47DBB">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C5444">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F408F">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7C92A">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49163">
            <w:pPr>
              <w:jc w:val="center"/>
            </w:pPr>
            <w:r>
              <w:rPr>
                <w:rFonts w:ascii="宋体" w:hAnsi="宋体" w:eastAsia="宋体"/>
                <w:sz w:val="16"/>
              </w:rPr>
              <w:t>20</w:t>
            </w:r>
          </w:p>
        </w:tc>
      </w:tr>
      <w:tr w14:paraId="0A3906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E8A2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78A6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C36C3">
            <w:pPr>
              <w:jc w:val="center"/>
            </w:pPr>
            <w:r>
              <w:rPr>
                <w:rFonts w:ascii="宋体" w:hAnsi="宋体" w:eastAsia="宋体"/>
                <w:sz w:val="16"/>
              </w:rPr>
              <w:t>国家通用语言文字教育教学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DC11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5AA83">
            <w:pPr>
              <w:jc w:val="center"/>
            </w:pPr>
            <w:r>
              <w:rPr>
                <w:rFonts w:ascii="宋体" w:hAnsi="宋体" w:eastAsia="宋体"/>
                <w:sz w:val="16"/>
              </w:rPr>
              <w:t>霍城县</w:t>
            </w: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1F8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B160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9AFC8F">
            <w:pPr>
              <w:jc w:val="center"/>
            </w:pPr>
            <w:r>
              <w:rPr>
                <w:rFonts w:ascii="宋体" w:hAnsi="宋体" w:eastAsia="宋体"/>
                <w:sz w:val="16"/>
              </w:rPr>
              <w:t>10</w:t>
            </w:r>
          </w:p>
        </w:tc>
      </w:tr>
    </w:tbl>
    <w:p w14:paraId="2FCA88B5">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619"/>
        <w:gridCol w:w="776"/>
        <w:gridCol w:w="696"/>
        <w:gridCol w:w="776"/>
        <w:gridCol w:w="631"/>
        <w:gridCol w:w="613"/>
        <w:gridCol w:w="613"/>
        <w:gridCol w:w="614"/>
        <w:gridCol w:w="614"/>
        <w:gridCol w:w="632"/>
      </w:tblGrid>
      <w:tr w14:paraId="4487CFAF">
        <w:tblPrEx>
          <w:tblCellMar>
            <w:top w:w="0" w:type="dxa"/>
            <w:left w:w="108" w:type="dxa"/>
            <w:bottom w:w="0" w:type="dxa"/>
            <w:right w:w="108" w:type="dxa"/>
          </w:tblCellMar>
        </w:tblPrEx>
        <w:tc>
          <w:tcPr>
            <w:tcW w:w="8848" w:type="dxa"/>
            <w:gridSpan w:val="14"/>
            <w:vAlign w:val="center"/>
          </w:tcPr>
          <w:p w14:paraId="478C8632">
            <w:pPr>
              <w:jc w:val="center"/>
            </w:pPr>
            <w:r>
              <w:rPr>
                <w:rFonts w:ascii="宋体" w:hAnsi="宋体" w:eastAsia="宋体"/>
                <w:sz w:val="24"/>
              </w:rPr>
              <w:t>项目支出绩效自评表</w:t>
            </w:r>
          </w:p>
        </w:tc>
      </w:tr>
      <w:tr w14:paraId="7E007035">
        <w:tblPrEx>
          <w:tblCellMar>
            <w:top w:w="0" w:type="dxa"/>
            <w:left w:w="108" w:type="dxa"/>
            <w:bottom w:w="0" w:type="dxa"/>
            <w:right w:w="108" w:type="dxa"/>
          </w:tblCellMar>
        </w:tblPrEx>
        <w:tc>
          <w:tcPr>
            <w:tcW w:w="8848" w:type="dxa"/>
            <w:gridSpan w:val="14"/>
            <w:vAlign w:val="center"/>
          </w:tcPr>
          <w:p w14:paraId="61ADCD74">
            <w:pPr>
              <w:jc w:val="center"/>
            </w:pPr>
            <w:r>
              <w:rPr>
                <w:rFonts w:ascii="宋体" w:hAnsi="宋体" w:eastAsia="宋体"/>
                <w:sz w:val="24"/>
              </w:rPr>
              <w:t>(2024年度)</w:t>
            </w:r>
          </w:p>
        </w:tc>
      </w:tr>
      <w:tr w14:paraId="588D05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0F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DD20E9">
            <w:pPr>
              <w:jc w:val="center"/>
            </w:pPr>
            <w:r>
              <w:rPr>
                <w:rFonts w:ascii="宋体" w:hAnsi="宋体" w:eastAsia="宋体"/>
                <w:sz w:val="16"/>
              </w:rPr>
              <w:t>2024年特殊教育资源资金项目</w:t>
            </w:r>
          </w:p>
        </w:tc>
      </w:tr>
      <w:tr w14:paraId="7DE6FD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5F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9F7BEB">
            <w:pPr>
              <w:jc w:val="center"/>
            </w:pPr>
            <w:r>
              <w:rPr>
                <w:rFonts w:ascii="宋体" w:hAnsi="宋体" w:eastAsia="宋体"/>
                <w:sz w:val="16"/>
              </w:rPr>
              <w:t>霍城县第一中学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BFA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6D8329">
            <w:pPr>
              <w:jc w:val="center"/>
            </w:pPr>
            <w:r>
              <w:rPr>
                <w:rFonts w:ascii="宋体" w:hAnsi="宋体" w:eastAsia="宋体"/>
                <w:sz w:val="16"/>
              </w:rPr>
              <w:t>霍城县第一中学</w:t>
            </w:r>
          </w:p>
        </w:tc>
      </w:tr>
      <w:tr w14:paraId="5A5E81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091FB">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8E9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5BE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A4A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BDB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AA0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259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1BB0">
            <w:pPr>
              <w:jc w:val="center"/>
            </w:pPr>
            <w:r>
              <w:rPr>
                <w:rFonts w:ascii="宋体" w:hAnsi="宋体" w:eastAsia="宋体"/>
                <w:sz w:val="16"/>
              </w:rPr>
              <w:t>得分</w:t>
            </w:r>
          </w:p>
        </w:tc>
      </w:tr>
      <w:tr w14:paraId="1F4F18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7BC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AB4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CB00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55A1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09B6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30F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03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1BAF">
            <w:pPr>
              <w:jc w:val="center"/>
            </w:pPr>
            <w:r>
              <w:rPr>
                <w:rFonts w:ascii="宋体" w:hAnsi="宋体" w:eastAsia="宋体"/>
                <w:sz w:val="16"/>
              </w:rPr>
              <w:t>10.00</w:t>
            </w:r>
          </w:p>
        </w:tc>
      </w:tr>
      <w:tr w14:paraId="7F7BE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6F7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977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E3B3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C076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3EAC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5D0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88E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3EF8">
            <w:pPr>
              <w:jc w:val="center"/>
            </w:pPr>
            <w:r>
              <w:rPr>
                <w:rFonts w:ascii="宋体" w:hAnsi="宋体" w:eastAsia="宋体"/>
                <w:sz w:val="16"/>
              </w:rPr>
              <w:t>—</w:t>
            </w:r>
          </w:p>
        </w:tc>
      </w:tr>
      <w:tr w14:paraId="21ECC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E8D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B1DF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7D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BB2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A7B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BCF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A40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3A5D">
            <w:pPr>
              <w:jc w:val="center"/>
            </w:pPr>
            <w:r>
              <w:rPr>
                <w:rFonts w:ascii="宋体" w:hAnsi="宋体" w:eastAsia="宋体"/>
                <w:sz w:val="16"/>
              </w:rPr>
              <w:t>—</w:t>
            </w:r>
          </w:p>
        </w:tc>
      </w:tr>
      <w:tr w14:paraId="185E39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D7ED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EF70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451CF5">
            <w:pPr>
              <w:jc w:val="center"/>
            </w:pPr>
            <w:r>
              <w:rPr>
                <w:rFonts w:ascii="宋体" w:hAnsi="宋体" w:eastAsia="宋体"/>
                <w:sz w:val="16"/>
              </w:rPr>
              <w:t>实际完成情况</w:t>
            </w:r>
          </w:p>
        </w:tc>
      </w:tr>
      <w:tr w14:paraId="3977B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00F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916E7">
            <w:pPr>
              <w:jc w:val="both"/>
            </w:pPr>
            <w:r>
              <w:rPr>
                <w:rFonts w:ascii="宋体" w:hAnsi="宋体" w:eastAsia="宋体"/>
                <w:sz w:val="16"/>
              </w:rPr>
              <w:t>严格按照《特殊教育补助资金管理办法》（财教</w:t>
            </w:r>
            <w:r>
              <w:rPr>
                <w:rFonts w:hint="eastAsia" w:ascii="宋体" w:hAnsi="宋体"/>
                <w:sz w:val="16"/>
                <w:lang w:eastAsia="zh-CN"/>
              </w:rPr>
              <w:t>〔2021〕72号</w:t>
            </w:r>
            <w:r>
              <w:rPr>
                <w:rFonts w:ascii="宋体" w:hAnsi="宋体" w:eastAsia="宋体"/>
                <w:sz w:val="16"/>
              </w:rPr>
              <w:t>）及国家，自治区有关财经法规等</w:t>
            </w:r>
            <w:r>
              <w:rPr>
                <w:rFonts w:hint="eastAsia" w:ascii="宋体" w:hAnsi="宋体"/>
                <w:sz w:val="16"/>
                <w:lang w:eastAsia="zh-CN"/>
              </w:rPr>
              <w:t>政策</w:t>
            </w:r>
            <w:r>
              <w:rPr>
                <w:rFonts w:ascii="宋体" w:hAnsi="宋体" w:eastAsia="宋体"/>
                <w:sz w:val="16"/>
              </w:rPr>
              <w:t>规定，进一步强化主体责任，完善经费使用管理制度，合理安排使用中央补助资金，支付特殊教室计算机，教具，维修等，改善特殊教育学校办学条件，使学校能够配备专业的特殊教育师资和教学设备，提供更好的学习环境和课程计划，满足特殊儿童的学习需求，促进他们的学习进步和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7F04C3">
            <w:pPr>
              <w:jc w:val="both"/>
            </w:pPr>
            <w:r>
              <w:rPr>
                <w:rFonts w:ascii="宋体" w:hAnsi="宋体" w:eastAsia="宋体"/>
                <w:sz w:val="16"/>
              </w:rPr>
              <w:t>完成了对特殊资源教室维修，采购16台计算机，办公家具20套，纳米黑板1台，采购益智类学习用具1批和肢体运动辅助类1批，对学校特殊学生创造优雅环境，改善特殊学生上课环境，提高学习质量。</w:t>
            </w:r>
          </w:p>
        </w:tc>
      </w:tr>
      <w:tr w14:paraId="4A999C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43C7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EB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C4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F7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7BF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1B4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A19A">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726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4FA4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68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9E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72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76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BBB9">
            <w:pPr>
              <w:jc w:val="center"/>
            </w:pPr>
            <w:r>
              <w:rPr>
                <w:rFonts w:ascii="宋体" w:hAnsi="宋体" w:eastAsia="宋体"/>
                <w:sz w:val="16"/>
              </w:rPr>
              <w:t>偏差原因分析及改进措施</w:t>
            </w:r>
          </w:p>
        </w:tc>
      </w:tr>
      <w:tr w14:paraId="5BA2B1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ADDA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CBC5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D14A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0119">
            <w:pPr>
              <w:jc w:val="center"/>
            </w:pPr>
            <w:r>
              <w:rPr>
                <w:rFonts w:ascii="宋体" w:hAnsi="宋体" w:eastAsia="宋体"/>
                <w:sz w:val="16"/>
              </w:rPr>
              <w:t>特殊教育学校仪器设备配备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448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CC7C">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FBA3">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EB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8F7D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83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48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8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6D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C8590">
            <w:pPr>
              <w:jc w:val="center"/>
            </w:pPr>
          </w:p>
        </w:tc>
      </w:tr>
      <w:tr w14:paraId="18B6D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65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966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46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1A1A">
            <w:pPr>
              <w:jc w:val="center"/>
            </w:pPr>
            <w:r>
              <w:rPr>
                <w:rFonts w:ascii="宋体" w:hAnsi="宋体" w:eastAsia="宋体"/>
                <w:sz w:val="16"/>
              </w:rPr>
              <w:t>特殊教育资源中心建设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499F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A8C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1AF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2B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54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C31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54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33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71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1902">
            <w:pPr>
              <w:jc w:val="center"/>
            </w:pPr>
          </w:p>
        </w:tc>
      </w:tr>
      <w:tr w14:paraId="16A60B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3D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F8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6A2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F64C">
            <w:pPr>
              <w:jc w:val="center"/>
            </w:pPr>
            <w:r>
              <w:rPr>
                <w:rFonts w:ascii="宋体" w:hAnsi="宋体" w:eastAsia="宋体"/>
                <w:sz w:val="16"/>
              </w:rPr>
              <w:t>普通中小学特殊教育资源教室建设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497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4050">
            <w:pPr>
              <w:jc w:val="center"/>
            </w:pPr>
            <w:r>
              <w:rPr>
                <w:rFonts w:ascii="宋体" w:hAnsi="宋体" w:eastAsia="宋体"/>
                <w:sz w:val="16"/>
              </w:rPr>
              <w: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23C3">
            <w:pPr>
              <w:jc w:val="center"/>
            </w:pPr>
            <w:r>
              <w:rPr>
                <w:rFonts w:ascii="宋体" w:hAnsi="宋体" w:eastAsia="宋体"/>
                <w:sz w:val="16"/>
              </w:rPr>
              <w: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0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038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20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72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DE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03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99FA">
            <w:pPr>
              <w:jc w:val="center"/>
            </w:pPr>
          </w:p>
        </w:tc>
      </w:tr>
      <w:tr w14:paraId="2AB8C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C5C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27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CF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C43B">
            <w:pPr>
              <w:jc w:val="center"/>
            </w:pPr>
            <w:r>
              <w:rPr>
                <w:rFonts w:ascii="宋体" w:hAnsi="宋体" w:eastAsia="宋体"/>
                <w:sz w:val="16"/>
              </w:rPr>
              <w:t>自治区特殊教育资源中心组织各地培训次数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490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A440">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F8CB">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CB5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F4A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A2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7C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3B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3C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DF9A3">
            <w:pPr>
              <w:jc w:val="center"/>
            </w:pPr>
          </w:p>
        </w:tc>
      </w:tr>
      <w:tr w14:paraId="75511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88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A1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DB7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FC5F8">
            <w:pPr>
              <w:jc w:val="center"/>
            </w:pPr>
            <w:r>
              <w:rPr>
                <w:rFonts w:ascii="宋体" w:hAnsi="宋体" w:eastAsia="宋体"/>
                <w:sz w:val="16"/>
              </w:rPr>
              <w:t>采购台式计算机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AD9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E483">
            <w:pPr>
              <w:jc w:val="center"/>
            </w:pPr>
            <w:r>
              <w:rPr>
                <w:rFonts w:ascii="宋体" w:hAnsi="宋体" w:eastAsia="宋体"/>
                <w:sz w:val="16"/>
              </w:rPr>
              <w:t>=21台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5A54">
            <w:pPr>
              <w:jc w:val="center"/>
            </w:pPr>
            <w:r>
              <w:rPr>
                <w:rFonts w:ascii="宋体" w:hAnsi="宋体" w:eastAsia="宋体"/>
                <w:sz w:val="16"/>
              </w:rPr>
              <w:t>16台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F167">
            <w:pPr>
              <w:jc w:val="center"/>
            </w:pPr>
            <w:r>
              <w:rPr>
                <w:rFonts w:ascii="宋体" w:hAnsi="宋体" w:eastAsia="宋体"/>
                <w:sz w:val="16"/>
              </w:rPr>
              <w:t>76.19%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841E0">
            <w:pPr>
              <w:jc w:val="center"/>
            </w:pPr>
            <w:r>
              <w:rPr>
                <w:rFonts w:ascii="宋体" w:hAnsi="宋体" w:eastAsia="宋体"/>
                <w:sz w:val="16"/>
              </w:rPr>
              <w:t>1.52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DE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5A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D0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0F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759D">
            <w:pPr>
              <w:jc w:val="center"/>
            </w:pPr>
            <w:r>
              <w:rPr>
                <w:rFonts w:ascii="宋体" w:hAnsi="宋体" w:eastAsia="宋体"/>
                <w:sz w:val="16"/>
              </w:rPr>
              <w:t>采购计算机</w:t>
            </w:r>
            <w:r>
              <w:rPr>
                <w:rFonts w:hint="eastAsia" w:ascii="宋体" w:hAnsi="宋体"/>
                <w:sz w:val="16"/>
                <w:lang w:eastAsia="zh-CN"/>
              </w:rPr>
              <w:t>价格比</w:t>
            </w:r>
            <w:r>
              <w:rPr>
                <w:rFonts w:ascii="宋体" w:hAnsi="宋体" w:eastAsia="宋体"/>
                <w:sz w:val="16"/>
              </w:rPr>
              <w:t>预算金额大，所以预算资金够采购16台</w:t>
            </w:r>
            <w:r>
              <w:rPr>
                <w:rFonts w:hint="eastAsia" w:ascii="宋体" w:hAnsi="宋体"/>
                <w:sz w:val="16"/>
                <w:lang w:eastAsia="zh-CN"/>
              </w:rPr>
              <w:t>。</w:t>
            </w:r>
          </w:p>
        </w:tc>
      </w:tr>
      <w:tr w14:paraId="16A60F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76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3F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D8E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2A94">
            <w:pPr>
              <w:jc w:val="center"/>
            </w:pPr>
            <w:r>
              <w:rPr>
                <w:rFonts w:ascii="宋体" w:hAnsi="宋体" w:eastAsia="宋体"/>
                <w:sz w:val="16"/>
              </w:rPr>
              <w:t>采购教具智慧纳米黑板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458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C6F2">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F0E2">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54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29F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4B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A7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72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B6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8529">
            <w:pPr>
              <w:jc w:val="center"/>
            </w:pPr>
          </w:p>
        </w:tc>
      </w:tr>
      <w:tr w14:paraId="48795E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CDB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3F2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E7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81A0">
            <w:pPr>
              <w:jc w:val="center"/>
            </w:pPr>
            <w:r>
              <w:rPr>
                <w:rFonts w:ascii="宋体" w:hAnsi="宋体" w:eastAsia="宋体"/>
                <w:sz w:val="16"/>
              </w:rPr>
              <w:t>采购办公家具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149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73F6">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E960">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A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6285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C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B3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743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C3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AAB09">
            <w:pPr>
              <w:jc w:val="center"/>
            </w:pPr>
          </w:p>
        </w:tc>
      </w:tr>
      <w:tr w14:paraId="1CCF5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B2D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CA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BB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CC92">
            <w:pPr>
              <w:jc w:val="center"/>
            </w:pPr>
            <w:r>
              <w:rPr>
                <w:rFonts w:ascii="宋体" w:hAnsi="宋体" w:eastAsia="宋体"/>
                <w:sz w:val="16"/>
              </w:rPr>
              <w:t>采购益智类学习用具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6A4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842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182A">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19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2F3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48E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5B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22E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FB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BDBF4">
            <w:pPr>
              <w:jc w:val="center"/>
            </w:pPr>
          </w:p>
        </w:tc>
      </w:tr>
      <w:tr w14:paraId="43669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2F2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E20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6C3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FC52">
            <w:pPr>
              <w:jc w:val="center"/>
            </w:pPr>
            <w:r>
              <w:rPr>
                <w:rFonts w:ascii="宋体" w:hAnsi="宋体" w:eastAsia="宋体"/>
                <w:sz w:val="16"/>
              </w:rPr>
              <w:t>采购肢体运动辅助类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F11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343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3A1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3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F89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B3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E1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6B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D52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5821">
            <w:pPr>
              <w:jc w:val="center"/>
            </w:pPr>
          </w:p>
        </w:tc>
      </w:tr>
      <w:tr w14:paraId="5F1CA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87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988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0FA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B2B0">
            <w:pPr>
              <w:jc w:val="center"/>
            </w:pPr>
            <w:r>
              <w:rPr>
                <w:rFonts w:ascii="宋体" w:hAnsi="宋体" w:eastAsia="宋体"/>
                <w:sz w:val="16"/>
              </w:rPr>
              <w:t>教室装饰装修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54A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AB7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A89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C0C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DCC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8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DA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F7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16E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E9CE">
            <w:pPr>
              <w:jc w:val="center"/>
            </w:pPr>
          </w:p>
        </w:tc>
      </w:tr>
      <w:tr w14:paraId="21641E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2E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652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D654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6903">
            <w:pPr>
              <w:jc w:val="center"/>
            </w:pPr>
            <w:r>
              <w:rPr>
                <w:rFonts w:ascii="宋体" w:hAnsi="宋体" w:eastAsia="宋体"/>
                <w:sz w:val="16"/>
              </w:rPr>
              <w:t>特殊教育资源中心合格率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6847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774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8E2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5A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EB0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D9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192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84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9C9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617B">
            <w:pPr>
              <w:jc w:val="center"/>
            </w:pPr>
          </w:p>
        </w:tc>
      </w:tr>
      <w:tr w14:paraId="239073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DF4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84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0C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FCBA">
            <w:pPr>
              <w:jc w:val="center"/>
            </w:pPr>
            <w:r>
              <w:rPr>
                <w:rFonts w:ascii="宋体" w:hAnsi="宋体" w:eastAsia="宋体"/>
                <w:sz w:val="16"/>
              </w:rPr>
              <w:t>普通中小学特殊教育资源教室验收合格率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8BE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E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69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E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E26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85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445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5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AF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31DE">
            <w:pPr>
              <w:jc w:val="center"/>
            </w:pPr>
          </w:p>
        </w:tc>
      </w:tr>
      <w:tr w14:paraId="5B31D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21D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47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46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BC0B">
            <w:pPr>
              <w:jc w:val="center"/>
            </w:pPr>
            <w:r>
              <w:rPr>
                <w:rFonts w:ascii="宋体" w:hAnsi="宋体" w:eastAsia="宋体"/>
                <w:sz w:val="16"/>
              </w:rPr>
              <w:t>购置设备质量合格率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6C1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1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4C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01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CAE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B9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F84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D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34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EE47">
            <w:pPr>
              <w:jc w:val="center"/>
            </w:pPr>
          </w:p>
        </w:tc>
      </w:tr>
      <w:tr w14:paraId="28B42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E89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7A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E0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712E">
            <w:pPr>
              <w:jc w:val="center"/>
            </w:pPr>
            <w:r>
              <w:rPr>
                <w:rFonts w:ascii="宋体" w:hAnsi="宋体" w:eastAsia="宋体"/>
                <w:sz w:val="16"/>
              </w:rPr>
              <w:t>购置设备验收合格率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67CE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84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E5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8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397A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3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21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294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6C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B867">
            <w:pPr>
              <w:jc w:val="center"/>
            </w:pPr>
          </w:p>
        </w:tc>
      </w:tr>
      <w:tr w14:paraId="50ACD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BD2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47B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9CF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1A87">
            <w:pPr>
              <w:jc w:val="center"/>
            </w:pPr>
            <w:r>
              <w:rPr>
                <w:rFonts w:ascii="宋体" w:hAnsi="宋体" w:eastAsia="宋体"/>
                <w:sz w:val="16"/>
              </w:rPr>
              <w:t>办公家具验收合格率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6E0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FC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B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9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40C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9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380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B5A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57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C6C0">
            <w:pPr>
              <w:jc w:val="center"/>
            </w:pPr>
          </w:p>
        </w:tc>
      </w:tr>
      <w:tr w14:paraId="39F9A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F8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09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963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F8F4">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931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F7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2A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4D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6E2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95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30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B3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3FD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C313">
            <w:pPr>
              <w:jc w:val="center"/>
            </w:pPr>
          </w:p>
        </w:tc>
      </w:tr>
      <w:tr w14:paraId="57026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1B3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E13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C78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92ED">
            <w:pPr>
              <w:jc w:val="center"/>
            </w:pPr>
            <w:r>
              <w:rPr>
                <w:rFonts w:ascii="宋体" w:hAnsi="宋体" w:eastAsia="宋体"/>
                <w:sz w:val="16"/>
              </w:rPr>
              <w:t>特殊教育资源教室装修按期完成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1EA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F04C">
            <w:pPr>
              <w:jc w:val="center"/>
            </w:pPr>
            <w:r>
              <w:rPr>
                <w:rFonts w:ascii="宋体" w:hAnsi="宋体" w:eastAsia="宋体"/>
                <w:sz w:val="16"/>
              </w:rPr>
              <w:t>=2024年12月24日底完成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DA77">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3D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E2A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1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C1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24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AA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9EB4">
            <w:pPr>
              <w:jc w:val="center"/>
            </w:pPr>
          </w:p>
        </w:tc>
      </w:tr>
      <w:tr w14:paraId="7EE46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83F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A5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ED2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26A0">
            <w:pPr>
              <w:jc w:val="center"/>
            </w:pPr>
            <w:r>
              <w:rPr>
                <w:rFonts w:ascii="宋体" w:hAnsi="宋体" w:eastAsia="宋体"/>
                <w:sz w:val="16"/>
              </w:rPr>
              <w:t>特殊教室采购教具设备按期完成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90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F42B">
            <w:pPr>
              <w:jc w:val="center"/>
            </w:pPr>
            <w:r>
              <w:rPr>
                <w:rFonts w:ascii="宋体" w:hAnsi="宋体" w:eastAsia="宋体"/>
                <w:sz w:val="16"/>
              </w:rPr>
              <w:t>=2024年12月24日底完成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BAD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00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79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2F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B4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0BF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92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89C5">
            <w:pPr>
              <w:jc w:val="center"/>
            </w:pPr>
          </w:p>
        </w:tc>
      </w:tr>
      <w:tr w14:paraId="21138D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F1E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0EB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E719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17BE">
            <w:pPr>
              <w:jc w:val="center"/>
            </w:pPr>
            <w:r>
              <w:rPr>
                <w:rFonts w:ascii="宋体" w:hAnsi="宋体" w:eastAsia="宋体"/>
                <w:sz w:val="16"/>
              </w:rPr>
              <w:t>台式计算机成本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632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E5308">
            <w:pPr>
              <w:jc w:val="center"/>
            </w:pPr>
            <w:r>
              <w:rPr>
                <w:rFonts w:ascii="宋体" w:hAnsi="宋体" w:eastAsia="宋体"/>
                <w:sz w:val="16"/>
              </w:rPr>
              <w:t>=6.01万元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9906">
            <w:pPr>
              <w:jc w:val="center"/>
            </w:pPr>
            <w:r>
              <w:rPr>
                <w:rFonts w:ascii="宋体" w:hAnsi="宋体" w:eastAsia="宋体"/>
                <w:sz w:val="16"/>
              </w:rPr>
              <w:t>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E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877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98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39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0C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92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4C64">
            <w:pPr>
              <w:jc w:val="center"/>
            </w:pPr>
          </w:p>
        </w:tc>
      </w:tr>
      <w:tr w14:paraId="75FD39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F4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27E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45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5B66">
            <w:pPr>
              <w:jc w:val="center"/>
            </w:pPr>
            <w:r>
              <w:rPr>
                <w:rFonts w:ascii="宋体" w:hAnsi="宋体" w:eastAsia="宋体"/>
                <w:sz w:val="16"/>
              </w:rPr>
              <w:t>教具智慧纳米黑板成本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FB4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14A4">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1B40">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C0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ADD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7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3BB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1C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7D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8175">
            <w:pPr>
              <w:jc w:val="center"/>
            </w:pPr>
          </w:p>
        </w:tc>
      </w:tr>
      <w:tr w14:paraId="6C307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A5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07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A14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6670">
            <w:pPr>
              <w:jc w:val="center"/>
            </w:pPr>
            <w:r>
              <w:rPr>
                <w:rFonts w:ascii="宋体" w:hAnsi="宋体" w:eastAsia="宋体"/>
                <w:sz w:val="16"/>
              </w:rPr>
              <w:t>办公家具成本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F8B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57D8">
            <w:pPr>
              <w:jc w:val="center"/>
            </w:pPr>
            <w:r>
              <w:rPr>
                <w:rFonts w:ascii="宋体" w:hAnsi="宋体" w:eastAsia="宋体"/>
                <w:sz w:val="16"/>
              </w:rPr>
              <w:t>=2.3668万元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CAC5">
            <w:pPr>
              <w:jc w:val="center"/>
            </w:pPr>
            <w:r>
              <w:rPr>
                <w:rFonts w:ascii="宋体" w:hAnsi="宋体" w:eastAsia="宋体"/>
                <w:sz w:val="16"/>
              </w:rPr>
              <w:t>2.3688万元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9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C13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86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BB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EA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2B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413F">
            <w:pPr>
              <w:jc w:val="center"/>
            </w:pPr>
          </w:p>
        </w:tc>
      </w:tr>
      <w:tr w14:paraId="325B9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A6F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FF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A5A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467E">
            <w:pPr>
              <w:jc w:val="center"/>
            </w:pPr>
            <w:r>
              <w:rPr>
                <w:rFonts w:ascii="宋体" w:hAnsi="宋体" w:eastAsia="宋体"/>
                <w:sz w:val="16"/>
              </w:rPr>
              <w:t>益智类学习成本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DEE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89FF">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65EA">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FF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D47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D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8F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2B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176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2283">
            <w:pPr>
              <w:jc w:val="center"/>
            </w:pPr>
          </w:p>
        </w:tc>
      </w:tr>
      <w:tr w14:paraId="271DD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BD0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42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D93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14A6">
            <w:pPr>
              <w:jc w:val="center"/>
            </w:pPr>
            <w:r>
              <w:rPr>
                <w:rFonts w:ascii="宋体" w:hAnsi="宋体" w:eastAsia="宋体"/>
                <w:sz w:val="16"/>
              </w:rPr>
              <w:t>肢体运动辅助类成本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56C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5411">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66986">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9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726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2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1A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1C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43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547D">
            <w:pPr>
              <w:jc w:val="center"/>
            </w:pPr>
          </w:p>
        </w:tc>
      </w:tr>
      <w:tr w14:paraId="3FA38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F1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86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649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7377">
            <w:pPr>
              <w:jc w:val="center"/>
            </w:pPr>
            <w:r>
              <w:rPr>
                <w:rFonts w:ascii="宋体" w:hAnsi="宋体" w:eastAsia="宋体"/>
                <w:sz w:val="16"/>
              </w:rPr>
              <w:t>教室装饰装修成本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E1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FA6D">
            <w:pPr>
              <w:jc w:val="center"/>
            </w:pPr>
            <w:r>
              <w:rPr>
                <w:rFonts w:ascii="宋体" w:hAnsi="宋体" w:eastAsia="宋体"/>
                <w:sz w:val="16"/>
              </w:rPr>
              <w:t>=4.6732万元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F321">
            <w:pPr>
              <w:jc w:val="center"/>
            </w:pPr>
            <w:r>
              <w:rPr>
                <w:rFonts w:ascii="宋体" w:hAnsi="宋体" w:eastAsia="宋体"/>
                <w:sz w:val="16"/>
              </w:rPr>
              <w:t>4.6732万元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5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84D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8F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99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6B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13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59E6">
            <w:pPr>
              <w:jc w:val="center"/>
            </w:pPr>
          </w:p>
        </w:tc>
      </w:tr>
      <w:tr w14:paraId="6B649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B6D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1E1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1CA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B7CE">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9E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4A8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BD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4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79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4E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D6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FBC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53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35B6">
            <w:pPr>
              <w:jc w:val="center"/>
            </w:pPr>
          </w:p>
        </w:tc>
      </w:tr>
      <w:tr w14:paraId="5DE37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B58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F7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25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AC0B">
            <w:pPr>
              <w:jc w:val="center"/>
            </w:pPr>
            <w:r>
              <w:rPr>
                <w:rFonts w:ascii="宋体" w:hAnsi="宋体" w:eastAsia="宋体"/>
                <w:sz w:val="16"/>
              </w:rPr>
              <w:t>特殊教育学校办学条件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F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DE4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49B3">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F9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DE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C6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E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25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7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C791">
            <w:pPr>
              <w:jc w:val="center"/>
            </w:pPr>
          </w:p>
        </w:tc>
      </w:tr>
      <w:tr w14:paraId="3294AF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836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3C4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8A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212EF">
            <w:pPr>
              <w:jc w:val="center"/>
            </w:pPr>
            <w:r>
              <w:rPr>
                <w:rFonts w:ascii="宋体" w:hAnsi="宋体" w:eastAsia="宋体"/>
                <w:sz w:val="16"/>
              </w:rPr>
              <w:t>残疾学生，家长满意度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5C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718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6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45EA">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A2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F2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69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A2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0A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B3A2">
            <w:pPr>
              <w:jc w:val="center"/>
            </w:pPr>
            <w:r>
              <w:rPr>
                <w:rFonts w:ascii="宋体" w:hAnsi="宋体" w:eastAsia="宋体"/>
                <w:sz w:val="16"/>
              </w:rPr>
              <w:t>满意度完成较好。</w:t>
            </w:r>
          </w:p>
        </w:tc>
      </w:tr>
      <w:tr w14:paraId="4D9A59E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D7CC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B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71CB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B15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5086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B5F5F">
            <w:pPr>
              <w:jc w:val="center"/>
            </w:pPr>
            <w:r>
              <w:rPr>
                <w:rFonts w:ascii="宋体" w:hAnsi="宋体" w:eastAsia="宋体"/>
                <w:sz w:val="16"/>
              </w:rPr>
              <w:t>99.52分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026A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C7FA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FD01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235A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F023B4"/>
        </w:tc>
      </w:tr>
    </w:tbl>
    <w:p w14:paraId="09AC3642">
      <w:r>
        <w:br w:type="page"/>
      </w:r>
    </w:p>
    <w:p w14:paraId="58C65A33">
      <w:pPr>
        <w:spacing w:line="640" w:lineRule="exact"/>
        <w:ind w:firstLine="640"/>
        <w:jc w:val="both"/>
        <w:outlineLvl w:val="2"/>
      </w:pPr>
      <w:r>
        <w:rPr>
          <w:rFonts w:ascii="黑体" w:hAnsi="黑体" w:eastAsia="黑体"/>
          <w:sz w:val="32"/>
        </w:rPr>
        <w:t>十二、其他需说明的事项</w:t>
      </w:r>
    </w:p>
    <w:p w14:paraId="55C375A2">
      <w:pPr>
        <w:spacing w:line="580" w:lineRule="exact"/>
        <w:ind w:firstLine="640"/>
        <w:jc w:val="both"/>
      </w:pPr>
      <w:r>
        <w:rPr>
          <w:rFonts w:ascii="仿宋_GB2312" w:hAnsi="仿宋_GB2312" w:eastAsia="仿宋_GB2312"/>
          <w:b w:val="0"/>
          <w:sz w:val="32"/>
        </w:rPr>
        <w:t>本单位无其他需说明的事项。</w:t>
      </w:r>
    </w:p>
    <w:p w14:paraId="067551CE">
      <w:r>
        <w:br w:type="page"/>
      </w:r>
    </w:p>
    <w:p w14:paraId="5D4EBA32">
      <w:pPr>
        <w:spacing w:line="240" w:lineRule="auto"/>
        <w:jc w:val="center"/>
        <w:outlineLvl w:val="1"/>
      </w:pPr>
      <w:r>
        <w:rPr>
          <w:rFonts w:ascii="黑体" w:hAnsi="黑体" w:eastAsia="黑体"/>
          <w:sz w:val="32"/>
        </w:rPr>
        <w:t>第三部分 专业名词解释</w:t>
      </w:r>
    </w:p>
    <w:p w14:paraId="359057A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125885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BDC58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0F9B6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4C0EC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BBC7F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1130A1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7D3DC5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37D0D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D1A3EA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F8B2A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4DF91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3D5144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85159E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7039201">
      <w:r>
        <w:br w:type="page"/>
      </w:r>
    </w:p>
    <w:p w14:paraId="0025C714">
      <w:pPr>
        <w:spacing w:line="240" w:lineRule="auto"/>
        <w:jc w:val="center"/>
        <w:outlineLvl w:val="1"/>
      </w:pPr>
      <w:r>
        <w:rPr>
          <w:rFonts w:ascii="黑体" w:hAnsi="黑体" w:eastAsia="黑体"/>
          <w:sz w:val="32"/>
        </w:rPr>
        <w:t>第四部分 部门决算报表（见附表）</w:t>
      </w:r>
    </w:p>
    <w:p w14:paraId="49402918">
      <w:pPr>
        <w:spacing w:line="240" w:lineRule="auto"/>
        <w:ind w:firstLine="640"/>
        <w:jc w:val="both"/>
      </w:pPr>
      <w:r>
        <w:rPr>
          <w:rFonts w:ascii="仿宋_GB2312" w:hAnsi="仿宋_GB2312" w:eastAsia="仿宋_GB2312"/>
          <w:b w:val="0"/>
          <w:sz w:val="32"/>
        </w:rPr>
        <w:t>一、《收入支出决算总表》</w:t>
      </w:r>
    </w:p>
    <w:p w14:paraId="77DBFC39">
      <w:pPr>
        <w:spacing w:line="240" w:lineRule="auto"/>
        <w:ind w:firstLine="640"/>
        <w:jc w:val="both"/>
      </w:pPr>
      <w:r>
        <w:rPr>
          <w:rFonts w:ascii="仿宋_GB2312" w:hAnsi="仿宋_GB2312" w:eastAsia="仿宋_GB2312"/>
          <w:b w:val="0"/>
          <w:sz w:val="32"/>
        </w:rPr>
        <w:t>二、《收入决算表》</w:t>
      </w:r>
    </w:p>
    <w:p w14:paraId="7C236C8D">
      <w:pPr>
        <w:spacing w:line="240" w:lineRule="auto"/>
        <w:ind w:firstLine="640"/>
        <w:jc w:val="both"/>
      </w:pPr>
      <w:r>
        <w:rPr>
          <w:rFonts w:ascii="仿宋_GB2312" w:hAnsi="仿宋_GB2312" w:eastAsia="仿宋_GB2312"/>
          <w:b w:val="0"/>
          <w:sz w:val="32"/>
        </w:rPr>
        <w:t>三、《支出决算表》</w:t>
      </w:r>
    </w:p>
    <w:p w14:paraId="099904B1">
      <w:pPr>
        <w:spacing w:line="240" w:lineRule="auto"/>
        <w:ind w:firstLine="640"/>
        <w:jc w:val="both"/>
      </w:pPr>
      <w:r>
        <w:rPr>
          <w:rFonts w:ascii="仿宋_GB2312" w:hAnsi="仿宋_GB2312" w:eastAsia="仿宋_GB2312"/>
          <w:b w:val="0"/>
          <w:sz w:val="32"/>
        </w:rPr>
        <w:t>四、《财政拨款收入支出决算总表》</w:t>
      </w:r>
    </w:p>
    <w:p w14:paraId="74A3A9C6">
      <w:pPr>
        <w:spacing w:line="240" w:lineRule="auto"/>
        <w:ind w:firstLine="640"/>
        <w:jc w:val="both"/>
      </w:pPr>
      <w:r>
        <w:rPr>
          <w:rFonts w:ascii="仿宋_GB2312" w:hAnsi="仿宋_GB2312" w:eastAsia="仿宋_GB2312"/>
          <w:b w:val="0"/>
          <w:sz w:val="32"/>
        </w:rPr>
        <w:t>五、《一般公共预算财政拨款支出决算表》</w:t>
      </w:r>
    </w:p>
    <w:p w14:paraId="50509950">
      <w:pPr>
        <w:spacing w:line="240" w:lineRule="auto"/>
        <w:ind w:firstLine="640"/>
        <w:jc w:val="both"/>
      </w:pPr>
      <w:r>
        <w:rPr>
          <w:rFonts w:ascii="仿宋_GB2312" w:hAnsi="仿宋_GB2312" w:eastAsia="仿宋_GB2312"/>
          <w:b w:val="0"/>
          <w:sz w:val="32"/>
        </w:rPr>
        <w:t>六、《一般公共预算财政拨款基本支出决算表》</w:t>
      </w:r>
    </w:p>
    <w:p w14:paraId="746B7B42">
      <w:pPr>
        <w:spacing w:line="240" w:lineRule="auto"/>
        <w:ind w:firstLine="640"/>
        <w:jc w:val="both"/>
      </w:pPr>
      <w:r>
        <w:rPr>
          <w:rFonts w:ascii="仿宋_GB2312" w:hAnsi="仿宋_GB2312" w:eastAsia="仿宋_GB2312"/>
          <w:b w:val="0"/>
          <w:sz w:val="32"/>
        </w:rPr>
        <w:t>七、《政府性基金预算财政拨款收入支出决算表》</w:t>
      </w:r>
    </w:p>
    <w:p w14:paraId="235E6FD2">
      <w:pPr>
        <w:spacing w:line="240" w:lineRule="auto"/>
        <w:ind w:firstLine="640"/>
        <w:jc w:val="both"/>
      </w:pPr>
      <w:r>
        <w:rPr>
          <w:rFonts w:ascii="仿宋_GB2312" w:hAnsi="仿宋_GB2312" w:eastAsia="仿宋_GB2312"/>
          <w:b w:val="0"/>
          <w:sz w:val="32"/>
        </w:rPr>
        <w:t>八、《国有资本经营预算财政拨款收入支出决算表》</w:t>
      </w:r>
    </w:p>
    <w:p w14:paraId="66600C09">
      <w:pPr>
        <w:spacing w:line="240" w:lineRule="auto"/>
        <w:ind w:firstLine="640"/>
        <w:jc w:val="both"/>
      </w:pPr>
      <w:r>
        <w:rPr>
          <w:rFonts w:ascii="仿宋_GB2312" w:hAnsi="仿宋_GB2312" w:eastAsia="仿宋_GB2312"/>
          <w:b w:val="0"/>
          <w:sz w:val="32"/>
        </w:rPr>
        <w:t>九、《财政拨款“三公”经费支出决算表》</w:t>
      </w:r>
    </w:p>
    <w:p w14:paraId="555612EF">
      <w:pPr>
        <w:spacing w:line="240" w:lineRule="auto"/>
        <w:ind w:firstLine="640"/>
        <w:jc w:val="both"/>
      </w:pPr>
    </w:p>
    <w:p w14:paraId="05EAE9AB">
      <w:pPr>
        <w:spacing w:line="240" w:lineRule="auto"/>
        <w:ind w:firstLine="640"/>
        <w:jc w:val="both"/>
      </w:pPr>
    </w:p>
    <w:p w14:paraId="356D2691">
      <w:pPr>
        <w:spacing w:line="240" w:lineRule="auto"/>
        <w:ind w:firstLine="640"/>
        <w:jc w:val="both"/>
      </w:pPr>
    </w:p>
    <w:p w14:paraId="1CDEF74F">
      <w:pPr>
        <w:spacing w:line="240" w:lineRule="auto"/>
        <w:ind w:firstLine="640"/>
        <w:jc w:val="both"/>
      </w:pPr>
    </w:p>
    <w:p w14:paraId="6948C4B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E00D33-0FB0-422C-A6DB-C51D0826398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3AEB1295-026B-448A-B213-30C71C3CF966}"/>
  </w:font>
  <w:font w:name="楷体_GB2312">
    <w:panose1 w:val="02010609030101010101"/>
    <w:charset w:val="86"/>
    <w:family w:val="auto"/>
    <w:pitch w:val="default"/>
    <w:sig w:usb0="00000001" w:usb1="080E0000" w:usb2="00000000" w:usb3="00000000" w:csb0="00040000" w:csb1="00000000"/>
    <w:embedRegular r:id="rId3" w:fontKey="{3E721E24-BB5D-47F4-B8C1-D8B128AAF78F}"/>
  </w:font>
  <w:font w:name="方正小标宋_GBK">
    <w:panose1 w:val="02000000000000000000"/>
    <w:charset w:val="86"/>
    <w:family w:val="script"/>
    <w:pitch w:val="default"/>
    <w:sig w:usb0="A00002BF" w:usb1="38CF7CFA" w:usb2="00082016" w:usb3="00000000" w:csb0="00040001" w:csb1="00000000"/>
    <w:embedRegular r:id="rId4" w:fontKey="{7D9B308A-BC7A-420C-A7BA-B10E0FE933F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342F50"/>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5C649E"/>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5659</Words>
  <Characters>6568</Characters>
  <Lines>0</Lines>
  <Paragraphs>0</Paragraphs>
  <TotalTime>4</TotalTime>
  <ScaleCrop>false</ScaleCrop>
  <LinksUpToDate>false</LinksUpToDate>
  <CharactersWithSpaces>6578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2025-09-25T03:45:36Z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