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霍城县示范幼儿园2024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BB5FBBA">
      <w:r>
        <w:br w:type="page"/>
      </w:r>
    </w:p>
    <w:p w14:paraId="0F77543F">
      <w:pPr>
        <w:spacing w:line="640" w:lineRule="exact"/>
        <w:jc w:val="center"/>
        <w:outlineLvl w:val="1"/>
      </w:pPr>
      <w:r>
        <w:rPr>
          <w:rFonts w:ascii="黑体" w:hAnsi="黑体" w:eastAsia="黑体"/>
          <w:sz w:val="32"/>
        </w:rPr>
        <w:t>第一部分 单位概况</w:t>
      </w:r>
    </w:p>
    <w:p w14:paraId="2FFC422E">
      <w:pPr>
        <w:spacing w:line="640" w:lineRule="exact"/>
        <w:ind w:firstLine="640"/>
        <w:jc w:val="both"/>
        <w:outlineLvl w:val="2"/>
      </w:pPr>
      <w:r>
        <w:rPr>
          <w:rFonts w:ascii="黑体" w:hAnsi="黑体" w:eastAsia="黑体"/>
          <w:sz w:val="32"/>
        </w:rPr>
        <w:t>一、主要职能</w:t>
      </w:r>
    </w:p>
    <w:p w14:paraId="4C498296">
      <w:pPr>
        <w:spacing w:line="580" w:lineRule="exact"/>
        <w:ind w:firstLine="640"/>
        <w:jc w:val="both"/>
      </w:pPr>
      <w:r>
        <w:rPr>
          <w:rFonts w:ascii="仿宋_GB2312" w:hAnsi="仿宋_GB2312" w:eastAsia="仿宋_GB2312"/>
          <w:sz w:val="32"/>
        </w:rPr>
        <w:t>霍城县3-6岁学龄前儿童教育，促进学前教育发展（幼儿保育、幼儿教育），贯彻执行国家的有关法律、法规、方针、政策和上级主管部门的规定，结合幼儿年龄特点，制定保教工作计划，对幼儿实施德、智、体、美全面发展的教育。</w:t>
      </w:r>
    </w:p>
    <w:p w14:paraId="7874A75C">
      <w:pPr>
        <w:spacing w:line="640" w:lineRule="exact"/>
        <w:ind w:firstLine="640"/>
        <w:jc w:val="both"/>
        <w:outlineLvl w:val="2"/>
      </w:pPr>
      <w:r>
        <w:rPr>
          <w:rFonts w:ascii="黑体" w:hAnsi="黑体" w:eastAsia="黑体"/>
          <w:sz w:val="32"/>
        </w:rPr>
        <w:t>二、机构设置及人员情况</w:t>
      </w:r>
    </w:p>
    <w:p w14:paraId="475FA369">
      <w:pPr>
        <w:spacing w:line="580" w:lineRule="exact"/>
        <w:ind w:firstLine="640"/>
        <w:jc w:val="both"/>
      </w:pPr>
      <w:r>
        <w:rPr>
          <w:rFonts w:ascii="仿宋_GB2312" w:hAnsi="仿宋_GB2312" w:eastAsia="仿宋_GB2312"/>
          <w:sz w:val="32"/>
        </w:rPr>
        <w:t>霍城县示范幼儿园2024年度，实有人数95人，其中：在职人员38人，减少7人；离休人员0人，增加0人；退休人员57人,增加5人。</w:t>
      </w:r>
    </w:p>
    <w:p w14:paraId="143A8B40">
      <w:pPr>
        <w:spacing w:line="580" w:lineRule="exact"/>
        <w:ind w:firstLine="640"/>
        <w:jc w:val="both"/>
      </w:pPr>
      <w:r>
        <w:rPr>
          <w:rFonts w:ascii="仿宋_GB2312" w:hAnsi="仿宋_GB2312" w:eastAsia="仿宋_GB2312"/>
          <w:sz w:val="32"/>
        </w:rPr>
        <w:t>霍城县示范幼儿园无下属预算单位，下设3个科室，分别是：小班年级组、中班年级组、大班年级组。</w:t>
      </w:r>
    </w:p>
    <w:p w14:paraId="49929ADC">
      <w:r>
        <w:br w:type="page"/>
      </w:r>
    </w:p>
    <w:p w14:paraId="78021DE1">
      <w:pPr>
        <w:spacing w:line="240" w:lineRule="auto"/>
        <w:jc w:val="center"/>
        <w:outlineLvl w:val="1"/>
      </w:pPr>
      <w:r>
        <w:rPr>
          <w:rFonts w:ascii="黑体" w:hAnsi="黑体" w:eastAsia="黑体"/>
          <w:sz w:val="32"/>
        </w:rPr>
        <w:t>第二部分 部门决算情况说明</w:t>
      </w:r>
    </w:p>
    <w:p w14:paraId="358A67E5">
      <w:pPr>
        <w:spacing w:line="640" w:lineRule="exact"/>
        <w:ind w:firstLine="640"/>
        <w:jc w:val="both"/>
        <w:outlineLvl w:val="2"/>
      </w:pPr>
      <w:r>
        <w:rPr>
          <w:rFonts w:ascii="黑体" w:hAnsi="黑体" w:eastAsia="黑体"/>
          <w:sz w:val="32"/>
        </w:rPr>
        <w:t>一、收入支出决算总体情况说明</w:t>
      </w:r>
    </w:p>
    <w:p w14:paraId="269DD82A">
      <w:pPr>
        <w:spacing w:line="580" w:lineRule="exact"/>
        <w:ind w:firstLine="640"/>
        <w:jc w:val="both"/>
      </w:pPr>
      <w:r>
        <w:rPr>
          <w:rFonts w:ascii="仿宋_GB2312" w:hAnsi="仿宋_GB2312" w:eastAsia="仿宋_GB2312"/>
          <w:b/>
          <w:sz w:val="32"/>
        </w:rPr>
        <w:t>2024年度收入总计935.61万元，</w:t>
      </w:r>
      <w:r>
        <w:rPr>
          <w:rFonts w:ascii="仿宋_GB2312" w:hAnsi="仿宋_GB2312" w:eastAsia="仿宋_GB2312"/>
          <w:b w:val="0"/>
          <w:sz w:val="32"/>
        </w:rPr>
        <w:t>其中：本年收入合计935.61万元，使用非财政拨款结余（含专用结余）0.00万元，年初结转和结余0.00万元。</w:t>
      </w:r>
    </w:p>
    <w:p w14:paraId="7B46E1D5">
      <w:pPr>
        <w:spacing w:line="580" w:lineRule="exact"/>
        <w:ind w:firstLine="640"/>
        <w:jc w:val="both"/>
      </w:pPr>
      <w:r>
        <w:rPr>
          <w:rFonts w:ascii="仿宋_GB2312" w:hAnsi="仿宋_GB2312" w:eastAsia="仿宋_GB2312"/>
          <w:b/>
          <w:sz w:val="32"/>
        </w:rPr>
        <w:t>2024年度支出总计935.61万元，</w:t>
      </w:r>
      <w:r>
        <w:rPr>
          <w:rFonts w:ascii="仿宋_GB2312" w:hAnsi="仿宋_GB2312" w:eastAsia="仿宋_GB2312"/>
          <w:b w:val="0"/>
          <w:sz w:val="32"/>
        </w:rPr>
        <w:t>其中：本年支出合计935.61万元，结余分配0.00万元，年末结转和结余0.00万元。</w:t>
      </w:r>
    </w:p>
    <w:p w14:paraId="366A711A">
      <w:pPr>
        <w:spacing w:line="580" w:lineRule="exact"/>
        <w:ind w:firstLine="640"/>
        <w:jc w:val="both"/>
      </w:pPr>
      <w:r>
        <w:rPr>
          <w:rFonts w:ascii="仿宋_GB2312" w:hAnsi="仿宋_GB2312" w:eastAsia="仿宋_GB2312"/>
          <w:b w:val="0"/>
          <w:sz w:val="32"/>
        </w:rPr>
        <w:t>收入支出总体与上年相比，增加24.70万元，增长2.71%，主要原因是：本年助学金增加，导致经费增加。</w:t>
      </w:r>
    </w:p>
    <w:p w14:paraId="2786FDAF">
      <w:pPr>
        <w:spacing w:line="640" w:lineRule="exact"/>
        <w:ind w:firstLine="640"/>
        <w:jc w:val="both"/>
        <w:outlineLvl w:val="2"/>
      </w:pPr>
      <w:r>
        <w:rPr>
          <w:rFonts w:ascii="黑体" w:hAnsi="黑体" w:eastAsia="黑体"/>
          <w:sz w:val="32"/>
        </w:rPr>
        <w:t>二、收入决算情况说明</w:t>
      </w:r>
    </w:p>
    <w:p w14:paraId="28BE1CF5">
      <w:pPr>
        <w:spacing w:line="580" w:lineRule="exact"/>
        <w:ind w:firstLine="640"/>
        <w:jc w:val="both"/>
      </w:pPr>
      <w:r>
        <w:rPr>
          <w:rFonts w:ascii="仿宋_GB2312" w:hAnsi="仿宋_GB2312" w:eastAsia="仿宋_GB2312"/>
          <w:b/>
          <w:sz w:val="32"/>
        </w:rPr>
        <w:t>本年收入935.61万元，</w:t>
      </w:r>
      <w:r>
        <w:rPr>
          <w:rFonts w:ascii="仿宋_GB2312" w:hAnsi="仿宋_GB2312" w:eastAsia="仿宋_GB2312"/>
          <w:b w:val="0"/>
          <w:sz w:val="32"/>
        </w:rPr>
        <w:t>其中：财政拨款收入935.61万元，占100.00%；上级补助收入0.00万元，占0.00%；事业收入0.00万元，占0.00%；经营收入0.00万元，占0.00%；附属单位上缴收入0.00万元，占0.00%；其他收入0.00万元，占0.00%。</w:t>
      </w:r>
    </w:p>
    <w:p w14:paraId="79A23ABB">
      <w:pPr>
        <w:spacing w:line="640" w:lineRule="exact"/>
        <w:ind w:firstLine="640"/>
        <w:jc w:val="both"/>
        <w:outlineLvl w:val="2"/>
      </w:pPr>
      <w:r>
        <w:rPr>
          <w:rFonts w:ascii="黑体" w:hAnsi="黑体" w:eastAsia="黑体"/>
          <w:sz w:val="32"/>
        </w:rPr>
        <w:t>三、支出决算情况说明</w:t>
      </w:r>
    </w:p>
    <w:p w14:paraId="498E4605">
      <w:pPr>
        <w:spacing w:line="580" w:lineRule="exact"/>
        <w:ind w:firstLine="640"/>
        <w:jc w:val="both"/>
      </w:pPr>
      <w:r>
        <w:rPr>
          <w:rFonts w:ascii="仿宋_GB2312" w:hAnsi="仿宋_GB2312" w:eastAsia="仿宋_GB2312"/>
          <w:b/>
          <w:sz w:val="32"/>
        </w:rPr>
        <w:t>本年支出935.61万元，</w:t>
      </w:r>
      <w:r>
        <w:rPr>
          <w:rFonts w:ascii="仿宋_GB2312" w:hAnsi="仿宋_GB2312" w:eastAsia="仿宋_GB2312"/>
          <w:b w:val="0"/>
          <w:sz w:val="32"/>
        </w:rPr>
        <w:t>其中：基本支出935.61万元，占100.00%；项目支出0.00万元，占0.00%；上缴上级支出0.00万元，占0.00%；经营支出0.00万元，占0.00%；对附属单位补助支出0.00万元，占0.00%。</w:t>
      </w:r>
    </w:p>
    <w:p w14:paraId="4C35D57C">
      <w:pPr>
        <w:spacing w:line="640" w:lineRule="exact"/>
        <w:ind w:firstLine="640"/>
        <w:jc w:val="both"/>
        <w:outlineLvl w:val="2"/>
      </w:pPr>
      <w:r>
        <w:rPr>
          <w:rFonts w:ascii="黑体" w:hAnsi="黑体" w:eastAsia="黑体"/>
          <w:sz w:val="32"/>
        </w:rPr>
        <w:t>四、财政拨款收入支出决算总体情况说明</w:t>
      </w:r>
    </w:p>
    <w:p w14:paraId="4D5C1827">
      <w:pPr>
        <w:spacing w:line="580" w:lineRule="exact"/>
        <w:ind w:firstLine="640"/>
        <w:jc w:val="both"/>
      </w:pPr>
      <w:r>
        <w:rPr>
          <w:rFonts w:ascii="仿宋_GB2312" w:hAnsi="仿宋_GB2312" w:eastAsia="仿宋_GB2312"/>
          <w:b/>
          <w:sz w:val="32"/>
        </w:rPr>
        <w:t>2024年度财政拨款收入总计935.61万元，</w:t>
      </w:r>
      <w:r>
        <w:rPr>
          <w:rFonts w:ascii="仿宋_GB2312" w:hAnsi="仿宋_GB2312" w:eastAsia="仿宋_GB2312"/>
          <w:b w:val="0"/>
          <w:sz w:val="32"/>
        </w:rPr>
        <w:t>其中：年初财政拨款结转和结余0.00万元，本年财政拨款收入935.61万元。</w:t>
      </w:r>
      <w:r>
        <w:rPr>
          <w:rFonts w:ascii="仿宋_GB2312" w:hAnsi="仿宋_GB2312" w:eastAsia="仿宋_GB2312"/>
          <w:b/>
          <w:sz w:val="32"/>
        </w:rPr>
        <w:t>财政拨款支出总计935.61万元，</w:t>
      </w:r>
      <w:r>
        <w:rPr>
          <w:rFonts w:ascii="仿宋_GB2312" w:hAnsi="仿宋_GB2312" w:eastAsia="仿宋_GB2312"/>
          <w:b w:val="0"/>
          <w:sz w:val="32"/>
        </w:rPr>
        <w:t>其中：年末财政拨款结转和结余0.00万元，本年财政拨款支出935.61万元。</w:t>
      </w:r>
    </w:p>
    <w:p w14:paraId="34040BB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增加24.70万元，增长2.71%，主要原因是：本年助学金增加，导致经费增加。</w:t>
      </w:r>
      <w:r>
        <w:rPr>
          <w:rFonts w:ascii="仿宋_GB2312" w:hAnsi="仿宋_GB2312" w:eastAsia="仿宋_GB2312"/>
          <w:b/>
          <w:sz w:val="32"/>
        </w:rPr>
        <w:t>与年初预算相比，</w:t>
      </w:r>
      <w:r>
        <w:rPr>
          <w:rFonts w:ascii="仿宋_GB2312" w:hAnsi="仿宋_GB2312" w:eastAsia="仿宋_GB2312"/>
          <w:b w:val="0"/>
          <w:sz w:val="32"/>
        </w:rPr>
        <w:t>年初预算数840.28万元，决算数935.61万元，预决算差异率11.35%，主要原因是：年中追加人员工资、社保、公积金基数调增部分资金及学生助学金，导致预决算存在差异。</w:t>
      </w:r>
    </w:p>
    <w:p w14:paraId="70AF9099">
      <w:pPr>
        <w:spacing w:line="640" w:lineRule="exact"/>
        <w:ind w:firstLine="640"/>
        <w:jc w:val="both"/>
        <w:outlineLvl w:val="2"/>
      </w:pPr>
      <w:r>
        <w:rPr>
          <w:rFonts w:ascii="黑体" w:hAnsi="黑体" w:eastAsia="黑体"/>
          <w:sz w:val="32"/>
        </w:rPr>
        <w:t>五、一般公共预算财政拨款支出决算情况说明</w:t>
      </w:r>
    </w:p>
    <w:p w14:paraId="1A024FA6">
      <w:pPr>
        <w:spacing w:line="640" w:lineRule="exact"/>
        <w:ind w:firstLine="640"/>
        <w:jc w:val="both"/>
        <w:outlineLvl w:val="3"/>
      </w:pPr>
      <w:r>
        <w:rPr>
          <w:rFonts w:ascii="楷体_GB2312" w:hAnsi="楷体_GB2312" w:eastAsia="楷体_GB2312"/>
          <w:b/>
          <w:sz w:val="32"/>
        </w:rPr>
        <w:t>（一）一般公共预算财政拨款支出决算总体情况</w:t>
      </w:r>
    </w:p>
    <w:p w14:paraId="67196104">
      <w:pPr>
        <w:spacing w:line="580" w:lineRule="exact"/>
        <w:ind w:firstLine="640"/>
        <w:jc w:val="both"/>
      </w:pPr>
      <w:r>
        <w:rPr>
          <w:rFonts w:ascii="仿宋_GB2312" w:hAnsi="仿宋_GB2312" w:eastAsia="仿宋_GB2312"/>
          <w:b/>
          <w:sz w:val="32"/>
        </w:rPr>
        <w:t>2024年度一般公共预算财政拨款支出935.61万元，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增加24.70万元，增长2.71%，主要原因是：本年助学金增加，导致经费增加。</w:t>
      </w:r>
      <w:r>
        <w:rPr>
          <w:rFonts w:ascii="仿宋_GB2312" w:hAnsi="仿宋_GB2312" w:eastAsia="仿宋_GB2312"/>
          <w:b/>
          <w:sz w:val="32"/>
        </w:rPr>
        <w:t>与年初预算相比,</w:t>
      </w:r>
      <w:r>
        <w:rPr>
          <w:rFonts w:ascii="仿宋_GB2312" w:hAnsi="仿宋_GB2312" w:eastAsia="仿宋_GB2312"/>
          <w:b w:val="0"/>
          <w:sz w:val="32"/>
        </w:rPr>
        <w:t>年初预算数840.28万元，决算数935.61万元，预决算差异率11.35%，主要原因是：年中追加人员工资、社保、公积金基数调增部分资金及学生助学金，导致预决算存在差异。</w:t>
      </w:r>
    </w:p>
    <w:p w14:paraId="5D792450">
      <w:pPr>
        <w:spacing w:line="640" w:lineRule="exact"/>
        <w:ind w:firstLine="640"/>
        <w:jc w:val="both"/>
        <w:outlineLvl w:val="3"/>
      </w:pPr>
      <w:r>
        <w:rPr>
          <w:rFonts w:ascii="楷体_GB2312" w:hAnsi="楷体_GB2312" w:eastAsia="楷体_GB2312"/>
          <w:b/>
          <w:sz w:val="32"/>
        </w:rPr>
        <w:t>（二）一般公共预算财政拨款支出决算结构情况</w:t>
      </w:r>
    </w:p>
    <w:p w14:paraId="661973CD">
      <w:pPr>
        <w:spacing w:line="580" w:lineRule="exact"/>
        <w:ind w:firstLine="640"/>
        <w:jc w:val="both"/>
      </w:pPr>
      <w:r>
        <w:rPr>
          <w:rFonts w:ascii="仿宋_GB2312" w:hAnsi="仿宋_GB2312" w:eastAsia="仿宋_GB2312"/>
          <w:b w:val="0"/>
          <w:sz w:val="32"/>
        </w:rPr>
        <w:t>1.教育支出(类)764.03万元,占81.66%。</w:t>
      </w:r>
    </w:p>
    <w:p w14:paraId="42A05289">
      <w:pPr>
        <w:spacing w:line="580" w:lineRule="exact"/>
        <w:ind w:firstLine="640"/>
        <w:jc w:val="both"/>
      </w:pPr>
      <w:r>
        <w:rPr>
          <w:rFonts w:ascii="仿宋_GB2312" w:hAnsi="仿宋_GB2312" w:eastAsia="仿宋_GB2312"/>
          <w:b w:val="0"/>
          <w:sz w:val="32"/>
        </w:rPr>
        <w:t>2.社会保障和就业支出(类)136.36万元,占14.57%。</w:t>
      </w:r>
    </w:p>
    <w:p w14:paraId="4C45E22D">
      <w:pPr>
        <w:spacing w:line="580" w:lineRule="exact"/>
        <w:ind w:firstLine="640"/>
        <w:jc w:val="both"/>
      </w:pPr>
      <w:r>
        <w:rPr>
          <w:rFonts w:ascii="仿宋_GB2312" w:hAnsi="仿宋_GB2312" w:eastAsia="仿宋_GB2312"/>
          <w:b w:val="0"/>
          <w:sz w:val="32"/>
        </w:rPr>
        <w:t>3.卫生健康支出(类)35.22万元,占3.76%。</w:t>
      </w:r>
    </w:p>
    <w:p w14:paraId="56FA8666">
      <w:pPr>
        <w:spacing w:line="640" w:lineRule="exact"/>
        <w:ind w:firstLine="640"/>
        <w:jc w:val="both"/>
        <w:outlineLvl w:val="3"/>
      </w:pPr>
      <w:r>
        <w:rPr>
          <w:rFonts w:ascii="楷体_GB2312" w:hAnsi="楷体_GB2312" w:eastAsia="楷体_GB2312"/>
          <w:b/>
          <w:sz w:val="32"/>
        </w:rPr>
        <w:t>（三）一般公共预算财政拨款支出决算具体情况</w:t>
      </w:r>
    </w:p>
    <w:p w14:paraId="3B287445">
      <w:pPr>
        <w:spacing w:line="580" w:lineRule="exact"/>
        <w:ind w:firstLine="640"/>
        <w:jc w:val="both"/>
      </w:pPr>
      <w:r>
        <w:rPr>
          <w:rFonts w:ascii="仿宋_GB2312" w:hAnsi="仿宋_GB2312" w:eastAsia="仿宋_GB2312"/>
          <w:b w:val="0"/>
          <w:sz w:val="32"/>
        </w:rPr>
        <w:t>1.教育支出(类)普通教育(款)学前教育(项):支出决算数为730.86万元，比上年决算增加84.47万元，增长13.07%,主要原因是：本年助学金增加，导致经费增加。本年功能科目调整，住房公积金上年度单独列支，本年调整至主科目列支，导致经费较上年增加。</w:t>
      </w:r>
    </w:p>
    <w:p w14:paraId="1B7B2E64">
      <w:pPr>
        <w:spacing w:line="580" w:lineRule="exact"/>
        <w:ind w:firstLine="640"/>
        <w:jc w:val="both"/>
      </w:pPr>
      <w:r>
        <w:rPr>
          <w:rFonts w:ascii="仿宋_GB2312" w:hAnsi="仿宋_GB2312" w:eastAsia="仿宋_GB2312"/>
          <w:b w:val="0"/>
          <w:sz w:val="32"/>
        </w:rPr>
        <w:t>2.教育支出(类)普通教育(款)其他普通教育支出(项):支出决算数为33.18万元，比上年决算减少8.94万元，下降21.23%,主要原因是：2024年9月临聘人员减少，相关人员经费支出减少。</w:t>
      </w:r>
    </w:p>
    <w:p w14:paraId="32D21432">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3.教育支出(类)教育费附加安排的支出(款)其他教育费附加安排的支出(项):支出决算数为0.00万元，比上年决算减少0.41万元，下降100.00%,主要原因是：2024年未安排教师继续教育费用支出。</w:t>
      </w:r>
    </w:p>
    <w:p w14:paraId="277455D5">
      <w:pPr>
        <w:spacing w:line="580" w:lineRule="exact"/>
        <w:ind w:firstLine="640"/>
        <w:jc w:val="both"/>
      </w:pPr>
      <w:r>
        <w:rPr>
          <w:rFonts w:ascii="仿宋_GB2312" w:hAnsi="仿宋_GB2312" w:eastAsia="仿宋_GB2312"/>
          <w:b w:val="0"/>
          <w:sz w:val="32"/>
        </w:rPr>
        <w:t>4.教育支出(类)其他教育支出(款)其他教育支出(项):支出决算数为0.00万元，比上年决算减少5.00万元，下降100.00%,主要原因是：2024年未安排园舍维修款支出。</w:t>
      </w:r>
    </w:p>
    <w:p w14:paraId="7F228BB3">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5.社会保障和就业支出(类)行政事业单位养老支出(款)事业单位离退休(项):支出决算数为37.85万元，比上年决算增加28.63万元，增长310.52%,主要原因是：2024年度</w:t>
      </w:r>
      <w:r>
        <w:rPr>
          <w:rFonts w:hint="eastAsia" w:ascii="仿宋_GB2312" w:hAnsi="仿宋_GB2312" w:eastAsia="仿宋_GB2312"/>
          <w:b w:val="0"/>
          <w:sz w:val="32"/>
          <w:lang w:val="en-US" w:eastAsia="zh-CN"/>
        </w:rPr>
        <w:t>增加</w:t>
      </w:r>
      <w:r>
        <w:rPr>
          <w:rFonts w:ascii="仿宋_GB2312" w:hAnsi="仿宋_GB2312" w:eastAsia="仿宋_GB2312"/>
          <w:b w:val="0"/>
          <w:sz w:val="32"/>
        </w:rPr>
        <w:t>退休人员绩效奖，相应支出增加。</w:t>
      </w:r>
    </w:p>
    <w:p w14:paraId="1C168C5A">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70.36万元，比上年决算增加0.64万元，增长0.92%,主要原因是：本年在职人员工资基数调增，养老缴费基数上涨，相应支出增加。</w:t>
      </w:r>
    </w:p>
    <w:p w14:paraId="60E7425F">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7.社会保障和就业支出(类)行政事业单位养老支出(款)机关事业单位职业年金缴费支出(项):支出决算数为28.15万元，比上年决算增加27.55万元，增长4,591.67%,主要原因是：本年新增退休人员，职业年金缴费支出增加。</w:t>
      </w:r>
    </w:p>
    <w:p w14:paraId="13A10F75">
      <w:pPr>
        <w:spacing w:line="580" w:lineRule="exact"/>
        <w:ind w:firstLine="640"/>
        <w:jc w:val="both"/>
      </w:pPr>
      <w:r>
        <w:rPr>
          <w:rFonts w:ascii="仿宋_GB2312" w:hAnsi="仿宋_GB2312" w:eastAsia="仿宋_GB2312"/>
          <w:b w:val="0"/>
          <w:sz w:val="32"/>
        </w:rPr>
        <w:t>8.社会保障和就业支出(类)抚恤(款)死亡抚恤(项):支出决算数为0.00万元，比上年决算减少18.31万元，下降100.00%,主要原因是：2024年无死亡人员，相应支出减少。</w:t>
      </w:r>
    </w:p>
    <w:p w14:paraId="635BF560">
      <w:pPr>
        <w:spacing w:line="580" w:lineRule="exact"/>
        <w:ind w:firstLine="640"/>
        <w:jc w:val="both"/>
      </w:pPr>
      <w:r>
        <w:rPr>
          <w:rFonts w:ascii="仿宋_GB2312" w:hAnsi="仿宋_GB2312" w:eastAsia="仿宋_GB2312"/>
          <w:b w:val="0"/>
          <w:sz w:val="32"/>
        </w:rPr>
        <w:t>9.卫生健康支出(类)行政事业单位医疗(款)事业单位医疗(项):支出决算数为35.22万元，比上年决算减少26.09万元，下降42.55%,主要原因是：因退休人员医疗保险制度改革，退休人员基本医疗不再由单位缴纳，导致经费较上年减少。</w:t>
      </w:r>
    </w:p>
    <w:p w14:paraId="7C55ED8F">
      <w:pPr>
        <w:spacing w:line="580" w:lineRule="exact"/>
        <w:ind w:firstLine="640"/>
        <w:jc w:val="both"/>
      </w:pPr>
      <w:r>
        <w:rPr>
          <w:rFonts w:ascii="仿宋_GB2312" w:hAnsi="仿宋_GB2312" w:eastAsia="仿宋_GB2312"/>
          <w:b w:val="0"/>
          <w:sz w:val="32"/>
        </w:rPr>
        <w:t>10.住房保障支出(类)住房改革支出(款)住房公积金(项):支出决算数为0.00万元，比上年决算减少57.83万元，下降100.00%,主要原因是：本年功能科目调整，住房公积金上年度单独列支，本年调整至主科目列支，导致经费较上年减少。</w:t>
      </w:r>
    </w:p>
    <w:p w14:paraId="32384298">
      <w:pPr>
        <w:spacing w:line="640" w:lineRule="exact"/>
        <w:ind w:firstLine="640"/>
        <w:jc w:val="both"/>
        <w:outlineLvl w:val="2"/>
      </w:pPr>
      <w:r>
        <w:rPr>
          <w:rFonts w:ascii="黑体" w:hAnsi="黑体" w:eastAsia="黑体"/>
          <w:sz w:val="32"/>
        </w:rPr>
        <w:t>六、一般公共预算财政拨款基本支出决算情况说明</w:t>
      </w:r>
    </w:p>
    <w:p w14:paraId="1311718C">
      <w:pPr>
        <w:spacing w:line="580" w:lineRule="exact"/>
        <w:ind w:firstLine="640"/>
        <w:jc w:val="both"/>
      </w:pPr>
      <w:r>
        <w:rPr>
          <w:rFonts w:ascii="仿宋_GB2312" w:hAnsi="仿宋_GB2312" w:eastAsia="仿宋_GB2312"/>
          <w:b w:val="0"/>
          <w:sz w:val="32"/>
        </w:rPr>
        <w:t>2024年度一般公共预算财政拨款基本支出935.61万元，其中：</w:t>
      </w:r>
      <w:r>
        <w:rPr>
          <w:rFonts w:ascii="仿宋_GB2312" w:hAnsi="仿宋_GB2312" w:eastAsia="仿宋_GB2312"/>
          <w:b/>
          <w:sz w:val="32"/>
        </w:rPr>
        <w:t>人员经费859.09万元，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包括：基本工资、津贴补贴、奖金、绩效工资、机关事业单位基本养老保险缴费、职业年金缴费、职工基本医疗保险缴费、其他社会保障缴费、住房公积金、其他工资福利支出、退休费、助学金。</w:t>
      </w:r>
    </w:p>
    <w:p w14:paraId="1D4876EB">
      <w:pPr>
        <w:spacing w:line="580" w:lineRule="exact"/>
        <w:ind w:firstLine="640"/>
        <w:jc w:val="both"/>
      </w:pPr>
      <w:r>
        <w:rPr>
          <w:rFonts w:ascii="仿宋_GB2312" w:hAnsi="仿宋_GB2312" w:eastAsia="仿宋_GB2312"/>
          <w:b/>
          <w:sz w:val="32"/>
        </w:rPr>
        <w:t>公用经费76.52万元，</w:t>
      </w:r>
      <w:r>
        <w:rPr>
          <w:rFonts w:ascii="仿宋_GB2312" w:hAnsi="仿宋_GB2312" w:eastAsia="仿宋_GB2312"/>
          <w:b w:val="0"/>
          <w:sz w:val="32"/>
        </w:rPr>
        <w:t>包括：办公费、水费、电费、邮电费、取暖费、物业管理费、差旅费、维修（护）费、专用材料费、劳务费、工会经费、福利费、其他商品和服务支出、专用设备购置。</w:t>
      </w:r>
    </w:p>
    <w:p w14:paraId="2B4A6DCE">
      <w:pPr>
        <w:spacing w:line="640" w:lineRule="exact"/>
        <w:ind w:firstLine="640"/>
        <w:jc w:val="both"/>
        <w:outlineLvl w:val="2"/>
      </w:pPr>
      <w:r>
        <w:rPr>
          <w:rFonts w:ascii="黑体" w:hAnsi="黑体" w:eastAsia="黑体"/>
          <w:sz w:val="32"/>
        </w:rPr>
        <w:t>七、政府性基金预算财政拨款收入支出决算情况说明</w:t>
      </w:r>
    </w:p>
    <w:p w14:paraId="3A29F77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FB5DD9E">
      <w:pPr>
        <w:spacing w:line="640" w:lineRule="exact"/>
        <w:ind w:firstLine="640"/>
        <w:jc w:val="both"/>
        <w:outlineLvl w:val="2"/>
      </w:pPr>
      <w:r>
        <w:rPr>
          <w:rFonts w:ascii="黑体" w:hAnsi="黑体" w:eastAsia="黑体"/>
          <w:sz w:val="32"/>
        </w:rPr>
        <w:t>八、国有资本经营预算财政拨款收入支出决算情况说明</w:t>
      </w:r>
    </w:p>
    <w:p w14:paraId="6323AED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0209D8">
      <w:pPr>
        <w:spacing w:line="640" w:lineRule="exact"/>
        <w:ind w:firstLine="640"/>
        <w:jc w:val="both"/>
        <w:outlineLvl w:val="2"/>
      </w:pPr>
      <w:r>
        <w:rPr>
          <w:rFonts w:ascii="黑体" w:hAnsi="黑体" w:eastAsia="黑体"/>
          <w:sz w:val="32"/>
        </w:rPr>
        <w:t>九、财政拨款“三公”经费支出决算情况说明</w:t>
      </w:r>
    </w:p>
    <w:p w14:paraId="11FC8BC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9B14487">
      <w:pPr>
        <w:spacing w:line="580" w:lineRule="exact"/>
        <w:ind w:firstLine="640"/>
        <w:jc w:val="both"/>
      </w:pPr>
      <w:r>
        <w:rPr>
          <w:rFonts w:ascii="仿宋_GB2312" w:hAnsi="仿宋_GB2312" w:eastAsia="仿宋_GB2312"/>
          <w:b/>
          <w:sz w:val="32"/>
        </w:rPr>
        <w:t>具体情况如下：</w:t>
      </w:r>
    </w:p>
    <w:p w14:paraId="14FC959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1ED615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1D1ECA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5B6080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40F6149">
      <w:pPr>
        <w:spacing w:line="640" w:lineRule="exact"/>
        <w:ind w:firstLine="640"/>
        <w:jc w:val="both"/>
        <w:outlineLvl w:val="2"/>
      </w:pPr>
      <w:r>
        <w:rPr>
          <w:rFonts w:ascii="黑体" w:hAnsi="黑体" w:eastAsia="黑体"/>
          <w:sz w:val="32"/>
        </w:rPr>
        <w:t>十、其他重要事项的情况说明</w:t>
      </w:r>
    </w:p>
    <w:p w14:paraId="0568F259">
      <w:pPr>
        <w:spacing w:line="640" w:lineRule="exact"/>
        <w:ind w:firstLine="640"/>
        <w:jc w:val="both"/>
        <w:outlineLvl w:val="3"/>
      </w:pPr>
      <w:r>
        <w:rPr>
          <w:rFonts w:ascii="楷体_GB2312" w:hAnsi="楷体_GB2312" w:eastAsia="楷体_GB2312"/>
          <w:b/>
          <w:sz w:val="32"/>
        </w:rPr>
        <w:t>（一）机关运行经费及公用经费支出情况</w:t>
      </w:r>
    </w:p>
    <w:p w14:paraId="763952AC">
      <w:pPr>
        <w:spacing w:line="580" w:lineRule="exact"/>
        <w:ind w:firstLine="640"/>
        <w:jc w:val="both"/>
      </w:pPr>
      <w:r>
        <w:rPr>
          <w:rFonts w:ascii="仿宋_GB2312" w:hAnsi="仿宋_GB2312" w:eastAsia="仿宋_GB2312"/>
          <w:b w:val="0"/>
          <w:sz w:val="32"/>
        </w:rPr>
        <w:t>2024年度霍城县示范幼儿园（事业单位）公用经费支出76.52万元，比上年增加0.08万元，增长0.10%，主要原因是：本年业务量增加，公用经费增加。</w:t>
      </w:r>
      <w:bookmarkStart w:id="0" w:name="_GoBack"/>
      <w:bookmarkEnd w:id="0"/>
    </w:p>
    <w:p w14:paraId="62B4C08F">
      <w:pPr>
        <w:spacing w:line="640" w:lineRule="exact"/>
        <w:ind w:firstLine="640"/>
        <w:jc w:val="both"/>
        <w:outlineLvl w:val="3"/>
      </w:pPr>
      <w:r>
        <w:rPr>
          <w:rFonts w:ascii="楷体_GB2312" w:hAnsi="楷体_GB2312" w:eastAsia="楷体_GB2312"/>
          <w:b/>
          <w:sz w:val="32"/>
        </w:rPr>
        <w:t>（二）政府采购情况</w:t>
      </w:r>
    </w:p>
    <w:p w14:paraId="4201039C">
      <w:pPr>
        <w:spacing w:line="580" w:lineRule="exact"/>
        <w:ind w:firstLine="640"/>
        <w:jc w:val="both"/>
      </w:pPr>
      <w:r>
        <w:rPr>
          <w:rFonts w:ascii="仿宋_GB2312" w:hAnsi="仿宋_GB2312" w:eastAsia="仿宋_GB2312"/>
          <w:b w:val="0"/>
          <w:sz w:val="32"/>
        </w:rPr>
        <w:t>2024年度政府采购支出总额17.37万元，其中：政府采购货物支出0.00万元、政府采购工程支出17.37万元、政府采购服务支出0.00万元。</w:t>
      </w:r>
    </w:p>
    <w:p w14:paraId="46A6F2A6">
      <w:pPr>
        <w:spacing w:line="580" w:lineRule="exact"/>
        <w:ind w:firstLine="640"/>
        <w:jc w:val="both"/>
      </w:pPr>
      <w:r>
        <w:rPr>
          <w:rFonts w:ascii="仿宋_GB2312" w:hAnsi="仿宋_GB2312" w:eastAsia="仿宋_GB2312"/>
          <w:b w:val="0"/>
          <w:sz w:val="32"/>
        </w:rPr>
        <w:t>授予中小企业合同金额17.37万元，占政府采购支出总额的100.00%，其中：授予小微企业合同金额17.37万元，占政府采购支出总额的100.00%。</w:t>
      </w:r>
    </w:p>
    <w:p w14:paraId="0F754C54">
      <w:pPr>
        <w:spacing w:line="640" w:lineRule="exact"/>
        <w:ind w:firstLine="640"/>
        <w:jc w:val="both"/>
        <w:outlineLvl w:val="3"/>
      </w:pPr>
      <w:r>
        <w:rPr>
          <w:rFonts w:ascii="楷体_GB2312" w:hAnsi="楷体_GB2312" w:eastAsia="楷体_GB2312"/>
          <w:b/>
          <w:sz w:val="32"/>
        </w:rPr>
        <w:t>（三）国有资产占用情况说明</w:t>
      </w:r>
    </w:p>
    <w:p w14:paraId="65A2C45C">
      <w:pPr>
        <w:spacing w:line="580" w:lineRule="exact"/>
        <w:ind w:firstLine="640"/>
        <w:jc w:val="both"/>
      </w:pPr>
      <w:r>
        <w:rPr>
          <w:rFonts w:ascii="仿宋_GB2312" w:hAnsi="仿宋_GB2312" w:eastAsia="仿宋_GB2312"/>
          <w:b w:val="0"/>
          <w:sz w:val="32"/>
        </w:rPr>
        <w:t>截至2024年12月31日，房屋6,366.89平方米，价值656.06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F4808C1">
      <w:pPr>
        <w:spacing w:line="640" w:lineRule="exact"/>
        <w:ind w:firstLine="640"/>
        <w:jc w:val="both"/>
        <w:outlineLvl w:val="2"/>
      </w:pPr>
      <w:r>
        <w:rPr>
          <w:rFonts w:ascii="黑体" w:hAnsi="黑体" w:eastAsia="黑体"/>
          <w:sz w:val="32"/>
        </w:rPr>
        <w:t>十一、预算绩效的情况说明</w:t>
      </w:r>
    </w:p>
    <w:p w14:paraId="508606D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935.61万元，实际执行总额935.61万元；预算绩效评价项目0个，全年预算数0.00万元，全年执行数0.00万元。预算绩效管理取得的成效：1.目标达成率提高：明确的预算绩效目标和定期的评估机制，使得幼儿园各项工作计划的目标达成率显著提升，如教学质量的改善、科研成果的增加等。2.成本控制有效：对各项支出进行严格的监控和分析，有效控制了不必要的开支，降低了幼儿园的运转成本。发现的问题及原因：1.绩效指标不够细化：部分绩效指标的设定较为笼统，难以准确衡量工作的实际效果。原因在于对工作内容的分解不够深入，缺乏具体的量化标准。2.预算调整机制不灵活：当外部环境变化或幼儿园发展需求调整时，预算调整的流程繁琐，不够灵活，影响了工作的推进。原因在于预算管理制度的僵化，缺乏应对突发情况的弹性条款。下一步改进措施：1.加强数据管理：建立健全数据收集、整理和分析的系统，明确各部门的数据责任，加强部门间的数据共享与交流。2.优化预算调整流程：制定灵活的预算调整规则，明确调整的条件和程序，提高预算对学校发展变化的适应性。具体附整体支出绩效自评表。</w:t>
      </w:r>
    </w:p>
    <w:p w14:paraId="40EE6B5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424"/>
        <w:gridCol w:w="786"/>
        <w:gridCol w:w="1105"/>
        <w:gridCol w:w="1105"/>
      </w:tblGrid>
      <w:tr w14:paraId="55750442">
        <w:tblPrEx>
          <w:tblCellMar>
            <w:top w:w="0" w:type="dxa"/>
            <w:left w:w="108" w:type="dxa"/>
            <w:bottom w:w="0" w:type="dxa"/>
            <w:right w:w="108" w:type="dxa"/>
          </w:tblCellMar>
        </w:tblPrEx>
        <w:tc>
          <w:tcPr>
            <w:tcW w:w="8840" w:type="dxa"/>
            <w:gridSpan w:val="8"/>
            <w:vAlign w:val="center"/>
          </w:tcPr>
          <w:p w14:paraId="5C43FB67">
            <w:pPr>
              <w:jc w:val="center"/>
            </w:pPr>
            <w:r>
              <w:rPr>
                <w:rFonts w:ascii="宋体" w:hAnsi="宋体" w:eastAsia="宋体"/>
                <w:sz w:val="24"/>
              </w:rPr>
              <w:t>单位整体支出绩效自评表</w:t>
            </w:r>
          </w:p>
        </w:tc>
      </w:tr>
      <w:tr w14:paraId="69AD5F19">
        <w:tblPrEx>
          <w:tblCellMar>
            <w:top w:w="0" w:type="dxa"/>
            <w:left w:w="108" w:type="dxa"/>
            <w:bottom w:w="0" w:type="dxa"/>
            <w:right w:w="108" w:type="dxa"/>
          </w:tblCellMar>
        </w:tblPrEx>
        <w:tc>
          <w:tcPr>
            <w:tcW w:w="8840" w:type="dxa"/>
            <w:gridSpan w:val="8"/>
            <w:vAlign w:val="center"/>
          </w:tcPr>
          <w:p w14:paraId="2D31F85C">
            <w:pPr>
              <w:jc w:val="center"/>
            </w:pPr>
            <w:r>
              <w:rPr>
                <w:rFonts w:ascii="宋体" w:hAnsi="宋体" w:eastAsia="宋体"/>
                <w:sz w:val="24"/>
              </w:rPr>
              <w:t>（2024年度）</w:t>
            </w:r>
          </w:p>
        </w:tc>
      </w:tr>
      <w:tr w14:paraId="680650A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3B8D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D5FAF5">
            <w:pPr>
              <w:jc w:val="center"/>
            </w:pPr>
            <w:r>
              <w:rPr>
                <w:rFonts w:ascii="宋体" w:hAnsi="宋体" w:eastAsia="宋体"/>
                <w:sz w:val="16"/>
              </w:rPr>
              <w:t>霍城县示范幼儿园</w:t>
            </w:r>
          </w:p>
        </w:tc>
      </w:tr>
      <w:tr w14:paraId="2BCEB90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F4905">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A825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D2CC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6D816">
            <w:pPr>
              <w:jc w:val="center"/>
            </w:pPr>
            <w:r>
              <w:rPr>
                <w:rFonts w:ascii="宋体" w:hAnsi="宋体" w:eastAsia="宋体"/>
                <w:sz w:val="16"/>
              </w:rPr>
              <w:t>全年预算数</w:t>
            </w:r>
          </w:p>
        </w:tc>
        <w:tc>
          <w:tcPr>
            <w:tcW w:w="1424" w:type="dxa"/>
            <w:tcBorders>
              <w:top w:val="single" w:color="auto" w:sz="10" w:space="0"/>
              <w:left w:val="single" w:color="auto" w:sz="10" w:space="0"/>
              <w:bottom w:val="single" w:color="auto" w:sz="10" w:space="0"/>
              <w:right w:val="single" w:color="auto" w:sz="10" w:space="0"/>
              <w:insideV w:val="single" w:sz="10" w:space="0"/>
            </w:tcBorders>
            <w:vAlign w:val="center"/>
          </w:tcPr>
          <w:p w14:paraId="094F5264">
            <w:pPr>
              <w:jc w:val="center"/>
            </w:pPr>
            <w:r>
              <w:rPr>
                <w:rFonts w:ascii="宋体" w:hAnsi="宋体" w:eastAsia="宋体"/>
                <w:sz w:val="16"/>
              </w:rPr>
              <w:t>全年执行数</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0A3E59B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500D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5DCD6">
            <w:pPr>
              <w:jc w:val="center"/>
            </w:pPr>
            <w:r>
              <w:rPr>
                <w:rFonts w:ascii="宋体" w:hAnsi="宋体" w:eastAsia="宋体"/>
                <w:sz w:val="16"/>
              </w:rPr>
              <w:t>得分</w:t>
            </w:r>
          </w:p>
        </w:tc>
      </w:tr>
      <w:tr w14:paraId="1249D3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F4D9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5C01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EA3FB">
            <w:pPr>
              <w:jc w:val="center"/>
            </w:pPr>
            <w:r>
              <w:rPr>
                <w:rFonts w:ascii="宋体" w:hAnsi="宋体" w:eastAsia="宋体"/>
                <w:sz w:val="16"/>
              </w:rPr>
              <w:t>840.27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88BA2">
            <w:pPr>
              <w:jc w:val="center"/>
            </w:pPr>
            <w:r>
              <w:rPr>
                <w:rFonts w:ascii="宋体" w:hAnsi="宋体" w:eastAsia="宋体"/>
                <w:sz w:val="16"/>
              </w:rPr>
              <w:t>935.61</w:t>
            </w:r>
          </w:p>
        </w:tc>
        <w:tc>
          <w:tcPr>
            <w:tcW w:w="1424" w:type="dxa"/>
            <w:tcBorders>
              <w:top w:val="single" w:color="auto" w:sz="10" w:space="0"/>
              <w:left w:val="single" w:color="auto" w:sz="10" w:space="0"/>
              <w:bottom w:val="single" w:color="auto" w:sz="10" w:space="0"/>
              <w:right w:val="single" w:color="auto" w:sz="10" w:space="0"/>
              <w:insideV w:val="single" w:sz="10" w:space="0"/>
            </w:tcBorders>
            <w:vAlign w:val="center"/>
          </w:tcPr>
          <w:p w14:paraId="337C55FE">
            <w:pPr>
              <w:jc w:val="center"/>
            </w:pPr>
            <w:r>
              <w:rPr>
                <w:rFonts w:ascii="宋体" w:hAnsi="宋体" w:eastAsia="宋体"/>
                <w:sz w:val="16"/>
              </w:rPr>
              <w:t>935.61</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1366FF5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A6C4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FB8E3">
            <w:pPr>
              <w:jc w:val="center"/>
            </w:pPr>
            <w:r>
              <w:rPr>
                <w:rFonts w:ascii="宋体" w:hAnsi="宋体" w:eastAsia="宋体"/>
                <w:sz w:val="16"/>
              </w:rPr>
              <w:t>10</w:t>
            </w:r>
          </w:p>
        </w:tc>
      </w:tr>
      <w:tr w14:paraId="3236F6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EE6B1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54946">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BF1C8">
            <w:pPr>
              <w:jc w:val="center"/>
            </w:pPr>
            <w:r>
              <w:rPr>
                <w:rFonts w:ascii="宋体" w:hAnsi="宋体" w:eastAsia="宋体"/>
                <w:sz w:val="16"/>
              </w:rPr>
              <w:t>78.75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20B62">
            <w:pPr>
              <w:jc w:val="center"/>
            </w:pPr>
            <w:r>
              <w:rPr>
                <w:rFonts w:ascii="宋体" w:hAnsi="宋体" w:eastAsia="宋体"/>
                <w:sz w:val="16"/>
              </w:rPr>
              <w:t>78.75</w:t>
            </w:r>
          </w:p>
        </w:tc>
        <w:tc>
          <w:tcPr>
            <w:tcW w:w="1424" w:type="dxa"/>
            <w:tcBorders>
              <w:top w:val="single" w:color="auto" w:sz="10" w:space="0"/>
              <w:left w:val="single" w:color="auto" w:sz="10" w:space="0"/>
              <w:bottom w:val="single" w:color="auto" w:sz="10" w:space="0"/>
              <w:right w:val="single" w:color="auto" w:sz="10" w:space="0"/>
              <w:insideV w:val="single" w:sz="10" w:space="0"/>
            </w:tcBorders>
            <w:vAlign w:val="center"/>
          </w:tcPr>
          <w:p w14:paraId="1BD982CD">
            <w:pPr>
              <w:jc w:val="center"/>
            </w:pPr>
            <w:r>
              <w:rPr>
                <w:rFonts w:ascii="宋体" w:hAnsi="宋体" w:eastAsia="宋体"/>
                <w:sz w:val="16"/>
              </w:rPr>
              <w:t>78.75</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4394DB7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5E24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8FA4E">
            <w:pPr>
              <w:jc w:val="center"/>
            </w:pPr>
            <w:r>
              <w:rPr>
                <w:rFonts w:ascii="宋体" w:hAnsi="宋体" w:eastAsia="宋体"/>
                <w:sz w:val="16"/>
              </w:rPr>
              <w:t>-</w:t>
            </w:r>
          </w:p>
        </w:tc>
      </w:tr>
      <w:tr w14:paraId="60D3D5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5F9C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33D9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7CA4A">
            <w:pPr>
              <w:jc w:val="center"/>
            </w:pPr>
            <w:r>
              <w:rPr>
                <w:rFonts w:ascii="宋体" w:hAnsi="宋体" w:eastAsia="宋体"/>
                <w:sz w:val="16"/>
              </w:rPr>
              <w:t>761.52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45D74">
            <w:pPr>
              <w:jc w:val="center"/>
            </w:pPr>
            <w:r>
              <w:rPr>
                <w:rFonts w:ascii="宋体" w:hAnsi="宋体" w:eastAsia="宋体"/>
                <w:sz w:val="16"/>
              </w:rPr>
              <w:t>856.86</w:t>
            </w:r>
          </w:p>
        </w:tc>
        <w:tc>
          <w:tcPr>
            <w:tcW w:w="1424" w:type="dxa"/>
            <w:tcBorders>
              <w:top w:val="single" w:color="auto" w:sz="10" w:space="0"/>
              <w:left w:val="single" w:color="auto" w:sz="10" w:space="0"/>
              <w:bottom w:val="single" w:color="auto" w:sz="10" w:space="0"/>
              <w:right w:val="single" w:color="auto" w:sz="10" w:space="0"/>
              <w:insideV w:val="single" w:sz="10" w:space="0"/>
            </w:tcBorders>
            <w:vAlign w:val="center"/>
          </w:tcPr>
          <w:p w14:paraId="1A618B6D">
            <w:pPr>
              <w:jc w:val="center"/>
            </w:pPr>
            <w:r>
              <w:rPr>
                <w:rFonts w:ascii="宋体" w:hAnsi="宋体" w:eastAsia="宋体"/>
                <w:sz w:val="16"/>
              </w:rPr>
              <w:t>856.86</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34BCA08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1D9B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C725B">
            <w:pPr>
              <w:jc w:val="center"/>
            </w:pPr>
            <w:r>
              <w:rPr>
                <w:rFonts w:ascii="宋体" w:hAnsi="宋体" w:eastAsia="宋体"/>
                <w:sz w:val="16"/>
              </w:rPr>
              <w:t>-</w:t>
            </w:r>
          </w:p>
        </w:tc>
      </w:tr>
      <w:tr w14:paraId="5874C0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04AA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FF12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F472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BC1B5">
            <w:pPr>
              <w:jc w:val="center"/>
            </w:pPr>
            <w:r>
              <w:rPr>
                <w:rFonts w:ascii="宋体" w:hAnsi="宋体" w:eastAsia="宋体"/>
                <w:sz w:val="16"/>
              </w:rPr>
              <w:t>0.00</w:t>
            </w:r>
          </w:p>
        </w:tc>
        <w:tc>
          <w:tcPr>
            <w:tcW w:w="1424" w:type="dxa"/>
            <w:tcBorders>
              <w:top w:val="single" w:color="auto" w:sz="10" w:space="0"/>
              <w:left w:val="single" w:color="auto" w:sz="10" w:space="0"/>
              <w:bottom w:val="single" w:color="auto" w:sz="10" w:space="0"/>
              <w:right w:val="single" w:color="auto" w:sz="10" w:space="0"/>
              <w:insideV w:val="single" w:sz="10" w:space="0"/>
            </w:tcBorders>
            <w:vAlign w:val="center"/>
          </w:tcPr>
          <w:p w14:paraId="72C6C5D6">
            <w:pPr>
              <w:jc w:val="center"/>
            </w:pPr>
            <w:r>
              <w:rPr>
                <w:rFonts w:ascii="宋体" w:hAnsi="宋体" w:eastAsia="宋体"/>
                <w:sz w:val="16"/>
              </w:rPr>
              <w:t>0.00</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21DE6D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C357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55E12">
            <w:pPr>
              <w:jc w:val="center"/>
            </w:pPr>
            <w:r>
              <w:rPr>
                <w:rFonts w:ascii="宋体" w:hAnsi="宋体" w:eastAsia="宋体"/>
                <w:sz w:val="16"/>
              </w:rPr>
              <w:t>-</w:t>
            </w:r>
          </w:p>
        </w:tc>
      </w:tr>
      <w:tr w14:paraId="4E690BA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9D80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780D0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CF8059">
            <w:pPr>
              <w:jc w:val="center"/>
            </w:pPr>
            <w:r>
              <w:rPr>
                <w:rFonts w:ascii="宋体" w:hAnsi="宋体" w:eastAsia="宋体"/>
                <w:sz w:val="16"/>
              </w:rPr>
              <w:t>实际完成情况</w:t>
            </w:r>
          </w:p>
        </w:tc>
      </w:tr>
      <w:tr w14:paraId="7D8849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4F874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2CFE19">
            <w:pPr>
              <w:jc w:val="both"/>
            </w:pPr>
            <w:r>
              <w:rPr>
                <w:rFonts w:ascii="宋体" w:hAnsi="宋体" w:eastAsia="宋体"/>
                <w:sz w:val="16"/>
              </w:rPr>
              <w:t>严格按照《幼儿园指导纲要</w:t>
            </w:r>
            <w:r>
              <w:rPr>
                <w:rFonts w:hint="eastAsia" w:ascii="宋体" w:hAnsi="宋体"/>
                <w:sz w:val="16"/>
                <w:lang w:eastAsia="zh-CN"/>
              </w:rPr>
              <w:t>》《</w:t>
            </w:r>
            <w:r>
              <w:rPr>
                <w:rFonts w:ascii="宋体" w:hAnsi="宋体" w:eastAsia="宋体"/>
                <w:sz w:val="16"/>
              </w:rPr>
              <w:t>3-6岁儿童学习与发展指南》办学，适龄儿童就近入学，做到应入尽入，认真贯彻有关法律、法规、政策，履行幼儿教育、保育职责，坚持保教并重原则，促进幼儿</w:t>
            </w:r>
            <w:r>
              <w:rPr>
                <w:rFonts w:hint="eastAsia" w:ascii="宋体" w:hAnsi="宋体"/>
                <w:sz w:val="16"/>
                <w:lang w:eastAsia="zh-CN"/>
              </w:rPr>
              <w:t>德智体美劳全面发展</w:t>
            </w:r>
            <w:r>
              <w:rPr>
                <w:rFonts w:ascii="宋体" w:hAnsi="宋体" w:eastAsia="宋体"/>
                <w:sz w:val="16"/>
              </w:rPr>
              <w:t>；调整优化教职工队伍，加强对青年干部队伍的培养与建设；改善办园条件，拓展活动的空间；抓好一日活动，积极实施园本教研工作；开展思想道德建设工作、普及普惠、幼小衔接等活动，全面保障幼儿受教育质量。与乡镇、兵团幼儿园结对共建、联盟发展，实现联盟捆绑资源共享的目标，促进学前教育均衡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6CC097">
            <w:pPr>
              <w:jc w:val="both"/>
            </w:pPr>
            <w:r>
              <w:rPr>
                <w:rFonts w:ascii="宋体" w:hAnsi="宋体" w:eastAsia="宋体"/>
                <w:sz w:val="16"/>
              </w:rPr>
              <w:t>2024年573名幼儿入园，幼儿园正常开展学前三年免费教育，学前教育保障机制经费按工作情况正常使用，适龄幼儿“应入进入”，园舍维修按进度进行，办学条件得到改善，办学水平得到提升，保障了教育教学工作正常运转。按照保教要求开展各项教研活动，特别是一日活动、幼小衔接等，保障幼儿在园受教育质量，同时按计划开展结对联盟，与兄弟园进行交流交融，取长补短，教师业务能力全面提升，</w:t>
            </w:r>
            <w:r>
              <w:rPr>
                <w:rFonts w:hint="eastAsia" w:ascii="宋体" w:hAnsi="宋体"/>
                <w:sz w:val="16"/>
                <w:lang w:eastAsia="zh-CN"/>
              </w:rPr>
              <w:t>进一步</w:t>
            </w:r>
            <w:r>
              <w:rPr>
                <w:rFonts w:ascii="宋体" w:hAnsi="宋体" w:eastAsia="宋体"/>
                <w:sz w:val="16"/>
              </w:rPr>
              <w:t>提升了幼儿园的保教水平。</w:t>
            </w:r>
          </w:p>
        </w:tc>
      </w:tr>
      <w:tr w14:paraId="24F8741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725C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98C92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818C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B2F92">
            <w:pPr>
              <w:jc w:val="center"/>
            </w:pPr>
            <w:r>
              <w:rPr>
                <w:rFonts w:ascii="宋体" w:hAnsi="宋体" w:eastAsia="宋体"/>
                <w:sz w:val="16"/>
              </w:rPr>
              <w:t>预期指标值</w:t>
            </w:r>
          </w:p>
        </w:tc>
        <w:tc>
          <w:tcPr>
            <w:tcW w:w="1424" w:type="dxa"/>
            <w:tcBorders>
              <w:top w:val="single" w:color="auto" w:sz="10" w:space="0"/>
              <w:left w:val="single" w:color="auto" w:sz="10" w:space="0"/>
              <w:bottom w:val="single" w:color="auto" w:sz="10" w:space="0"/>
              <w:right w:val="single" w:color="auto" w:sz="10" w:space="0"/>
              <w:insideV w:val="single" w:sz="10" w:space="0"/>
            </w:tcBorders>
            <w:vAlign w:val="center"/>
          </w:tcPr>
          <w:p w14:paraId="4E477606">
            <w:pPr>
              <w:jc w:val="center"/>
            </w:pPr>
            <w:r>
              <w:rPr>
                <w:rFonts w:ascii="宋体" w:hAnsi="宋体" w:eastAsia="宋体"/>
                <w:sz w:val="16"/>
              </w:rPr>
              <w:t>指标值设定依据</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1D4872F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89BBB">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C9FBC">
            <w:pPr>
              <w:jc w:val="center"/>
            </w:pPr>
            <w:r>
              <w:rPr>
                <w:rFonts w:ascii="宋体" w:hAnsi="宋体" w:eastAsia="宋体"/>
                <w:sz w:val="16"/>
              </w:rPr>
              <w:t>得分</w:t>
            </w:r>
          </w:p>
        </w:tc>
      </w:tr>
      <w:tr w14:paraId="2D16E75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0807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69BE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34687">
            <w:pPr>
              <w:jc w:val="center"/>
            </w:pPr>
            <w:r>
              <w:rPr>
                <w:rFonts w:ascii="宋体" w:hAnsi="宋体" w:eastAsia="宋体"/>
                <w:sz w:val="16"/>
              </w:rPr>
              <w:t>结对捆绑联盟幼儿园数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DB73C">
            <w:pPr>
              <w:jc w:val="center"/>
            </w:pPr>
            <w:r>
              <w:rPr>
                <w:rFonts w:ascii="宋体" w:hAnsi="宋体" w:eastAsia="宋体"/>
                <w:sz w:val="16"/>
              </w:rPr>
              <w:t>&gt;=4所</w:t>
            </w:r>
          </w:p>
        </w:tc>
        <w:tc>
          <w:tcPr>
            <w:tcW w:w="1424" w:type="dxa"/>
            <w:tcBorders>
              <w:top w:val="single" w:color="auto" w:sz="10" w:space="0"/>
              <w:left w:val="single" w:color="auto" w:sz="10" w:space="0"/>
              <w:bottom w:val="single" w:color="auto" w:sz="10" w:space="0"/>
              <w:right w:val="single" w:color="auto" w:sz="10" w:space="0"/>
              <w:insideV w:val="single" w:sz="10" w:space="0"/>
            </w:tcBorders>
            <w:vAlign w:val="center"/>
          </w:tcPr>
          <w:p w14:paraId="78970C2E">
            <w:pPr>
              <w:jc w:val="center"/>
            </w:pPr>
            <w:r>
              <w:rPr>
                <w:rFonts w:ascii="宋体" w:hAnsi="宋体" w:eastAsia="宋体"/>
                <w:sz w:val="16"/>
              </w:rPr>
              <w:t>2023-2024学年第二学期工作计划，霍城县</w:t>
            </w:r>
            <w:r>
              <w:rPr>
                <w:rFonts w:hint="eastAsia" w:ascii="宋体" w:hAnsi="宋体"/>
                <w:sz w:val="16"/>
                <w:lang w:eastAsia="zh-CN"/>
              </w:rPr>
              <w:t>“十四五”规划</w:t>
            </w:r>
            <w:r>
              <w:rPr>
                <w:rFonts w:ascii="宋体" w:hAnsi="宋体" w:eastAsia="宋体"/>
                <w:sz w:val="16"/>
              </w:rPr>
              <w:t>，结对幼儿园协议书、方案等。</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1ED0630F">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12BC6">
            <w:pPr>
              <w:jc w:val="center"/>
            </w:pPr>
            <w:r>
              <w:rPr>
                <w:rFonts w:ascii="宋体" w:hAnsi="宋体" w:eastAsia="宋体"/>
                <w:sz w:val="16"/>
              </w:rPr>
              <w:t>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87FA7">
            <w:pPr>
              <w:jc w:val="center"/>
            </w:pPr>
            <w:r>
              <w:rPr>
                <w:rFonts w:ascii="宋体" w:hAnsi="宋体" w:eastAsia="宋体"/>
                <w:sz w:val="16"/>
              </w:rPr>
              <w:t>30</w:t>
            </w:r>
          </w:p>
        </w:tc>
      </w:tr>
      <w:tr w14:paraId="0A1783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3E1CE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3C25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C8103">
            <w:pPr>
              <w:jc w:val="center"/>
            </w:pPr>
            <w:r>
              <w:rPr>
                <w:rFonts w:ascii="宋体" w:hAnsi="宋体" w:eastAsia="宋体"/>
                <w:sz w:val="16"/>
              </w:rPr>
              <w:t>学前免费教育享受人数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AD742">
            <w:pPr>
              <w:jc w:val="center"/>
            </w:pPr>
            <w:r>
              <w:rPr>
                <w:rFonts w:ascii="宋体" w:hAnsi="宋体" w:eastAsia="宋体"/>
                <w:sz w:val="16"/>
              </w:rPr>
              <w:t>&gt;=573人</w:t>
            </w:r>
          </w:p>
        </w:tc>
        <w:tc>
          <w:tcPr>
            <w:tcW w:w="1424" w:type="dxa"/>
            <w:tcBorders>
              <w:top w:val="single" w:color="auto" w:sz="10" w:space="0"/>
              <w:left w:val="single" w:color="auto" w:sz="10" w:space="0"/>
              <w:bottom w:val="single" w:color="auto" w:sz="10" w:space="0"/>
              <w:right w:val="single" w:color="auto" w:sz="10" w:space="0"/>
              <w:insideV w:val="single" w:sz="10" w:space="0"/>
            </w:tcBorders>
            <w:vAlign w:val="center"/>
          </w:tcPr>
          <w:p w14:paraId="76B1F928">
            <w:pPr>
              <w:jc w:val="center"/>
            </w:pPr>
            <w:r>
              <w:rPr>
                <w:rFonts w:ascii="宋体" w:hAnsi="宋体" w:eastAsia="宋体"/>
                <w:sz w:val="16"/>
              </w:rPr>
              <w:t>教育事业综合统计调查表、学前保障机制管理办法</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5EF015AD">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6FBBE">
            <w:pPr>
              <w:jc w:val="center"/>
            </w:pPr>
            <w:r>
              <w:rPr>
                <w:rFonts w:ascii="宋体" w:hAnsi="宋体" w:eastAsia="宋体"/>
                <w:sz w:val="16"/>
              </w:rPr>
              <w:t>573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64987">
            <w:pPr>
              <w:jc w:val="center"/>
            </w:pPr>
            <w:r>
              <w:rPr>
                <w:rFonts w:ascii="宋体" w:hAnsi="宋体" w:eastAsia="宋体"/>
                <w:sz w:val="16"/>
              </w:rPr>
              <w:t>30</w:t>
            </w:r>
          </w:p>
        </w:tc>
      </w:tr>
      <w:tr w14:paraId="5E5F9A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2BDA7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8A005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989A7">
            <w:pPr>
              <w:jc w:val="center"/>
            </w:pPr>
            <w:r>
              <w:rPr>
                <w:rFonts w:ascii="宋体" w:hAnsi="宋体" w:eastAsia="宋体"/>
                <w:sz w:val="16"/>
              </w:rPr>
              <w:t>学前三年毛入园率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C71D2">
            <w:pPr>
              <w:jc w:val="center"/>
            </w:pPr>
            <w:r>
              <w:rPr>
                <w:rFonts w:ascii="宋体" w:hAnsi="宋体" w:eastAsia="宋体"/>
                <w:sz w:val="16"/>
              </w:rPr>
              <w:t>&gt;=99%</w:t>
            </w:r>
          </w:p>
        </w:tc>
        <w:tc>
          <w:tcPr>
            <w:tcW w:w="1424" w:type="dxa"/>
            <w:tcBorders>
              <w:top w:val="single" w:color="auto" w:sz="10" w:space="0"/>
              <w:left w:val="single" w:color="auto" w:sz="10" w:space="0"/>
              <w:bottom w:val="single" w:color="auto" w:sz="10" w:space="0"/>
              <w:right w:val="single" w:color="auto" w:sz="10" w:space="0"/>
              <w:insideV w:val="single" w:sz="10" w:space="0"/>
            </w:tcBorders>
            <w:vAlign w:val="center"/>
          </w:tcPr>
          <w:p w14:paraId="54B2A6F0">
            <w:pPr>
              <w:jc w:val="center"/>
            </w:pPr>
            <w:r>
              <w:rPr>
                <w:rFonts w:ascii="宋体" w:hAnsi="宋体" w:eastAsia="宋体"/>
                <w:sz w:val="16"/>
              </w:rPr>
              <w:t>学前保障机制管理办法、霍城县</w:t>
            </w:r>
            <w:r>
              <w:rPr>
                <w:rFonts w:hint="eastAsia" w:ascii="宋体" w:hAnsi="宋体"/>
                <w:sz w:val="16"/>
                <w:lang w:eastAsia="zh-CN"/>
              </w:rPr>
              <w:t>“十四五”规划</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3C7D1B4E">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863B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6CBD2">
            <w:pPr>
              <w:jc w:val="center"/>
            </w:pPr>
            <w:r>
              <w:rPr>
                <w:rFonts w:ascii="宋体" w:hAnsi="宋体" w:eastAsia="宋体"/>
                <w:sz w:val="16"/>
              </w:rPr>
              <w:t>30</w:t>
            </w:r>
          </w:p>
        </w:tc>
      </w:tr>
    </w:tbl>
    <w:p w14:paraId="7555D6C1">
      <w:r>
        <w:br w:type="page"/>
      </w:r>
    </w:p>
    <w:p w14:paraId="07FD2ADD">
      <w:pPr>
        <w:spacing w:line="640" w:lineRule="exact"/>
        <w:ind w:firstLine="640"/>
        <w:jc w:val="both"/>
        <w:outlineLvl w:val="2"/>
      </w:pPr>
      <w:r>
        <w:rPr>
          <w:rFonts w:ascii="黑体" w:hAnsi="黑体" w:eastAsia="黑体"/>
          <w:sz w:val="32"/>
        </w:rPr>
        <w:t>十二、其他需说明的事项</w:t>
      </w:r>
    </w:p>
    <w:p w14:paraId="666E153F">
      <w:pPr>
        <w:spacing w:line="580" w:lineRule="exact"/>
        <w:ind w:firstLine="640"/>
        <w:jc w:val="both"/>
      </w:pPr>
      <w:r>
        <w:rPr>
          <w:rFonts w:ascii="仿宋_GB2312" w:hAnsi="仿宋_GB2312" w:eastAsia="仿宋_GB2312"/>
          <w:b w:val="0"/>
          <w:sz w:val="32"/>
        </w:rPr>
        <w:t>本单位无其他需说明的事项。</w:t>
      </w:r>
    </w:p>
    <w:p w14:paraId="12667722">
      <w:r>
        <w:br w:type="page"/>
      </w:r>
    </w:p>
    <w:p w14:paraId="4E41838C">
      <w:pPr>
        <w:spacing w:line="240" w:lineRule="auto"/>
        <w:jc w:val="center"/>
        <w:outlineLvl w:val="1"/>
      </w:pPr>
      <w:r>
        <w:rPr>
          <w:rFonts w:ascii="黑体" w:hAnsi="黑体" w:eastAsia="黑体"/>
          <w:sz w:val="32"/>
        </w:rPr>
        <w:t>第三部分 专业名词解释</w:t>
      </w:r>
    </w:p>
    <w:p w14:paraId="2BB3064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0F49FC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51BE6F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FF5D30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C75328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922D65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D89055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88C192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4B05F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AAAB44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BA9532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106CB0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1305B9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5054E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4933B17">
      <w:r>
        <w:br w:type="page"/>
      </w:r>
    </w:p>
    <w:p w14:paraId="2DC87589">
      <w:pPr>
        <w:spacing w:line="240" w:lineRule="auto"/>
        <w:jc w:val="center"/>
        <w:outlineLvl w:val="1"/>
      </w:pPr>
      <w:r>
        <w:rPr>
          <w:rFonts w:ascii="黑体" w:hAnsi="黑体" w:eastAsia="黑体"/>
          <w:sz w:val="32"/>
        </w:rPr>
        <w:t>第四部分 部门决算报表（见附表）</w:t>
      </w:r>
    </w:p>
    <w:p w14:paraId="4A090258">
      <w:pPr>
        <w:spacing w:line="240" w:lineRule="auto"/>
        <w:ind w:firstLine="640"/>
        <w:jc w:val="both"/>
      </w:pPr>
      <w:r>
        <w:rPr>
          <w:rFonts w:ascii="仿宋_GB2312" w:hAnsi="仿宋_GB2312" w:eastAsia="仿宋_GB2312"/>
          <w:b w:val="0"/>
          <w:sz w:val="32"/>
        </w:rPr>
        <w:t>一、《收入支出决算总表》</w:t>
      </w:r>
    </w:p>
    <w:p w14:paraId="0D0908CF">
      <w:pPr>
        <w:spacing w:line="240" w:lineRule="auto"/>
        <w:ind w:firstLine="640"/>
        <w:jc w:val="both"/>
      </w:pPr>
      <w:r>
        <w:rPr>
          <w:rFonts w:ascii="仿宋_GB2312" w:hAnsi="仿宋_GB2312" w:eastAsia="仿宋_GB2312"/>
          <w:b w:val="0"/>
          <w:sz w:val="32"/>
        </w:rPr>
        <w:t>二、《收入决算表》</w:t>
      </w:r>
    </w:p>
    <w:p w14:paraId="2B6BCA9D">
      <w:pPr>
        <w:spacing w:line="240" w:lineRule="auto"/>
        <w:ind w:firstLine="640"/>
        <w:jc w:val="both"/>
      </w:pPr>
      <w:r>
        <w:rPr>
          <w:rFonts w:ascii="仿宋_GB2312" w:hAnsi="仿宋_GB2312" w:eastAsia="仿宋_GB2312"/>
          <w:b w:val="0"/>
          <w:sz w:val="32"/>
        </w:rPr>
        <w:t>三、《支出决算表》</w:t>
      </w:r>
    </w:p>
    <w:p w14:paraId="5BBD7B19">
      <w:pPr>
        <w:spacing w:line="240" w:lineRule="auto"/>
        <w:ind w:firstLine="640"/>
        <w:jc w:val="both"/>
      </w:pPr>
      <w:r>
        <w:rPr>
          <w:rFonts w:ascii="仿宋_GB2312" w:hAnsi="仿宋_GB2312" w:eastAsia="仿宋_GB2312"/>
          <w:b w:val="0"/>
          <w:sz w:val="32"/>
        </w:rPr>
        <w:t>四、《财政拨款收入支出决算总表》</w:t>
      </w:r>
    </w:p>
    <w:p w14:paraId="1D53C6DF">
      <w:pPr>
        <w:spacing w:line="240" w:lineRule="auto"/>
        <w:ind w:firstLine="640"/>
        <w:jc w:val="both"/>
      </w:pPr>
      <w:r>
        <w:rPr>
          <w:rFonts w:ascii="仿宋_GB2312" w:hAnsi="仿宋_GB2312" w:eastAsia="仿宋_GB2312"/>
          <w:b w:val="0"/>
          <w:sz w:val="32"/>
        </w:rPr>
        <w:t>五、《一般公共预算财政拨款支出决算表》</w:t>
      </w:r>
    </w:p>
    <w:p w14:paraId="4E2C5C05">
      <w:pPr>
        <w:spacing w:line="240" w:lineRule="auto"/>
        <w:ind w:firstLine="640"/>
        <w:jc w:val="both"/>
      </w:pPr>
      <w:r>
        <w:rPr>
          <w:rFonts w:ascii="仿宋_GB2312" w:hAnsi="仿宋_GB2312" w:eastAsia="仿宋_GB2312"/>
          <w:b w:val="0"/>
          <w:sz w:val="32"/>
        </w:rPr>
        <w:t>六、《一般公共预算财政拨款基本支出决算表》</w:t>
      </w:r>
    </w:p>
    <w:p w14:paraId="4E2C974D">
      <w:pPr>
        <w:spacing w:line="240" w:lineRule="auto"/>
        <w:ind w:firstLine="640"/>
        <w:jc w:val="both"/>
      </w:pPr>
      <w:r>
        <w:rPr>
          <w:rFonts w:ascii="仿宋_GB2312" w:hAnsi="仿宋_GB2312" w:eastAsia="仿宋_GB2312"/>
          <w:b w:val="0"/>
          <w:sz w:val="32"/>
        </w:rPr>
        <w:t>七、《政府性基金预算财政拨款收入支出决算表》</w:t>
      </w:r>
    </w:p>
    <w:p w14:paraId="66ED49E1">
      <w:pPr>
        <w:spacing w:line="240" w:lineRule="auto"/>
        <w:ind w:firstLine="640"/>
        <w:jc w:val="both"/>
      </w:pPr>
      <w:r>
        <w:rPr>
          <w:rFonts w:ascii="仿宋_GB2312" w:hAnsi="仿宋_GB2312" w:eastAsia="仿宋_GB2312"/>
          <w:b w:val="0"/>
          <w:sz w:val="32"/>
        </w:rPr>
        <w:t>八、《国有资本经营预算财政拨款收入支出决算表》</w:t>
      </w:r>
    </w:p>
    <w:p w14:paraId="67126DC5">
      <w:pPr>
        <w:spacing w:line="240" w:lineRule="auto"/>
        <w:ind w:firstLine="640"/>
        <w:jc w:val="both"/>
      </w:pPr>
      <w:r>
        <w:rPr>
          <w:rFonts w:ascii="仿宋_GB2312" w:hAnsi="仿宋_GB2312" w:eastAsia="仿宋_GB2312"/>
          <w:b w:val="0"/>
          <w:sz w:val="32"/>
        </w:rPr>
        <w:t>九、《财政拨款“三公”经费支出决算表》</w:t>
      </w:r>
    </w:p>
    <w:p w14:paraId="4960F615">
      <w:pPr>
        <w:spacing w:line="240" w:lineRule="auto"/>
        <w:ind w:firstLine="640"/>
        <w:jc w:val="both"/>
      </w:pPr>
    </w:p>
    <w:p w14:paraId="67122395">
      <w:pPr>
        <w:spacing w:line="240" w:lineRule="auto"/>
        <w:ind w:firstLine="640"/>
        <w:jc w:val="both"/>
      </w:pPr>
    </w:p>
    <w:p w14:paraId="0C8A0DDE">
      <w:pPr>
        <w:spacing w:line="240" w:lineRule="auto"/>
        <w:ind w:firstLine="640"/>
        <w:jc w:val="both"/>
      </w:pPr>
    </w:p>
    <w:p w14:paraId="61D7843C">
      <w:pPr>
        <w:spacing w:line="240" w:lineRule="auto"/>
        <w:ind w:firstLine="640"/>
        <w:jc w:val="both"/>
      </w:pPr>
    </w:p>
    <w:p w14:paraId="51D95FD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4C7368"/>
    <w:rsid w:val="4B4C0111"/>
    <w:rsid w:val="4BB23021"/>
    <w:rsid w:val="4F3F074E"/>
    <w:rsid w:val="50DB5F45"/>
    <w:rsid w:val="52F92565"/>
    <w:rsid w:val="543D17CB"/>
    <w:rsid w:val="55DA564E"/>
    <w:rsid w:val="56E07045"/>
    <w:rsid w:val="56FE65BC"/>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6285</Words>
  <Characters>7089</Characters>
  <Lines>0</Lines>
  <Paragraphs>0</Paragraphs>
  <TotalTime>8</TotalTime>
  <ScaleCrop>false</ScaleCrop>
  <LinksUpToDate>false</LinksUpToDate>
  <CharactersWithSpaces>7099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2025-09-25T04:54:02Z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