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霍城县瞻德中学2024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0DA7CE">
      <w:r>
        <w:br w:type="page"/>
      </w:r>
    </w:p>
    <w:p w14:paraId="23E3A87E">
      <w:pPr>
        <w:spacing w:line="640" w:lineRule="exact"/>
        <w:jc w:val="center"/>
        <w:outlineLvl w:val="1"/>
      </w:pPr>
      <w:r>
        <w:rPr>
          <w:rFonts w:ascii="黑体" w:hAnsi="黑体" w:eastAsia="黑体"/>
          <w:sz w:val="32"/>
        </w:rPr>
        <w:t>第一部分 单位概况</w:t>
      </w:r>
    </w:p>
    <w:p w14:paraId="1BE7D541">
      <w:pPr>
        <w:spacing w:line="640" w:lineRule="exact"/>
        <w:ind w:firstLine="640"/>
        <w:jc w:val="both"/>
        <w:outlineLvl w:val="2"/>
      </w:pPr>
      <w:r>
        <w:rPr>
          <w:rFonts w:ascii="黑体" w:hAnsi="黑体" w:eastAsia="黑体"/>
          <w:sz w:val="32"/>
        </w:rPr>
        <w:t>一、主要职能</w:t>
      </w:r>
    </w:p>
    <w:p w14:paraId="4029DFFB">
      <w:pPr>
        <w:spacing w:line="580" w:lineRule="exact"/>
        <w:ind w:firstLine="640"/>
        <w:jc w:val="both"/>
      </w:pPr>
      <w:bookmarkStart w:id="0" w:name="_GoBack"/>
      <w:r>
        <w:rPr>
          <w:rFonts w:ascii="仿宋_GB2312" w:hAnsi="仿宋_GB2312" w:eastAsia="仿宋_GB2312"/>
          <w:sz w:val="32"/>
        </w:rPr>
        <w:t>1、</w:t>
      </w:r>
      <w:bookmarkEnd w:id="0"/>
      <w:r>
        <w:rPr>
          <w:rFonts w:ascii="仿宋_GB2312" w:hAnsi="仿宋_GB2312" w:eastAsia="仿宋_GB2312"/>
          <w:sz w:val="32"/>
        </w:rPr>
        <w:t>实施初中、小学、学前义务教育，促进基础教育发展教育。</w:t>
      </w:r>
    </w:p>
    <w:p w14:paraId="31E5D8E7">
      <w:pPr>
        <w:spacing w:line="580" w:lineRule="exact"/>
        <w:ind w:firstLine="640"/>
        <w:jc w:val="both"/>
      </w:pPr>
      <w:r>
        <w:rPr>
          <w:rFonts w:ascii="仿宋_GB2312" w:hAnsi="仿宋_GB2312" w:eastAsia="仿宋_GB2312"/>
          <w:sz w:val="32"/>
        </w:rPr>
        <w:t>2、贯彻党的教育方针，坚持正确办学方向，实行教育与生产劳动相结合，对学生进行德育、智育、体育、美育</w:t>
      </w:r>
      <w:r>
        <w:rPr>
          <w:rFonts w:hint="eastAsia" w:ascii="仿宋_GB2312" w:hAnsi="仿宋_GB2312" w:eastAsia="仿宋_GB2312"/>
          <w:sz w:val="32"/>
          <w:lang w:eastAsia="zh-CN"/>
        </w:rPr>
        <w:t>、</w:t>
      </w:r>
      <w:r>
        <w:rPr>
          <w:rFonts w:ascii="仿宋_GB2312" w:hAnsi="仿宋_GB2312" w:eastAsia="仿宋_GB2312"/>
          <w:sz w:val="32"/>
        </w:rPr>
        <w:t>劳动等方面的教育，负责组织适龄儿童、少年入学，严格控制学生辍学，依法保证适龄儿童、少年接受义务教育。</w:t>
      </w:r>
    </w:p>
    <w:p w14:paraId="7E394E34">
      <w:pPr>
        <w:spacing w:line="580" w:lineRule="exact"/>
        <w:ind w:firstLine="640"/>
        <w:jc w:val="both"/>
      </w:pPr>
      <w:r>
        <w:rPr>
          <w:rFonts w:ascii="仿宋_GB2312" w:hAnsi="仿宋_GB2312" w:eastAsia="仿宋_GB2312"/>
          <w:sz w:val="32"/>
        </w:rPr>
        <w:t>3、组织教育教学、科学教研活动，保证教育教学质量。维护教职工利益，保障教职工合法权益，以教职工和学生的人生幸福和生命质量作为重点。</w:t>
      </w:r>
    </w:p>
    <w:p w14:paraId="2CF2B27B">
      <w:pPr>
        <w:spacing w:line="640" w:lineRule="exact"/>
        <w:ind w:firstLine="640"/>
        <w:jc w:val="both"/>
        <w:outlineLvl w:val="2"/>
      </w:pPr>
      <w:r>
        <w:rPr>
          <w:rFonts w:ascii="黑体" w:hAnsi="黑体" w:eastAsia="黑体"/>
          <w:sz w:val="32"/>
        </w:rPr>
        <w:t>二、机构设置及人员情况</w:t>
      </w:r>
    </w:p>
    <w:p w14:paraId="16191496">
      <w:pPr>
        <w:spacing w:line="580" w:lineRule="exact"/>
        <w:ind w:firstLine="640"/>
        <w:jc w:val="both"/>
      </w:pPr>
      <w:r>
        <w:rPr>
          <w:rFonts w:ascii="仿宋_GB2312" w:hAnsi="仿宋_GB2312" w:eastAsia="仿宋_GB2312"/>
          <w:sz w:val="32"/>
        </w:rPr>
        <w:t>霍城县瞻德中学2024年度，实有人数1,020人，其中：在职人员750人，减少25人；离休人员0人，增加0人；退休人员270人,增加4人。</w:t>
      </w:r>
    </w:p>
    <w:p w14:paraId="6B1F7ED7">
      <w:pPr>
        <w:spacing w:line="580" w:lineRule="exact"/>
        <w:ind w:firstLine="640"/>
        <w:jc w:val="both"/>
      </w:pPr>
      <w:r>
        <w:rPr>
          <w:rFonts w:ascii="仿宋_GB2312" w:hAnsi="仿宋_GB2312" w:eastAsia="仿宋_GB2312"/>
          <w:sz w:val="32"/>
        </w:rPr>
        <w:t>霍城县瞻德中学无下属预算单位，下设11个科室，分别是：党政办、工会、教师发展部、学生管理部、教学管理部、平安办、后勤办、信息管理部、财务室、团支部、档案室。</w:t>
      </w:r>
    </w:p>
    <w:p w14:paraId="01BD82B7">
      <w:r>
        <w:br w:type="page"/>
      </w:r>
    </w:p>
    <w:p w14:paraId="058A5846">
      <w:pPr>
        <w:spacing w:line="240" w:lineRule="auto"/>
        <w:jc w:val="center"/>
        <w:outlineLvl w:val="1"/>
      </w:pPr>
      <w:r>
        <w:rPr>
          <w:rFonts w:ascii="黑体" w:hAnsi="黑体" w:eastAsia="黑体"/>
          <w:sz w:val="32"/>
        </w:rPr>
        <w:t>第二部分 部门决算情况说明</w:t>
      </w:r>
    </w:p>
    <w:p w14:paraId="1AEDE338">
      <w:pPr>
        <w:spacing w:line="640" w:lineRule="exact"/>
        <w:ind w:firstLine="640"/>
        <w:jc w:val="both"/>
        <w:outlineLvl w:val="2"/>
      </w:pPr>
      <w:r>
        <w:rPr>
          <w:rFonts w:ascii="黑体" w:hAnsi="黑体" w:eastAsia="黑体"/>
          <w:sz w:val="32"/>
        </w:rPr>
        <w:t>一、收入支出决算总体情况说明</w:t>
      </w:r>
    </w:p>
    <w:p w14:paraId="1D8099E1">
      <w:pPr>
        <w:spacing w:line="580" w:lineRule="exact"/>
        <w:ind w:firstLine="640"/>
        <w:jc w:val="both"/>
      </w:pPr>
      <w:r>
        <w:rPr>
          <w:rFonts w:ascii="仿宋_GB2312" w:hAnsi="仿宋_GB2312" w:eastAsia="仿宋_GB2312"/>
          <w:b/>
          <w:sz w:val="32"/>
        </w:rPr>
        <w:t>2024年度收入总计16,777.51万元，</w:t>
      </w:r>
      <w:r>
        <w:rPr>
          <w:rFonts w:ascii="仿宋_GB2312" w:hAnsi="仿宋_GB2312" w:eastAsia="仿宋_GB2312"/>
          <w:b w:val="0"/>
          <w:sz w:val="32"/>
        </w:rPr>
        <w:t>其中：本年收入合计16,777.51万元，使用非财政拨款结余（含专用结余）0.00万元，年初结转和结余0.00万元。</w:t>
      </w:r>
    </w:p>
    <w:p w14:paraId="3369D5BA">
      <w:pPr>
        <w:spacing w:line="580" w:lineRule="exact"/>
        <w:ind w:firstLine="640"/>
        <w:jc w:val="both"/>
      </w:pPr>
      <w:r>
        <w:rPr>
          <w:rFonts w:ascii="仿宋_GB2312" w:hAnsi="仿宋_GB2312" w:eastAsia="仿宋_GB2312"/>
          <w:b/>
          <w:sz w:val="32"/>
        </w:rPr>
        <w:t>2024年度支出总计16,777.51万元，</w:t>
      </w:r>
      <w:r>
        <w:rPr>
          <w:rFonts w:ascii="仿宋_GB2312" w:hAnsi="仿宋_GB2312" w:eastAsia="仿宋_GB2312"/>
          <w:b w:val="0"/>
          <w:sz w:val="32"/>
        </w:rPr>
        <w:t>其中：本年支出合计16,777.51万元，结余分配0.00万元，年末结转和结余0.00万元。</w:t>
      </w:r>
    </w:p>
    <w:p w14:paraId="4FC7C7C5">
      <w:pPr>
        <w:spacing w:line="580" w:lineRule="exact"/>
        <w:ind w:firstLine="640"/>
        <w:jc w:val="both"/>
      </w:pPr>
      <w:r>
        <w:rPr>
          <w:rFonts w:ascii="仿宋_GB2312" w:hAnsi="仿宋_GB2312" w:eastAsia="仿宋_GB2312"/>
          <w:b w:val="0"/>
          <w:sz w:val="32"/>
        </w:rPr>
        <w:t>收入支出总体与上年相比，减少347.50万元，下降2.03%，主要原因是：本年减少清水河镇城西小学教学楼、食堂、宿舍楼建设项目、清水河镇育英小学综合楼建设项目，导致经费较上年减少。</w:t>
      </w:r>
    </w:p>
    <w:p w14:paraId="504561E2">
      <w:pPr>
        <w:spacing w:line="640" w:lineRule="exact"/>
        <w:ind w:firstLine="640"/>
        <w:jc w:val="both"/>
        <w:outlineLvl w:val="2"/>
      </w:pPr>
      <w:r>
        <w:rPr>
          <w:rFonts w:ascii="黑体" w:hAnsi="黑体" w:eastAsia="黑体"/>
          <w:sz w:val="32"/>
        </w:rPr>
        <w:t>二、收入决算情况说明</w:t>
      </w:r>
    </w:p>
    <w:p w14:paraId="3ED05944">
      <w:pPr>
        <w:spacing w:line="580" w:lineRule="exact"/>
        <w:ind w:firstLine="640"/>
        <w:jc w:val="both"/>
      </w:pPr>
      <w:r>
        <w:rPr>
          <w:rFonts w:ascii="仿宋_GB2312" w:hAnsi="仿宋_GB2312" w:eastAsia="仿宋_GB2312"/>
          <w:b/>
          <w:sz w:val="32"/>
        </w:rPr>
        <w:t>本年收入16,777.51万元，</w:t>
      </w:r>
      <w:r>
        <w:rPr>
          <w:rFonts w:ascii="仿宋_GB2312" w:hAnsi="仿宋_GB2312" w:eastAsia="仿宋_GB2312"/>
          <w:b w:val="0"/>
          <w:sz w:val="32"/>
        </w:rPr>
        <w:t>其中：财政拨款收入16,777.51万元，占100.00%；上级补助收入0.00万元，占0.00%；事业收入0.00万元，占0.00%；经营收入0.00万元，占0.00%；附属单位上缴收入0.00万元，占0.00%；其他收入0.00万元，占0.00%。</w:t>
      </w:r>
    </w:p>
    <w:p w14:paraId="3F46FE3F">
      <w:pPr>
        <w:spacing w:line="640" w:lineRule="exact"/>
        <w:ind w:firstLine="640"/>
        <w:jc w:val="both"/>
        <w:outlineLvl w:val="2"/>
      </w:pPr>
      <w:r>
        <w:rPr>
          <w:rFonts w:ascii="黑体" w:hAnsi="黑体" w:eastAsia="黑体"/>
          <w:sz w:val="32"/>
        </w:rPr>
        <w:t>三、支出决算情况说明</w:t>
      </w:r>
    </w:p>
    <w:p w14:paraId="6EF3F3F3">
      <w:pPr>
        <w:spacing w:line="580" w:lineRule="exact"/>
        <w:ind w:firstLine="640"/>
        <w:jc w:val="both"/>
      </w:pPr>
      <w:r>
        <w:rPr>
          <w:rFonts w:ascii="仿宋_GB2312" w:hAnsi="仿宋_GB2312" w:eastAsia="仿宋_GB2312"/>
          <w:b/>
          <w:sz w:val="32"/>
        </w:rPr>
        <w:t>本年支出16,777.51万元，</w:t>
      </w:r>
      <w:r>
        <w:rPr>
          <w:rFonts w:ascii="仿宋_GB2312" w:hAnsi="仿宋_GB2312" w:eastAsia="仿宋_GB2312"/>
          <w:b w:val="0"/>
          <w:sz w:val="32"/>
        </w:rPr>
        <w:t>其中：基本支出16,777.51万元，占100.00%；项目支出0.00万元，占0.00%；上缴上级支出0.00万元，占0.00%；经营支出0.00万元，占0.00%；对附属单位补助支出0.00万元，占0.00%。</w:t>
      </w:r>
    </w:p>
    <w:p w14:paraId="17C29FA0">
      <w:pPr>
        <w:spacing w:line="640" w:lineRule="exact"/>
        <w:ind w:firstLine="640"/>
        <w:jc w:val="both"/>
        <w:outlineLvl w:val="2"/>
      </w:pPr>
      <w:r>
        <w:rPr>
          <w:rFonts w:ascii="黑体" w:hAnsi="黑体" w:eastAsia="黑体"/>
          <w:sz w:val="32"/>
        </w:rPr>
        <w:t>四、财政拨款收入支出决算总体情况说明</w:t>
      </w:r>
    </w:p>
    <w:p w14:paraId="21E7BFA3">
      <w:pPr>
        <w:spacing w:line="580" w:lineRule="exact"/>
        <w:ind w:firstLine="640"/>
        <w:jc w:val="both"/>
      </w:pPr>
      <w:r>
        <w:rPr>
          <w:rFonts w:ascii="仿宋_GB2312" w:hAnsi="仿宋_GB2312" w:eastAsia="仿宋_GB2312"/>
          <w:b/>
          <w:sz w:val="32"/>
        </w:rPr>
        <w:t>2024年度财政拨款收入总计16,777.51万元，</w:t>
      </w:r>
      <w:r>
        <w:rPr>
          <w:rFonts w:ascii="仿宋_GB2312" w:hAnsi="仿宋_GB2312" w:eastAsia="仿宋_GB2312"/>
          <w:b w:val="0"/>
          <w:sz w:val="32"/>
        </w:rPr>
        <w:t>其中：年初财政拨款结转和结余0.00万元，本年财政拨款收入16,777.51万元。</w:t>
      </w:r>
      <w:r>
        <w:rPr>
          <w:rFonts w:ascii="仿宋_GB2312" w:hAnsi="仿宋_GB2312" w:eastAsia="仿宋_GB2312"/>
          <w:b/>
          <w:sz w:val="32"/>
        </w:rPr>
        <w:t>财政拨款支出总计16,777.51万元，</w:t>
      </w:r>
      <w:r>
        <w:rPr>
          <w:rFonts w:ascii="仿宋_GB2312" w:hAnsi="仿宋_GB2312" w:eastAsia="仿宋_GB2312"/>
          <w:b w:val="0"/>
          <w:sz w:val="32"/>
        </w:rPr>
        <w:t>其中：年末财政拨款结转和结余0.00万元，本年财政拨款支出16,777.51万元。</w:t>
      </w:r>
    </w:p>
    <w:p w14:paraId="4A661BC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减少347.50万元，下降2.03%，主要原因是：本年减少清水河镇城西小学教学楼、食堂、宿舍楼建设项目、清水河镇育英小学综合楼建设项目，导致经费较上年减少。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年初预算数16,721.56万元，决算数16,777.51万元，预决算差异率0.33%，主要原因是：年中追加义务教育薄弱环节与能力提升项目工程设备购置款经费，导致预决算存在差异。</w:t>
      </w:r>
    </w:p>
    <w:p w14:paraId="707E7AD5">
      <w:pPr>
        <w:spacing w:line="640" w:lineRule="exact"/>
        <w:ind w:firstLine="640"/>
        <w:jc w:val="both"/>
        <w:outlineLvl w:val="2"/>
      </w:pPr>
      <w:r>
        <w:rPr>
          <w:rFonts w:ascii="黑体" w:hAnsi="黑体" w:eastAsia="黑体"/>
          <w:sz w:val="32"/>
        </w:rPr>
        <w:t>五、一般公共预算财政拨款支出决算情况说明</w:t>
      </w:r>
    </w:p>
    <w:p w14:paraId="18A3AC35">
      <w:pPr>
        <w:spacing w:line="640" w:lineRule="exact"/>
        <w:ind w:firstLine="640"/>
        <w:jc w:val="both"/>
        <w:outlineLvl w:val="3"/>
      </w:pPr>
      <w:r>
        <w:rPr>
          <w:rFonts w:ascii="楷体_GB2312" w:hAnsi="楷体_GB2312" w:eastAsia="楷体_GB2312"/>
          <w:b/>
          <w:sz w:val="32"/>
        </w:rPr>
        <w:t>（一）一般公共预算财政拨款支出决算总体情况</w:t>
      </w:r>
    </w:p>
    <w:p w14:paraId="44FE8A68">
      <w:pPr>
        <w:spacing w:line="580" w:lineRule="exact"/>
        <w:ind w:firstLine="640"/>
        <w:jc w:val="both"/>
      </w:pPr>
      <w:r>
        <w:rPr>
          <w:rFonts w:ascii="仿宋_GB2312" w:hAnsi="仿宋_GB2312" w:eastAsia="仿宋_GB2312"/>
          <w:b/>
          <w:sz w:val="32"/>
        </w:rPr>
        <w:t>2024年度一般公共预算财政拨款支出16,777.51万元，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减少347.50万元，下降2.03%，主要原因是：本年减少清水河镇城西小学教学楼、食堂、宿舍楼建设项目、清水河镇育英小学综合楼建设项目，导致经费较上年减少。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年初预算数16,721.56万元，决算数16,777.51万元，预决算差异率0.33%，主要原因是：年中追加义务教育薄弱环节与能力提升项目工程设备购置款经费，导致预决算存在差异。</w:t>
      </w:r>
    </w:p>
    <w:p w14:paraId="19ACA511">
      <w:pPr>
        <w:spacing w:line="640" w:lineRule="exact"/>
        <w:ind w:firstLine="640"/>
        <w:jc w:val="both"/>
        <w:outlineLvl w:val="3"/>
      </w:pPr>
      <w:r>
        <w:rPr>
          <w:rFonts w:ascii="楷体_GB2312" w:hAnsi="楷体_GB2312" w:eastAsia="楷体_GB2312"/>
          <w:b/>
          <w:sz w:val="32"/>
        </w:rPr>
        <w:t>（二）一般公共预算财政拨款支出决算结构情况</w:t>
      </w:r>
    </w:p>
    <w:p w14:paraId="4D669AE0">
      <w:pPr>
        <w:spacing w:line="580" w:lineRule="exact"/>
        <w:ind w:firstLine="640"/>
        <w:jc w:val="both"/>
      </w:pPr>
      <w:r>
        <w:rPr>
          <w:rFonts w:ascii="仿宋_GB2312" w:hAnsi="仿宋_GB2312" w:eastAsia="仿宋_GB2312"/>
          <w:b w:val="0"/>
          <w:sz w:val="32"/>
        </w:rPr>
        <w:t>1.教育支出(类)14,246.27万元,占84.91%。</w:t>
      </w:r>
    </w:p>
    <w:p w14:paraId="4E2D0BA9">
      <w:pPr>
        <w:spacing w:line="580" w:lineRule="exact"/>
        <w:ind w:firstLine="640"/>
        <w:jc w:val="both"/>
      </w:pPr>
      <w:r>
        <w:rPr>
          <w:rFonts w:ascii="仿宋_GB2312" w:hAnsi="仿宋_GB2312" w:eastAsia="仿宋_GB2312"/>
          <w:b w:val="0"/>
          <w:sz w:val="32"/>
        </w:rPr>
        <w:t>2.科学技术支出(类)20.00万元,占0.12%。</w:t>
      </w:r>
    </w:p>
    <w:p w14:paraId="20D5662D">
      <w:pPr>
        <w:spacing w:line="580" w:lineRule="exact"/>
        <w:ind w:firstLine="640"/>
        <w:jc w:val="both"/>
      </w:pPr>
      <w:r>
        <w:rPr>
          <w:rFonts w:ascii="仿宋_GB2312" w:hAnsi="仿宋_GB2312" w:eastAsia="仿宋_GB2312"/>
          <w:b w:val="0"/>
          <w:sz w:val="32"/>
        </w:rPr>
        <w:t>3.社会保障和就业支出(类)1,803.38万元,占10.75%。</w:t>
      </w:r>
    </w:p>
    <w:p w14:paraId="5B24D72B">
      <w:pPr>
        <w:spacing w:line="580" w:lineRule="exact"/>
        <w:ind w:firstLine="640"/>
        <w:jc w:val="both"/>
      </w:pPr>
      <w:r>
        <w:rPr>
          <w:rFonts w:ascii="仿宋_GB2312" w:hAnsi="仿宋_GB2312" w:eastAsia="仿宋_GB2312"/>
          <w:b w:val="0"/>
          <w:sz w:val="32"/>
        </w:rPr>
        <w:t>4.卫生健康支出(类)707.86万元,占4.22%。</w:t>
      </w:r>
    </w:p>
    <w:p w14:paraId="1A8503A1">
      <w:pPr>
        <w:spacing w:line="640" w:lineRule="exact"/>
        <w:ind w:firstLine="640"/>
        <w:jc w:val="both"/>
        <w:outlineLvl w:val="3"/>
      </w:pPr>
      <w:r>
        <w:rPr>
          <w:rFonts w:ascii="楷体_GB2312" w:hAnsi="楷体_GB2312" w:eastAsia="楷体_GB2312"/>
          <w:b/>
          <w:sz w:val="32"/>
        </w:rPr>
        <w:t>（三）一般公共预算财政拨款支出决算具体情况</w:t>
      </w:r>
    </w:p>
    <w:p w14:paraId="469AAE7D">
      <w:pPr>
        <w:spacing w:line="580" w:lineRule="exact"/>
        <w:ind w:firstLine="640"/>
        <w:jc w:val="both"/>
      </w:pPr>
      <w:r>
        <w:rPr>
          <w:rFonts w:ascii="仿宋_GB2312" w:hAnsi="仿宋_GB2312" w:eastAsia="仿宋_GB2312"/>
          <w:b w:val="0"/>
          <w:sz w:val="32"/>
        </w:rPr>
        <w:t>1.教育支出(类)普通教育(款)学前教育(项):支出决算数为2,825.90万元，比上年决算增加541.80万元，增长23.72%,主要原因是：本年</w:t>
      </w:r>
      <w:r>
        <w:rPr>
          <w:rFonts w:hint="eastAsia" w:ascii="仿宋_GB2312" w:hAnsi="仿宋_GB2312" w:eastAsia="仿宋_GB2312"/>
          <w:b w:val="0"/>
          <w:sz w:val="32"/>
          <w:lang w:val="en-US" w:eastAsia="zh-CN"/>
        </w:rPr>
        <w:t>在职人员工资调增，相关人员经费增加</w:t>
      </w:r>
      <w:r>
        <w:rPr>
          <w:rFonts w:ascii="仿宋_GB2312" w:hAnsi="仿宋_GB2312" w:eastAsia="仿宋_GB2312"/>
          <w:b w:val="0"/>
          <w:sz w:val="32"/>
        </w:rPr>
        <w:t>，增加县级配套经费；本年科目调整，培训费上年在其他教育费附加安排的支出科目列支、部分住房公积金上年在单独列支，本年调整至本科目列支，导致经费较上年增加。</w:t>
      </w:r>
    </w:p>
    <w:p w14:paraId="7860B08C">
      <w:pPr>
        <w:spacing w:line="580" w:lineRule="exact"/>
        <w:ind w:firstLine="640"/>
        <w:jc w:val="both"/>
      </w:pPr>
      <w:r>
        <w:rPr>
          <w:rFonts w:ascii="仿宋_GB2312" w:hAnsi="仿宋_GB2312" w:eastAsia="仿宋_GB2312"/>
          <w:b w:val="0"/>
          <w:sz w:val="32"/>
        </w:rPr>
        <w:t>2.教育支出(类)普通教育(款)小学教育(项):支出决算数为6,311.45万元，比上年决算增加342.63万元，增长5.74%,主要原因是：本年小学教育在职人员工资基数调增，</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经费增加；本年科目调整，办公设备购置款上年在特殊学校教育科目列支，部分住房公积金上年在单独</w:t>
      </w:r>
      <w:r>
        <w:rPr>
          <w:rFonts w:hint="eastAsia" w:ascii="仿宋_GB2312" w:hAnsi="仿宋_GB2312" w:eastAsia="仿宋_GB2312"/>
          <w:b w:val="0"/>
          <w:sz w:val="32"/>
          <w:lang w:eastAsia="zh-CN"/>
        </w:rPr>
        <w:t>列支</w:t>
      </w:r>
      <w:r>
        <w:rPr>
          <w:rFonts w:ascii="仿宋_GB2312" w:hAnsi="仿宋_GB2312" w:eastAsia="仿宋_GB2312"/>
          <w:b w:val="0"/>
          <w:sz w:val="32"/>
        </w:rPr>
        <w:t>，本年调整至本科目列支，导致经费较上年增加。</w:t>
      </w:r>
    </w:p>
    <w:p w14:paraId="7BD76AF2">
      <w:pPr>
        <w:spacing w:line="580" w:lineRule="exact"/>
        <w:ind w:firstLine="640"/>
        <w:jc w:val="both"/>
      </w:pPr>
      <w:r>
        <w:rPr>
          <w:rFonts w:ascii="仿宋_GB2312" w:hAnsi="仿宋_GB2312" w:eastAsia="仿宋_GB2312"/>
          <w:b w:val="0"/>
          <w:sz w:val="32"/>
        </w:rPr>
        <w:t>3.教育支出(类)普通教育(款)初中教育(项):支出决算数为4,163.97万元，比上年决算增加197.39万元，增长4.98%,主要原因是：本年初中教育在职人员工资基数调增，</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经费增加，本年科目调整，部分人员费用上年在其他教育支出科目列支，本年调整至本科目列支，导致经费较上年增加。</w:t>
      </w:r>
    </w:p>
    <w:p w14:paraId="42F7117B">
      <w:pPr>
        <w:spacing w:line="580" w:lineRule="exact"/>
        <w:ind w:firstLine="640"/>
        <w:jc w:val="both"/>
      </w:pPr>
      <w:r>
        <w:rPr>
          <w:rFonts w:ascii="仿宋_GB2312" w:hAnsi="仿宋_GB2312" w:eastAsia="仿宋_GB2312"/>
          <w:b w:val="0"/>
          <w:sz w:val="32"/>
        </w:rPr>
        <w:t>4.教育支出(类)普通教育(款)其他普通教育支出(项):支出决算数为665.81万元，比上年决算减少1,204.73万元，下降64.41%,主要原因是：本年减少清水河镇城西小学教学楼、食堂、宿舍楼建设项目、清水河镇育英小学综合楼建设项目。</w:t>
      </w:r>
    </w:p>
    <w:p w14:paraId="44890EBC">
      <w:pPr>
        <w:spacing w:line="580" w:lineRule="exact"/>
        <w:ind w:firstLine="640"/>
        <w:jc w:val="both"/>
      </w:pPr>
      <w:r>
        <w:rPr>
          <w:rFonts w:ascii="仿宋_GB2312" w:hAnsi="仿宋_GB2312" w:eastAsia="仿宋_GB2312"/>
          <w:b w:val="0"/>
          <w:sz w:val="32"/>
        </w:rPr>
        <w:t>5.教育支出(类)特殊教育(款)特殊学校教育(项):支出决算数为0.00万元，比上年决算减少7.57万元，下降100.00%,主要原因是：本年科目调整，办公设备购置款由本科目列支调整至小学教育科目列支，导致经费比上年减少。</w:t>
      </w:r>
    </w:p>
    <w:p w14:paraId="29D8FD56">
      <w:pPr>
        <w:spacing w:line="580" w:lineRule="exact"/>
        <w:ind w:firstLine="640"/>
        <w:jc w:val="both"/>
      </w:pPr>
      <w:r>
        <w:rPr>
          <w:rFonts w:ascii="仿宋_GB2312" w:hAnsi="仿宋_GB2312" w:eastAsia="仿宋_GB2312"/>
          <w:b w:val="0"/>
          <w:sz w:val="32"/>
        </w:rPr>
        <w:t>6.教育支出(类)教育费附加安排的支出(款)农村中小学教学设施(项):支出决算数为279.15万元，比上年决算增加279.15万元，增长100.00%,主要原因是：本年增加2023年义务教育薄弱环节与能力提升项目工程设备购置款，导致经费较上年增加。</w:t>
      </w:r>
    </w:p>
    <w:p w14:paraId="122ADCA0">
      <w:pPr>
        <w:spacing w:line="580" w:lineRule="exact"/>
        <w:ind w:firstLine="640"/>
        <w:jc w:val="both"/>
      </w:pPr>
      <w:r>
        <w:rPr>
          <w:rFonts w:ascii="仿宋_GB2312" w:hAnsi="仿宋_GB2312" w:eastAsia="仿宋_GB2312"/>
          <w:b w:val="0"/>
          <w:sz w:val="32"/>
        </w:rPr>
        <w:t>7.教育支出(类)教育费附加安排的支出(款)其他教育费附加安排的支出(项):支出决算数为0.00万元，比上年决算减少6.98万元，下降100.00%,主要原因是：本年科目调整，培训费支出上年在本科目列支，本年调整至学前教育科目列支，导致经费较上年减少。</w:t>
      </w:r>
    </w:p>
    <w:p w14:paraId="77772376">
      <w:pPr>
        <w:spacing w:line="580" w:lineRule="exact"/>
        <w:ind w:firstLine="640"/>
        <w:jc w:val="both"/>
      </w:pPr>
      <w:r>
        <w:rPr>
          <w:rFonts w:ascii="仿宋_GB2312" w:hAnsi="仿宋_GB2312" w:eastAsia="仿宋_GB2312"/>
          <w:b w:val="0"/>
          <w:sz w:val="32"/>
        </w:rPr>
        <w:t>8.教育支出(类)其他教育支出(款)其他教育支出(项):支出决算数为0.00万元，比上年决算减少50.51万元，下降100.00%,主要原因是：本年科目调整，部分人员费用上年在本科目列支，本年调整至初中教育科目列支，导致经费较上年减少。</w:t>
      </w:r>
    </w:p>
    <w:p w14:paraId="123186A7">
      <w:pPr>
        <w:spacing w:line="580" w:lineRule="exact"/>
        <w:ind w:firstLine="640"/>
        <w:jc w:val="both"/>
      </w:pPr>
      <w:r>
        <w:rPr>
          <w:rFonts w:ascii="仿宋_GB2312" w:hAnsi="仿宋_GB2312" w:eastAsia="仿宋_GB2312"/>
          <w:b w:val="0"/>
          <w:sz w:val="32"/>
        </w:rPr>
        <w:t>9.科学技术支出(类)基础研究(款)科技人才队伍建设(项):支出决算数为20.00万元，比上年决算增加20.00万元，增长100.00%,主要原因是：本年新增科技人才队伍建设项目，导致经费较上年增加。</w:t>
      </w:r>
    </w:p>
    <w:p w14:paraId="566A68E4">
      <w:pPr>
        <w:spacing w:line="580" w:lineRule="exact"/>
        <w:ind w:firstLine="640"/>
        <w:jc w:val="both"/>
      </w:pPr>
      <w:r>
        <w:rPr>
          <w:rFonts w:ascii="仿宋_GB2312" w:hAnsi="仿宋_GB2312" w:eastAsia="仿宋_GB2312"/>
          <w:b w:val="0"/>
          <w:sz w:val="32"/>
        </w:rPr>
        <w:t>10.社会保障和就业支出(类)行政事业单位养老支出(款)事业单位离退休(项):支出决算数为199.56万元，比上年决算增加159.49万元，增长398.03%,主要原因是：本年度退休人员</w:t>
      </w:r>
      <w:r>
        <w:rPr>
          <w:rFonts w:hint="eastAsia" w:ascii="仿宋_GB2312" w:hAnsi="仿宋_GB2312" w:eastAsia="仿宋_GB2312"/>
          <w:b w:val="0"/>
          <w:sz w:val="32"/>
          <w:lang w:val="en-US" w:eastAsia="zh-CN"/>
        </w:rPr>
        <w:t>增加，发放退休人员基础绩效，退休费增加</w:t>
      </w:r>
      <w:r>
        <w:rPr>
          <w:rFonts w:ascii="仿宋_GB2312" w:hAnsi="仿宋_GB2312" w:eastAsia="仿宋_GB2312"/>
          <w:b w:val="0"/>
          <w:sz w:val="32"/>
        </w:rPr>
        <w:t>。</w:t>
      </w:r>
    </w:p>
    <w:p w14:paraId="69F23655">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1,414.55万元，比上年决算增加155.64万元，增长12.36%,主要原因是：本年度养老保险基数上调，机关事业单位基本养老保险缴费支出增加。</w:t>
      </w:r>
    </w:p>
    <w:p w14:paraId="4E3AA663">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189.27万元，比上年决算增加71.66万元，增长60.93%,主要原因是：本年度新增退休人员，做实职业年金，经费增加。</w:t>
      </w:r>
    </w:p>
    <w:p w14:paraId="6866223F">
      <w:pPr>
        <w:spacing w:line="580" w:lineRule="exact"/>
        <w:ind w:firstLine="640"/>
        <w:jc w:val="both"/>
      </w:pPr>
      <w:r>
        <w:rPr>
          <w:rFonts w:ascii="仿宋_GB2312" w:hAnsi="仿宋_GB2312" w:eastAsia="仿宋_GB2312"/>
          <w:b w:val="0"/>
          <w:sz w:val="32"/>
        </w:rPr>
        <w:t>13.社会保障和就业支出(类)抚恤(款)死亡抚恤(项):支出决算数为0.00万元，比上年决算减少67.87万元，下降100.00%,主要原因是：本年度无死亡人员，导致死亡抚恤金经费减少。</w:t>
      </w:r>
    </w:p>
    <w:p w14:paraId="52798006">
      <w:pPr>
        <w:spacing w:line="580" w:lineRule="exact"/>
        <w:ind w:firstLine="640"/>
        <w:jc w:val="both"/>
      </w:pPr>
      <w:r>
        <w:rPr>
          <w:rFonts w:ascii="仿宋_GB2312" w:hAnsi="仿宋_GB2312" w:eastAsia="仿宋_GB2312"/>
          <w:b w:val="0"/>
          <w:sz w:val="32"/>
        </w:rPr>
        <w:t>14.卫生健康支出(类)行政事业单位医疗(款)事业单位医疗(项):支出决算数为707.86万元，比上年决算减少60.11万元，下降7.83%,主要原因是：因退休人员医疗保险制度改革，退休人员基本医疗不再由单位缴纳，导致经费较上年减少。</w:t>
      </w:r>
    </w:p>
    <w:p w14:paraId="51A747F9">
      <w:pPr>
        <w:spacing w:line="580" w:lineRule="exact"/>
        <w:ind w:firstLine="640"/>
        <w:jc w:val="both"/>
      </w:pPr>
      <w:r>
        <w:rPr>
          <w:rFonts w:ascii="仿宋_GB2312" w:hAnsi="仿宋_GB2312" w:eastAsia="仿宋_GB2312"/>
          <w:b w:val="0"/>
          <w:sz w:val="32"/>
        </w:rPr>
        <w:t>15.住房保障支出(类)住房改革支出(款)住房公积金(项):支出决算数为0.00万元，比上年决算减少717.47万元，下降100.00%,主要原因是：本年功能科目调整，住房公积金上年在本科目列支，本年调整至学前教育、小学教育科目列支，导致经费较上年减少。</w:t>
      </w:r>
    </w:p>
    <w:p w14:paraId="6BEA01D8">
      <w:pPr>
        <w:spacing w:line="640" w:lineRule="exact"/>
        <w:ind w:firstLine="640"/>
        <w:jc w:val="both"/>
        <w:outlineLvl w:val="2"/>
      </w:pPr>
      <w:r>
        <w:rPr>
          <w:rFonts w:ascii="黑体" w:hAnsi="黑体" w:eastAsia="黑体"/>
          <w:sz w:val="32"/>
        </w:rPr>
        <w:t>六、一般公共预算财政拨款基本支出决算情况说明</w:t>
      </w:r>
    </w:p>
    <w:p w14:paraId="1F56D5CE">
      <w:pPr>
        <w:spacing w:line="580" w:lineRule="exact"/>
        <w:ind w:firstLine="640"/>
        <w:jc w:val="both"/>
      </w:pPr>
      <w:r>
        <w:rPr>
          <w:rFonts w:ascii="仿宋_GB2312" w:hAnsi="仿宋_GB2312" w:eastAsia="仿宋_GB2312"/>
          <w:b w:val="0"/>
          <w:sz w:val="32"/>
        </w:rPr>
        <w:t>2024年度一般公共预算财政拨款基本支出16,777.51万元，其中：</w:t>
      </w:r>
      <w:r>
        <w:rPr>
          <w:rFonts w:ascii="仿宋_GB2312" w:hAnsi="仿宋_GB2312" w:eastAsia="仿宋_GB2312"/>
          <w:b/>
          <w:sz w:val="32"/>
        </w:rPr>
        <w:t>人员经费14,960.41万元，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其他对个人和家庭的补助。</w:t>
      </w:r>
    </w:p>
    <w:p w14:paraId="545706A1">
      <w:pPr>
        <w:spacing w:line="580" w:lineRule="exact"/>
        <w:ind w:firstLine="640"/>
        <w:jc w:val="both"/>
      </w:pPr>
      <w:r>
        <w:rPr>
          <w:rFonts w:ascii="仿宋_GB2312" w:hAnsi="仿宋_GB2312" w:eastAsia="仿宋_GB2312"/>
          <w:b/>
          <w:sz w:val="32"/>
        </w:rPr>
        <w:t>公用经费1,817.10万元，</w:t>
      </w:r>
      <w:r>
        <w:rPr>
          <w:rFonts w:ascii="仿宋_GB2312" w:hAnsi="仿宋_GB2312" w:eastAsia="仿宋_GB2312"/>
          <w:b w:val="0"/>
          <w:sz w:val="32"/>
        </w:rPr>
        <w:t>包括：办公费、印刷费、水费、电费、邮电费、取暖费、物业管理费、差旅费、维修（护）费、培训费、专用材料费、劳务费、工会经费、福利费、办公设备购置、专用设备购置、信息网络及软件购置更新。</w:t>
      </w:r>
    </w:p>
    <w:p w14:paraId="3E204015">
      <w:pPr>
        <w:spacing w:line="640" w:lineRule="exact"/>
        <w:ind w:firstLine="640"/>
        <w:jc w:val="both"/>
        <w:outlineLvl w:val="2"/>
      </w:pPr>
      <w:r>
        <w:rPr>
          <w:rFonts w:ascii="黑体" w:hAnsi="黑体" w:eastAsia="黑体"/>
          <w:sz w:val="32"/>
        </w:rPr>
        <w:t>七、政府性基金预算财政拨款收入支出决算情况说明</w:t>
      </w:r>
    </w:p>
    <w:p w14:paraId="28D70D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638BA9E">
      <w:pPr>
        <w:spacing w:line="640" w:lineRule="exact"/>
        <w:ind w:firstLine="640"/>
        <w:jc w:val="both"/>
        <w:outlineLvl w:val="2"/>
      </w:pPr>
      <w:r>
        <w:rPr>
          <w:rFonts w:ascii="黑体" w:hAnsi="黑体" w:eastAsia="黑体"/>
          <w:sz w:val="32"/>
        </w:rPr>
        <w:t>八、国有资本经营预算财政拨款收入支出决算情况说明</w:t>
      </w:r>
    </w:p>
    <w:p w14:paraId="0E79A46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5211652">
      <w:pPr>
        <w:spacing w:line="640" w:lineRule="exact"/>
        <w:ind w:firstLine="640"/>
        <w:jc w:val="both"/>
        <w:outlineLvl w:val="2"/>
      </w:pPr>
      <w:r>
        <w:rPr>
          <w:rFonts w:ascii="黑体" w:hAnsi="黑体" w:eastAsia="黑体"/>
          <w:sz w:val="32"/>
        </w:rPr>
        <w:t>九、财政拨款“三公”经费支出决算情况说明</w:t>
      </w:r>
    </w:p>
    <w:p w14:paraId="202BDBE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BCAA9A6">
      <w:pPr>
        <w:spacing w:line="580" w:lineRule="exact"/>
        <w:ind w:firstLine="640"/>
        <w:jc w:val="both"/>
      </w:pPr>
      <w:r>
        <w:rPr>
          <w:rFonts w:ascii="仿宋_GB2312" w:hAnsi="仿宋_GB2312" w:eastAsia="仿宋_GB2312"/>
          <w:b/>
          <w:sz w:val="32"/>
        </w:rPr>
        <w:t>具体情况如下：</w:t>
      </w:r>
    </w:p>
    <w:p w14:paraId="45E1F3B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4F3DFF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3635A3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4AF0D9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1D38094">
      <w:pPr>
        <w:spacing w:line="640" w:lineRule="exact"/>
        <w:ind w:firstLine="640"/>
        <w:jc w:val="both"/>
        <w:outlineLvl w:val="2"/>
      </w:pPr>
      <w:r>
        <w:rPr>
          <w:rFonts w:ascii="黑体" w:hAnsi="黑体" w:eastAsia="黑体"/>
          <w:sz w:val="32"/>
        </w:rPr>
        <w:t>十、其他重要事项的情况说明</w:t>
      </w:r>
    </w:p>
    <w:p w14:paraId="2350C6B3">
      <w:pPr>
        <w:spacing w:line="640" w:lineRule="exact"/>
        <w:ind w:firstLine="640"/>
        <w:jc w:val="both"/>
        <w:outlineLvl w:val="3"/>
      </w:pPr>
      <w:r>
        <w:rPr>
          <w:rFonts w:ascii="楷体_GB2312" w:hAnsi="楷体_GB2312" w:eastAsia="楷体_GB2312"/>
          <w:b/>
          <w:sz w:val="32"/>
        </w:rPr>
        <w:t>（一）机关运行经费及公用经费支出情况</w:t>
      </w:r>
    </w:p>
    <w:p w14:paraId="41BAB49D">
      <w:pPr>
        <w:spacing w:line="580" w:lineRule="exact"/>
        <w:ind w:firstLine="640"/>
        <w:jc w:val="both"/>
      </w:pPr>
      <w:r>
        <w:rPr>
          <w:rFonts w:ascii="仿宋_GB2312" w:hAnsi="仿宋_GB2312" w:eastAsia="仿宋_GB2312"/>
          <w:b w:val="0"/>
          <w:sz w:val="32"/>
        </w:rPr>
        <w:t>2024年度霍城县瞻德中学（事业单位）公用经费支出1,817.10万元，比上年增加739.71万元，增长68.66%，主要原因是：本年办公费用、维修费、取暖费、差旅费增加，导致公用经费较上年增加。</w:t>
      </w:r>
    </w:p>
    <w:p w14:paraId="68B3333C">
      <w:pPr>
        <w:spacing w:line="640" w:lineRule="exact"/>
        <w:ind w:firstLine="640"/>
        <w:jc w:val="both"/>
        <w:outlineLvl w:val="3"/>
      </w:pPr>
      <w:r>
        <w:rPr>
          <w:rFonts w:ascii="楷体_GB2312" w:hAnsi="楷体_GB2312" w:eastAsia="楷体_GB2312"/>
          <w:b/>
          <w:sz w:val="32"/>
        </w:rPr>
        <w:t>（二）政府采购情况</w:t>
      </w:r>
    </w:p>
    <w:p w14:paraId="5F33802C">
      <w:pPr>
        <w:spacing w:line="580" w:lineRule="exact"/>
        <w:ind w:firstLine="640"/>
        <w:jc w:val="both"/>
      </w:pPr>
      <w:r>
        <w:rPr>
          <w:rFonts w:ascii="仿宋_GB2312" w:hAnsi="仿宋_GB2312" w:eastAsia="仿宋_GB2312"/>
          <w:b w:val="0"/>
          <w:sz w:val="32"/>
        </w:rPr>
        <w:t>2024年度政府采购支出总额195.41万元，其中：政府采购货物支出31.21万元、政府采购工程支出164.20万元、政府采购服务支出0.00万元。</w:t>
      </w:r>
    </w:p>
    <w:p w14:paraId="6EB4E494">
      <w:pPr>
        <w:spacing w:line="580" w:lineRule="exact"/>
        <w:ind w:firstLine="640"/>
        <w:jc w:val="both"/>
      </w:pPr>
      <w:r>
        <w:rPr>
          <w:rFonts w:ascii="仿宋_GB2312" w:hAnsi="仿宋_GB2312" w:eastAsia="仿宋_GB2312"/>
          <w:b w:val="0"/>
          <w:sz w:val="32"/>
        </w:rPr>
        <w:t>授予中小企业合同金额195.41万元，占政府采购支出总额的100.00%，其中：授予小微企业合同金额195.41万元，占政府采购支出总额的100.00%。</w:t>
      </w:r>
    </w:p>
    <w:p w14:paraId="66CD5C33">
      <w:pPr>
        <w:spacing w:line="640" w:lineRule="exact"/>
        <w:ind w:firstLine="640"/>
        <w:jc w:val="both"/>
        <w:outlineLvl w:val="3"/>
      </w:pPr>
      <w:r>
        <w:rPr>
          <w:rFonts w:ascii="楷体_GB2312" w:hAnsi="楷体_GB2312" w:eastAsia="楷体_GB2312"/>
          <w:b/>
          <w:sz w:val="32"/>
        </w:rPr>
        <w:t>（三）国有资产占用情况说明</w:t>
      </w:r>
    </w:p>
    <w:p w14:paraId="38B72930">
      <w:pPr>
        <w:spacing w:line="580" w:lineRule="exact"/>
        <w:ind w:firstLine="640"/>
        <w:jc w:val="both"/>
      </w:pPr>
      <w:r>
        <w:rPr>
          <w:rFonts w:ascii="仿宋_GB2312" w:hAnsi="仿宋_GB2312" w:eastAsia="仿宋_GB2312"/>
          <w:b w:val="0"/>
          <w:sz w:val="32"/>
        </w:rPr>
        <w:t>截至2024年12月31日，房屋124,242.04平方米，价值15,941.88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B0D1121">
      <w:pPr>
        <w:spacing w:line="640" w:lineRule="exact"/>
        <w:ind w:firstLine="640"/>
        <w:jc w:val="both"/>
        <w:outlineLvl w:val="2"/>
      </w:pPr>
      <w:r>
        <w:rPr>
          <w:rFonts w:ascii="黑体" w:hAnsi="黑体" w:eastAsia="黑体"/>
          <w:sz w:val="32"/>
        </w:rPr>
        <w:t>十一、预算绩效的情况说明</w:t>
      </w:r>
    </w:p>
    <w:p w14:paraId="5D04CDE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16,777.51万元，实际执行总额16,777.51万元；预算绩效评价项目1个，全年预算数20.00万元，全年执行数20.00万元。预算绩效管理取得的成效：学校始终坚持“绩效先行”的财务管理理念，通过持续的宣传和培训，使全校师生员工充分认识到预算绩效管理的重要性和意义，形成了“人人讲绩效、人人懂绩效”的良好氛围。发现的问题及原因：部分绩效目标缺乏顶层设计和整体规划，部门、项目之间缺乏有效衔接，导致绩效预算编制缺乏整体性、系统性。下一步改进措施：加强绩效目标的顶层设计和整体规划，确保部门、项目之间的有效衔接，提高绩效预算编制的整体性、系统性。具体附整体支出绩效自评表，项目支出绩效自评表和评价报告。</w:t>
      </w:r>
    </w:p>
    <w:p w14:paraId="25012DF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6F6C1BC">
        <w:tblPrEx>
          <w:tblCellMar>
            <w:top w:w="0" w:type="dxa"/>
            <w:left w:w="108" w:type="dxa"/>
            <w:bottom w:w="0" w:type="dxa"/>
            <w:right w:w="108" w:type="dxa"/>
          </w:tblCellMar>
        </w:tblPrEx>
        <w:tc>
          <w:tcPr>
            <w:tcW w:w="8840" w:type="dxa"/>
            <w:gridSpan w:val="8"/>
            <w:vAlign w:val="center"/>
          </w:tcPr>
          <w:p w14:paraId="33C03B58">
            <w:pPr>
              <w:jc w:val="center"/>
            </w:pPr>
            <w:r>
              <w:rPr>
                <w:rFonts w:ascii="宋体" w:hAnsi="宋体" w:eastAsia="宋体"/>
                <w:sz w:val="24"/>
              </w:rPr>
              <w:t>单位整体支出绩效自评表</w:t>
            </w:r>
          </w:p>
        </w:tc>
      </w:tr>
      <w:tr w14:paraId="7EC90213">
        <w:tblPrEx>
          <w:tblCellMar>
            <w:top w:w="0" w:type="dxa"/>
            <w:left w:w="108" w:type="dxa"/>
            <w:bottom w:w="0" w:type="dxa"/>
            <w:right w:w="108" w:type="dxa"/>
          </w:tblCellMar>
        </w:tblPrEx>
        <w:tc>
          <w:tcPr>
            <w:tcW w:w="8840" w:type="dxa"/>
            <w:gridSpan w:val="8"/>
            <w:vAlign w:val="center"/>
          </w:tcPr>
          <w:p w14:paraId="3E5354B1">
            <w:pPr>
              <w:jc w:val="center"/>
            </w:pPr>
            <w:r>
              <w:rPr>
                <w:rFonts w:ascii="宋体" w:hAnsi="宋体" w:eastAsia="宋体"/>
                <w:sz w:val="24"/>
              </w:rPr>
              <w:t>（2024年度）</w:t>
            </w:r>
          </w:p>
        </w:tc>
      </w:tr>
      <w:tr w14:paraId="40F15F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A951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18CBB">
            <w:pPr>
              <w:jc w:val="center"/>
            </w:pPr>
            <w:r>
              <w:rPr>
                <w:rFonts w:ascii="宋体" w:hAnsi="宋体" w:eastAsia="宋体"/>
                <w:sz w:val="16"/>
              </w:rPr>
              <w:t>霍城县瞻德中学</w:t>
            </w:r>
          </w:p>
        </w:tc>
      </w:tr>
      <w:tr w14:paraId="7E5F62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990D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89D0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601F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9F35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7F4A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70DB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E97B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8133C">
            <w:pPr>
              <w:jc w:val="center"/>
            </w:pPr>
            <w:r>
              <w:rPr>
                <w:rFonts w:ascii="宋体" w:hAnsi="宋体" w:eastAsia="宋体"/>
                <w:sz w:val="16"/>
              </w:rPr>
              <w:t>得分</w:t>
            </w:r>
          </w:p>
        </w:tc>
      </w:tr>
      <w:tr w14:paraId="4D54BD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4A65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F9DC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B5FB3">
            <w:pPr>
              <w:jc w:val="center"/>
            </w:pPr>
            <w:r>
              <w:rPr>
                <w:rFonts w:ascii="宋体" w:hAnsi="宋体" w:eastAsia="宋体"/>
                <w:sz w:val="16"/>
              </w:rPr>
              <w:t>16,721.56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BC5F6">
            <w:pPr>
              <w:jc w:val="center"/>
            </w:pPr>
            <w:r>
              <w:rPr>
                <w:rFonts w:ascii="宋体" w:hAnsi="宋体" w:eastAsia="宋体"/>
                <w:sz w:val="16"/>
              </w:rPr>
              <w:t>16,777.51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1E995">
            <w:pPr>
              <w:jc w:val="center"/>
            </w:pPr>
            <w:r>
              <w:rPr>
                <w:rFonts w:ascii="宋体" w:hAnsi="宋体" w:eastAsia="宋体"/>
                <w:sz w:val="16"/>
              </w:rPr>
              <w:t>16,777.51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EB17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8D98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BB403">
            <w:pPr>
              <w:jc w:val="center"/>
            </w:pPr>
            <w:r>
              <w:rPr>
                <w:rFonts w:ascii="宋体" w:hAnsi="宋体" w:eastAsia="宋体"/>
                <w:sz w:val="16"/>
              </w:rPr>
              <w:t>10</w:t>
            </w:r>
          </w:p>
        </w:tc>
      </w:tr>
      <w:tr w14:paraId="324C94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6B0B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1E92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022B5">
            <w:pPr>
              <w:jc w:val="center"/>
            </w:pPr>
            <w:r>
              <w:rPr>
                <w:rFonts w:ascii="宋体" w:hAnsi="宋体" w:eastAsia="宋体"/>
                <w:sz w:val="16"/>
              </w:rPr>
              <w:t>2,950.23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6FC9F">
            <w:pPr>
              <w:jc w:val="center"/>
            </w:pPr>
            <w:r>
              <w:rPr>
                <w:rFonts w:ascii="宋体" w:hAnsi="宋体" w:eastAsia="宋体"/>
                <w:sz w:val="16"/>
              </w:rPr>
              <w:t>3,006.18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31E53">
            <w:pPr>
              <w:jc w:val="center"/>
            </w:pPr>
            <w:r>
              <w:rPr>
                <w:rFonts w:ascii="宋体" w:hAnsi="宋体" w:eastAsia="宋体"/>
                <w:sz w:val="16"/>
              </w:rPr>
              <w:t>3,006.18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5A0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BC0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E4037">
            <w:pPr>
              <w:jc w:val="center"/>
            </w:pPr>
            <w:r>
              <w:rPr>
                <w:rFonts w:ascii="宋体" w:hAnsi="宋体" w:eastAsia="宋体"/>
                <w:sz w:val="16"/>
              </w:rPr>
              <w:t>-</w:t>
            </w:r>
          </w:p>
        </w:tc>
      </w:tr>
      <w:tr w14:paraId="5CE33E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6503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FE42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8187B">
            <w:pPr>
              <w:jc w:val="center"/>
            </w:pPr>
            <w:r>
              <w:rPr>
                <w:rFonts w:ascii="宋体" w:hAnsi="宋体" w:eastAsia="宋体"/>
                <w:sz w:val="16"/>
              </w:rPr>
              <w:t>13,771.33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EF108">
            <w:pPr>
              <w:jc w:val="center"/>
            </w:pPr>
            <w:r>
              <w:rPr>
                <w:rFonts w:ascii="宋体" w:hAnsi="宋体" w:eastAsia="宋体"/>
                <w:sz w:val="16"/>
              </w:rPr>
              <w:t>13,771.33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A2AA9">
            <w:pPr>
              <w:jc w:val="center"/>
            </w:pPr>
            <w:r>
              <w:rPr>
                <w:rFonts w:ascii="宋体" w:hAnsi="宋体" w:eastAsia="宋体"/>
                <w:sz w:val="16"/>
              </w:rPr>
              <w:t>13,771.33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F93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90A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5A26E">
            <w:pPr>
              <w:jc w:val="center"/>
            </w:pPr>
            <w:r>
              <w:rPr>
                <w:rFonts w:ascii="宋体" w:hAnsi="宋体" w:eastAsia="宋体"/>
                <w:sz w:val="16"/>
              </w:rPr>
              <w:t>-</w:t>
            </w:r>
          </w:p>
        </w:tc>
      </w:tr>
      <w:tr w14:paraId="3D4102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767E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F632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6163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4A98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739C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FFC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B31C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271B4">
            <w:pPr>
              <w:jc w:val="center"/>
            </w:pPr>
            <w:r>
              <w:rPr>
                <w:rFonts w:ascii="宋体" w:hAnsi="宋体" w:eastAsia="宋体"/>
                <w:sz w:val="16"/>
              </w:rPr>
              <w:t>-</w:t>
            </w:r>
          </w:p>
        </w:tc>
      </w:tr>
      <w:tr w14:paraId="1156FA6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5A6F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6E7EF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E643A2">
            <w:pPr>
              <w:jc w:val="center"/>
            </w:pPr>
            <w:r>
              <w:rPr>
                <w:rFonts w:ascii="宋体" w:hAnsi="宋体" w:eastAsia="宋体"/>
                <w:sz w:val="16"/>
              </w:rPr>
              <w:t>实际完成情况</w:t>
            </w:r>
          </w:p>
        </w:tc>
      </w:tr>
      <w:tr w14:paraId="48BA52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1329C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888E16">
            <w:pPr>
              <w:jc w:val="both"/>
            </w:pPr>
            <w:r>
              <w:rPr>
                <w:rFonts w:ascii="宋体" w:hAnsi="宋体" w:eastAsia="宋体"/>
                <w:sz w:val="16"/>
              </w:rPr>
              <w:t>贯彻落实中央、自治区党委决策部署的各项重大工作决定和安排，一、充分发挥教育经费保障教育发展、推动教育改革、推进教育公平、提高教育质量的政策引领作用，进一步优化结构、深化改革、强化监管，花好每一分钱，把教育经费用到最关键处，切实提高教育经费使用效益。二、完善城乡义务教育经费保障机制，保障小学正常运转，保证学校校舍安全。三、按照</w:t>
            </w:r>
            <w:r>
              <w:rPr>
                <w:rFonts w:hint="eastAsia" w:ascii="宋体" w:hAnsi="宋体"/>
                <w:sz w:val="16"/>
                <w:lang w:eastAsia="zh-CN"/>
              </w:rPr>
              <w:t>加快建设高质量教育体系</w:t>
            </w:r>
            <w:r>
              <w:rPr>
                <w:rFonts w:ascii="宋体" w:hAnsi="宋体" w:eastAsia="宋体"/>
                <w:sz w:val="16"/>
              </w:rPr>
              <w:t>部署要求，全面贯彻党的教育方针，坚持立德树人，健全学校家庭社会协同育人机制，增强学生文明素养、社会责任意识、实践本领，重视青少年身体素质和心理健康教育，加强师德师风建设，培养德智体美劳全面发展的社会主义建设者和接班人。四、加强资源统筹，构建终身教育体系，服务群众终身学习和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663A6B">
            <w:pPr>
              <w:jc w:val="both"/>
            </w:pPr>
            <w:r>
              <w:rPr>
                <w:rFonts w:ascii="宋体" w:hAnsi="宋体" w:eastAsia="宋体"/>
                <w:sz w:val="16"/>
              </w:rPr>
              <w:t>一、2024年学校围绕工作计划，从抓管理、强素质入手，强化德育为先，教学为中心，教研为先导，质量为本的学校育人策略，全面实施素质教育，完成各项教学任务。二、建设一支高素质的师资队伍，培养了一批业务精、敢于担当、勇于奉献的</w:t>
            </w:r>
            <w:r>
              <w:rPr>
                <w:rFonts w:hint="eastAsia" w:ascii="宋体" w:hAnsi="宋体"/>
                <w:sz w:val="16"/>
                <w:lang w:eastAsia="zh-CN"/>
              </w:rPr>
              <w:t>年轻</w:t>
            </w:r>
            <w:r>
              <w:rPr>
                <w:rFonts w:ascii="宋体" w:hAnsi="宋体" w:eastAsia="宋体"/>
                <w:sz w:val="16"/>
              </w:rPr>
              <w:t>教师队伍，为学校可持续发展奠定基础，巩固、提高了教学成果。三及时准确完成全年人员工资福利以及社保等缴费，合理使用公用经费以及工会费，花好每一分钱，把教育经费用到最关键处，切实提高了教育经费使用效益。</w:t>
            </w:r>
          </w:p>
        </w:tc>
      </w:tr>
      <w:tr w14:paraId="29FBC21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9B51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7A04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E2DD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4041D">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AE1E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C924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6F7F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4AF4B">
            <w:pPr>
              <w:jc w:val="center"/>
            </w:pPr>
            <w:r>
              <w:rPr>
                <w:rFonts w:ascii="宋体" w:hAnsi="宋体" w:eastAsia="宋体"/>
                <w:sz w:val="16"/>
              </w:rPr>
              <w:t>得分</w:t>
            </w:r>
          </w:p>
        </w:tc>
      </w:tr>
      <w:tr w14:paraId="7068F2B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0451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0BBF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7A23B">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D6BD3">
            <w:pPr>
              <w:jc w:val="center"/>
            </w:pPr>
            <w:r>
              <w:rPr>
                <w:rFonts w:ascii="宋体" w:hAnsi="宋体" w:eastAsia="宋体"/>
                <w:sz w:val="16"/>
              </w:rPr>
              <w:t>&gt;=99%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62C08">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A60FF">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B732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F07E2">
            <w:pPr>
              <w:jc w:val="center"/>
            </w:pPr>
            <w:r>
              <w:rPr>
                <w:rFonts w:ascii="宋体" w:hAnsi="宋体" w:eastAsia="宋体"/>
                <w:sz w:val="16"/>
              </w:rPr>
              <w:t>12</w:t>
            </w:r>
          </w:p>
        </w:tc>
      </w:tr>
      <w:tr w14:paraId="29DEF8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D719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FA7D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4F428">
            <w:pPr>
              <w:jc w:val="center"/>
            </w:pPr>
            <w:r>
              <w:rPr>
                <w:rFonts w:ascii="宋体" w:hAnsi="宋体" w:eastAsia="宋体"/>
                <w:sz w:val="16"/>
              </w:rPr>
              <w:t>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B770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69997">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0A38D">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F9AF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94315">
            <w:pPr>
              <w:jc w:val="center"/>
            </w:pPr>
            <w:r>
              <w:rPr>
                <w:rFonts w:ascii="宋体" w:hAnsi="宋体" w:eastAsia="宋体"/>
                <w:sz w:val="16"/>
              </w:rPr>
              <w:t>12</w:t>
            </w:r>
          </w:p>
        </w:tc>
      </w:tr>
      <w:tr w14:paraId="437866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BA7E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CCC12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53DEF">
            <w:pPr>
              <w:jc w:val="center"/>
            </w:pPr>
            <w:r>
              <w:rPr>
                <w:rFonts w:ascii="宋体" w:hAnsi="宋体" w:eastAsia="宋体"/>
                <w:sz w:val="16"/>
              </w:rPr>
              <w:t>残疾儿童少年入学率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3BA23">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42C4C">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8A7C4">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FE7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0CB5E">
            <w:pPr>
              <w:jc w:val="center"/>
            </w:pPr>
            <w:r>
              <w:rPr>
                <w:rFonts w:ascii="宋体" w:hAnsi="宋体" w:eastAsia="宋体"/>
                <w:sz w:val="16"/>
              </w:rPr>
              <w:t>12</w:t>
            </w:r>
          </w:p>
        </w:tc>
      </w:tr>
      <w:tr w14:paraId="645951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FF1D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3F1E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A56A8">
            <w:pPr>
              <w:jc w:val="center"/>
            </w:pPr>
            <w:r>
              <w:rPr>
                <w:rFonts w:ascii="宋体" w:hAnsi="宋体" w:eastAsia="宋体"/>
                <w:sz w:val="16"/>
              </w:rPr>
              <w:t>消除义务教育大班额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03C1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A64B0">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15A68">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EF6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5E583">
            <w:pPr>
              <w:jc w:val="center"/>
            </w:pPr>
            <w:r>
              <w:rPr>
                <w:rFonts w:ascii="宋体" w:hAnsi="宋体" w:eastAsia="宋体"/>
                <w:sz w:val="16"/>
              </w:rPr>
              <w:t>12</w:t>
            </w:r>
          </w:p>
        </w:tc>
      </w:tr>
      <w:tr w14:paraId="50D16E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3B7FE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6817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81BE5">
            <w:pPr>
              <w:jc w:val="center"/>
            </w:pPr>
            <w:r>
              <w:rPr>
                <w:rFonts w:ascii="宋体" w:hAnsi="宋体" w:eastAsia="宋体"/>
                <w:sz w:val="16"/>
              </w:rPr>
              <w:t>强化控辍保学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737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C7A92">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82C81">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F10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16F26">
            <w:pPr>
              <w:jc w:val="center"/>
            </w:pPr>
            <w:r>
              <w:rPr>
                <w:rFonts w:ascii="宋体" w:hAnsi="宋体" w:eastAsia="宋体"/>
                <w:sz w:val="16"/>
              </w:rPr>
              <w:t>12</w:t>
            </w:r>
          </w:p>
        </w:tc>
      </w:tr>
      <w:tr w14:paraId="367D73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30EBF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1DD0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E5802">
            <w:pPr>
              <w:jc w:val="center"/>
            </w:pPr>
            <w:r>
              <w:rPr>
                <w:rFonts w:ascii="宋体" w:hAnsi="宋体" w:eastAsia="宋体"/>
                <w:sz w:val="16"/>
              </w:rPr>
              <w:t>国家通用语言文字教育教学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CEC9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1505F">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5CE7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E58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AFEC6">
            <w:pPr>
              <w:jc w:val="center"/>
            </w:pPr>
            <w:r>
              <w:rPr>
                <w:rFonts w:ascii="宋体" w:hAnsi="宋体" w:eastAsia="宋体"/>
                <w:sz w:val="16"/>
              </w:rPr>
              <w:t>15</w:t>
            </w:r>
          </w:p>
        </w:tc>
      </w:tr>
      <w:tr w14:paraId="532A86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42D09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87A9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996A1">
            <w:pPr>
              <w:jc w:val="center"/>
            </w:pPr>
            <w:r>
              <w:rPr>
                <w:rFonts w:ascii="宋体" w:hAnsi="宋体" w:eastAsia="宋体"/>
                <w:sz w:val="16"/>
              </w:rPr>
              <w:t>义务教育优质均衡率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116C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F0F5F">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BAEB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648E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B791F">
            <w:pPr>
              <w:jc w:val="center"/>
            </w:pPr>
            <w:r>
              <w:rPr>
                <w:rFonts w:ascii="宋体" w:hAnsi="宋体" w:eastAsia="宋体"/>
                <w:sz w:val="16"/>
              </w:rPr>
              <w:t>15</w:t>
            </w:r>
          </w:p>
        </w:tc>
      </w:tr>
    </w:tbl>
    <w:p w14:paraId="39F58E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483"/>
        <w:gridCol w:w="149"/>
        <w:gridCol w:w="632"/>
        <w:gridCol w:w="632"/>
        <w:gridCol w:w="632"/>
      </w:tblGrid>
      <w:tr w14:paraId="3EDE279B">
        <w:tblPrEx>
          <w:tblCellMar>
            <w:top w:w="0" w:type="dxa"/>
            <w:left w:w="108" w:type="dxa"/>
            <w:bottom w:w="0" w:type="dxa"/>
            <w:right w:w="108" w:type="dxa"/>
          </w:tblCellMar>
        </w:tblPrEx>
        <w:tc>
          <w:tcPr>
            <w:tcW w:w="8848" w:type="dxa"/>
            <w:gridSpan w:val="15"/>
            <w:vAlign w:val="center"/>
          </w:tcPr>
          <w:p w14:paraId="14A9247A">
            <w:pPr>
              <w:jc w:val="center"/>
            </w:pPr>
            <w:r>
              <w:rPr>
                <w:rFonts w:ascii="宋体" w:hAnsi="宋体" w:eastAsia="宋体"/>
                <w:sz w:val="24"/>
              </w:rPr>
              <w:t>项目支出绩效自评表</w:t>
            </w:r>
          </w:p>
        </w:tc>
      </w:tr>
      <w:tr w14:paraId="653B5E0C">
        <w:tblPrEx>
          <w:tblCellMar>
            <w:top w:w="0" w:type="dxa"/>
            <w:left w:w="108" w:type="dxa"/>
            <w:bottom w:w="0" w:type="dxa"/>
            <w:right w:w="108" w:type="dxa"/>
          </w:tblCellMar>
        </w:tblPrEx>
        <w:tc>
          <w:tcPr>
            <w:tcW w:w="8848" w:type="dxa"/>
            <w:gridSpan w:val="15"/>
            <w:vAlign w:val="center"/>
          </w:tcPr>
          <w:p w14:paraId="64252AB4">
            <w:pPr>
              <w:jc w:val="center"/>
            </w:pPr>
            <w:r>
              <w:rPr>
                <w:rFonts w:ascii="宋体" w:hAnsi="宋体" w:eastAsia="宋体"/>
                <w:sz w:val="24"/>
              </w:rPr>
              <w:t>(2024年度)</w:t>
            </w:r>
          </w:p>
        </w:tc>
      </w:tr>
      <w:tr w14:paraId="187C0A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E863">
            <w:pPr>
              <w:jc w:val="center"/>
            </w:pPr>
            <w:r>
              <w:rPr>
                <w:rFonts w:ascii="宋体" w:hAnsi="宋体" w:eastAsia="宋体"/>
                <w:sz w:val="16"/>
              </w:rPr>
              <w:t>项目名称</w:t>
            </w:r>
          </w:p>
        </w:tc>
        <w:tc>
          <w:tcPr>
            <w:tcW w:w="821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BC75377">
            <w:pPr>
              <w:jc w:val="center"/>
            </w:pPr>
            <w:r>
              <w:rPr>
                <w:rFonts w:ascii="宋体" w:hAnsi="宋体" w:eastAsia="宋体"/>
                <w:sz w:val="16"/>
              </w:rPr>
              <w:t>天山英才培养计划</w:t>
            </w:r>
          </w:p>
        </w:tc>
      </w:tr>
      <w:tr w14:paraId="1019CA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7D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92BE8">
            <w:pPr>
              <w:jc w:val="center"/>
            </w:pPr>
            <w:r>
              <w:rPr>
                <w:rFonts w:ascii="宋体" w:hAnsi="宋体" w:eastAsia="宋体"/>
                <w:sz w:val="16"/>
              </w:rPr>
              <w:t>霍城县瞻德中学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F619">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EB8B23">
            <w:pPr>
              <w:jc w:val="center"/>
            </w:pPr>
            <w:r>
              <w:rPr>
                <w:rFonts w:ascii="宋体" w:hAnsi="宋体" w:eastAsia="宋体"/>
                <w:sz w:val="16"/>
              </w:rPr>
              <w:t>霍城县瞻德中学</w:t>
            </w:r>
          </w:p>
        </w:tc>
      </w:tr>
      <w:tr w14:paraId="431757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C0B7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4BF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7BC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5DA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701D9">
            <w:pPr>
              <w:jc w:val="center"/>
            </w:pPr>
            <w:r>
              <w:rPr>
                <w:rFonts w:ascii="宋体" w:hAnsi="宋体" w:eastAsia="宋体"/>
                <w:sz w:val="16"/>
              </w:rPr>
              <w:t>全年执行数</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4A91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697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2588">
            <w:pPr>
              <w:jc w:val="center"/>
            </w:pPr>
            <w:r>
              <w:rPr>
                <w:rFonts w:ascii="宋体" w:hAnsi="宋体" w:eastAsia="宋体"/>
                <w:sz w:val="16"/>
              </w:rPr>
              <w:t>得分</w:t>
            </w:r>
          </w:p>
        </w:tc>
      </w:tr>
      <w:tr w14:paraId="1E139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3B4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3C9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A5B5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87EE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A226B">
            <w:pPr>
              <w:jc w:val="center"/>
            </w:pPr>
            <w:r>
              <w:rPr>
                <w:rFonts w:ascii="宋体" w:hAnsi="宋体" w:eastAsia="宋体"/>
                <w:sz w:val="16"/>
              </w:rPr>
              <w:t>20.00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C849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006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83D2">
            <w:pPr>
              <w:jc w:val="center"/>
            </w:pPr>
            <w:r>
              <w:rPr>
                <w:rFonts w:ascii="宋体" w:hAnsi="宋体" w:eastAsia="宋体"/>
                <w:sz w:val="16"/>
              </w:rPr>
              <w:t>10.00</w:t>
            </w:r>
          </w:p>
        </w:tc>
      </w:tr>
      <w:tr w14:paraId="799BC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269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55B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7FB5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B5E1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C8B45">
            <w:pPr>
              <w:jc w:val="center"/>
            </w:pPr>
            <w:r>
              <w:rPr>
                <w:rFonts w:ascii="宋体" w:hAnsi="宋体" w:eastAsia="宋体"/>
                <w:sz w:val="16"/>
              </w:rPr>
              <w:t>20.00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E95B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7D0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581E">
            <w:pPr>
              <w:jc w:val="center"/>
            </w:pPr>
            <w:r>
              <w:rPr>
                <w:rFonts w:ascii="宋体" w:hAnsi="宋体" w:eastAsia="宋体"/>
                <w:sz w:val="16"/>
              </w:rPr>
              <w:t>—</w:t>
            </w:r>
          </w:p>
        </w:tc>
      </w:tr>
      <w:tr w14:paraId="0212C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79C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B0A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2E5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D7D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F3D04">
            <w:pPr>
              <w:jc w:val="center"/>
            </w:pPr>
            <w:r>
              <w:rPr>
                <w:rFonts w:ascii="宋体" w:hAnsi="宋体" w:eastAsia="宋体"/>
                <w:sz w:val="16"/>
              </w:rPr>
              <w:t>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FE94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DCF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B891">
            <w:pPr>
              <w:jc w:val="center"/>
            </w:pPr>
            <w:r>
              <w:rPr>
                <w:rFonts w:ascii="宋体" w:hAnsi="宋体" w:eastAsia="宋体"/>
                <w:sz w:val="16"/>
              </w:rPr>
              <w:t>—</w:t>
            </w:r>
          </w:p>
        </w:tc>
      </w:tr>
      <w:tr w14:paraId="572D36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CE11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1E0C8E">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5917A">
            <w:pPr>
              <w:jc w:val="center"/>
            </w:pPr>
            <w:r>
              <w:rPr>
                <w:rFonts w:ascii="宋体" w:hAnsi="宋体" w:eastAsia="宋体"/>
                <w:sz w:val="16"/>
              </w:rPr>
              <w:t>实际完成情况</w:t>
            </w:r>
          </w:p>
        </w:tc>
      </w:tr>
      <w:tr w14:paraId="64220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A42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3C455">
            <w:pPr>
              <w:jc w:val="both"/>
            </w:pPr>
            <w:r>
              <w:rPr>
                <w:rFonts w:ascii="宋体" w:hAnsi="宋体" w:eastAsia="宋体"/>
                <w:sz w:val="16"/>
              </w:rPr>
              <w:t>为了改善受援学校办学教育管理水平，进一步提高乡村教师队伍素质，切实推进霍城县基础教育事业发展。根据文件精神要求培养教育教学名师，按计划培养教育教学名师。</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C1A2CB">
            <w:pPr>
              <w:jc w:val="both"/>
            </w:pPr>
            <w:r>
              <w:rPr>
                <w:rFonts w:ascii="宋体" w:hAnsi="宋体" w:eastAsia="宋体"/>
                <w:sz w:val="16"/>
              </w:rPr>
              <w:t>完成组建教学团队1个，完成示范公开课3节。强化教师专业能力提升成员教师教学水平，形成优秀教案及课件。</w:t>
            </w:r>
          </w:p>
        </w:tc>
      </w:tr>
      <w:tr w14:paraId="3FF1D4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8C8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5B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8E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1C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6A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F51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98B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CA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87A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8F4C">
            <w:pPr>
              <w:jc w:val="center"/>
            </w:pPr>
            <w:r>
              <w:rPr>
                <w:rFonts w:ascii="宋体" w:hAnsi="宋体" w:eastAsia="宋体"/>
                <w:sz w:val="16"/>
              </w:rPr>
              <w:t>指标值设定依据</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25E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40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18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212E">
            <w:pPr>
              <w:jc w:val="center"/>
            </w:pPr>
            <w:r>
              <w:rPr>
                <w:rFonts w:ascii="宋体" w:hAnsi="宋体" w:eastAsia="宋体"/>
                <w:sz w:val="16"/>
              </w:rPr>
              <w:t>偏差原因分析及改进措施</w:t>
            </w:r>
          </w:p>
        </w:tc>
      </w:tr>
      <w:tr w14:paraId="120B61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524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514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E84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5C23">
            <w:pPr>
              <w:jc w:val="center"/>
            </w:pPr>
            <w:r>
              <w:rPr>
                <w:rFonts w:ascii="宋体" w:hAnsi="宋体" w:eastAsia="宋体"/>
                <w:sz w:val="16"/>
              </w:rPr>
              <w:t>组建教学团队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6F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961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2CD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D8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50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A5F3">
            <w:pPr>
              <w:jc w:val="center"/>
            </w:pPr>
            <w:r>
              <w:rPr>
                <w:rFonts w:ascii="宋体" w:hAnsi="宋体" w:eastAsia="宋体"/>
                <w:sz w:val="16"/>
              </w:rPr>
              <w:t>计划标准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B46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B2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9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7E29">
            <w:pPr>
              <w:jc w:val="center"/>
            </w:pPr>
          </w:p>
        </w:tc>
      </w:tr>
      <w:tr w14:paraId="0FDD7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42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64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60F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2B2A">
            <w:pPr>
              <w:jc w:val="center"/>
            </w:pPr>
            <w:r>
              <w:rPr>
                <w:rFonts w:ascii="宋体" w:hAnsi="宋体" w:eastAsia="宋体"/>
                <w:sz w:val="16"/>
              </w:rPr>
              <w:t>公开示范课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76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B29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B1C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F988">
            <w:pPr>
              <w:jc w:val="center"/>
            </w:pPr>
            <w:r>
              <w:rPr>
                <w:rFonts w:ascii="宋体" w:hAnsi="宋体" w:eastAsia="宋体"/>
                <w:sz w:val="16"/>
              </w:rPr>
              <w:t>150%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29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B3EA">
            <w:pPr>
              <w:jc w:val="center"/>
            </w:pPr>
            <w:r>
              <w:rPr>
                <w:rFonts w:ascii="宋体" w:hAnsi="宋体" w:eastAsia="宋体"/>
                <w:sz w:val="16"/>
              </w:rPr>
              <w:t>计划标准</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12634700">
            <w:pPr>
              <w:jc w:val="center"/>
            </w:pPr>
            <w:r>
              <w:rPr>
                <w:rFonts w:ascii="宋体" w:hAnsi="宋体" w:eastAsia="宋体"/>
                <w:sz w:val="16"/>
              </w:rPr>
              <w:t>-</w:t>
            </w:r>
          </w:p>
        </w:tc>
        <w:tc>
          <w:tcPr>
            <w:tcW w:w="7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A46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3B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EE14">
            <w:pPr>
              <w:jc w:val="center"/>
            </w:pPr>
            <w:r>
              <w:rPr>
                <w:rFonts w:ascii="宋体" w:hAnsi="宋体" w:eastAsia="宋体"/>
                <w:sz w:val="16"/>
              </w:rPr>
              <w:t>偏差原因：年初计划报2节课，但在实际运行过程中发现时间宽裕多研出一节课。改进措施：下年度从严从高设置指标目标值。</w:t>
            </w:r>
          </w:p>
        </w:tc>
      </w:tr>
      <w:tr w14:paraId="17CCD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4A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19D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C6B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02FE">
            <w:pPr>
              <w:jc w:val="center"/>
            </w:pPr>
            <w:r>
              <w:rPr>
                <w:rFonts w:ascii="宋体" w:hAnsi="宋体" w:eastAsia="宋体"/>
                <w:sz w:val="16"/>
              </w:rPr>
              <w:t>组件教学团队完成率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8A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B65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B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B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C9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5A10">
            <w:pPr>
              <w:jc w:val="center"/>
            </w:pPr>
            <w:r>
              <w:rPr>
                <w:rFonts w:ascii="宋体" w:hAnsi="宋体" w:eastAsia="宋体"/>
                <w:sz w:val="16"/>
              </w:rPr>
              <w:t>计划标准</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7861DA25">
            <w:pPr>
              <w:jc w:val="center"/>
            </w:pPr>
            <w:r>
              <w:rPr>
                <w:rFonts w:ascii="宋体" w:hAnsi="宋体" w:eastAsia="宋体"/>
                <w:sz w:val="16"/>
              </w:rPr>
              <w:t>-</w:t>
            </w:r>
          </w:p>
        </w:tc>
        <w:tc>
          <w:tcPr>
            <w:tcW w:w="7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5DF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FA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303B8">
            <w:pPr>
              <w:jc w:val="center"/>
            </w:pPr>
          </w:p>
        </w:tc>
      </w:tr>
      <w:tr w14:paraId="18430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C1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69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3EB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B243">
            <w:pPr>
              <w:jc w:val="center"/>
            </w:pPr>
            <w:r>
              <w:rPr>
                <w:rFonts w:ascii="宋体" w:hAnsi="宋体" w:eastAsia="宋体"/>
                <w:sz w:val="16"/>
              </w:rPr>
              <w:t>公开课完成率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43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3B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84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46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7D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016D">
            <w:pPr>
              <w:jc w:val="center"/>
            </w:pPr>
            <w:r>
              <w:rPr>
                <w:rFonts w:ascii="宋体" w:hAnsi="宋体" w:eastAsia="宋体"/>
                <w:sz w:val="16"/>
              </w:rPr>
              <w:t>计划标准</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6F1BD274">
            <w:pPr>
              <w:jc w:val="center"/>
            </w:pPr>
            <w:r>
              <w:rPr>
                <w:rFonts w:ascii="宋体" w:hAnsi="宋体" w:eastAsia="宋体"/>
                <w:sz w:val="16"/>
              </w:rPr>
              <w:t>-</w:t>
            </w:r>
          </w:p>
        </w:tc>
        <w:tc>
          <w:tcPr>
            <w:tcW w:w="7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AE3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BE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8574">
            <w:pPr>
              <w:jc w:val="center"/>
            </w:pPr>
          </w:p>
        </w:tc>
      </w:tr>
      <w:tr w14:paraId="57BC5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2DF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595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3A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B543">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37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38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4B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3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64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2C28">
            <w:pPr>
              <w:jc w:val="center"/>
            </w:pPr>
            <w:r>
              <w:rPr>
                <w:rFonts w:ascii="宋体" w:hAnsi="宋体" w:eastAsia="宋体"/>
                <w:sz w:val="16"/>
              </w:rPr>
              <w:t>计划标准</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6E9A0F4A">
            <w:pPr>
              <w:jc w:val="center"/>
            </w:pPr>
            <w:r>
              <w:rPr>
                <w:rFonts w:ascii="宋体" w:hAnsi="宋体" w:eastAsia="宋体"/>
                <w:sz w:val="16"/>
              </w:rPr>
              <w:t>-</w:t>
            </w:r>
          </w:p>
        </w:tc>
        <w:tc>
          <w:tcPr>
            <w:tcW w:w="7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3E3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5F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A252">
            <w:pPr>
              <w:jc w:val="center"/>
            </w:pPr>
          </w:p>
        </w:tc>
      </w:tr>
      <w:tr w14:paraId="63C3C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158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2825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707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C98C">
            <w:pPr>
              <w:jc w:val="center"/>
            </w:pPr>
            <w:r>
              <w:rPr>
                <w:rFonts w:ascii="宋体" w:hAnsi="宋体" w:eastAsia="宋体"/>
                <w:sz w:val="16"/>
              </w:rPr>
              <w:t>个人生活补助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3E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3EAF">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485F">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13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D9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8314">
            <w:pPr>
              <w:jc w:val="center"/>
            </w:pPr>
            <w:r>
              <w:rPr>
                <w:rFonts w:ascii="宋体" w:hAnsi="宋体" w:eastAsia="宋体"/>
                <w:sz w:val="16"/>
              </w:rPr>
              <w:t>计划标准</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140D8D34">
            <w:pPr>
              <w:jc w:val="center"/>
            </w:pPr>
            <w:r>
              <w:rPr>
                <w:rFonts w:ascii="宋体" w:hAnsi="宋体" w:eastAsia="宋体"/>
                <w:sz w:val="16"/>
              </w:rPr>
              <w:t>-</w:t>
            </w:r>
          </w:p>
        </w:tc>
        <w:tc>
          <w:tcPr>
            <w:tcW w:w="7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D1D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20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D0F7">
            <w:pPr>
              <w:jc w:val="center"/>
            </w:pPr>
          </w:p>
        </w:tc>
      </w:tr>
      <w:tr w14:paraId="79F81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9C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E28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D47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6E6A">
            <w:pPr>
              <w:jc w:val="center"/>
            </w:pPr>
            <w:r>
              <w:rPr>
                <w:rFonts w:ascii="宋体" w:hAnsi="宋体" w:eastAsia="宋体"/>
                <w:sz w:val="16"/>
              </w:rPr>
              <w:t>业务使用经费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D1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06F2">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74FA">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77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EC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B65D">
            <w:pPr>
              <w:jc w:val="center"/>
            </w:pPr>
            <w:r>
              <w:rPr>
                <w:rFonts w:ascii="宋体" w:hAnsi="宋体" w:eastAsia="宋体"/>
                <w:sz w:val="16"/>
              </w:rPr>
              <w:t>计划标准</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3820BCFC">
            <w:pPr>
              <w:jc w:val="center"/>
            </w:pPr>
            <w:r>
              <w:rPr>
                <w:rFonts w:ascii="宋体" w:hAnsi="宋体" w:eastAsia="宋体"/>
                <w:sz w:val="16"/>
              </w:rPr>
              <w:t>-</w:t>
            </w:r>
          </w:p>
        </w:tc>
        <w:tc>
          <w:tcPr>
            <w:tcW w:w="7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6C7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4B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2631">
            <w:pPr>
              <w:jc w:val="center"/>
            </w:pPr>
          </w:p>
        </w:tc>
      </w:tr>
      <w:tr w14:paraId="0CA74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019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76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83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D039">
            <w:pPr>
              <w:jc w:val="center"/>
            </w:pPr>
            <w:r>
              <w:rPr>
                <w:rFonts w:ascii="宋体" w:hAnsi="宋体" w:eastAsia="宋体"/>
                <w:sz w:val="16"/>
              </w:rPr>
              <w:t>提高地区教师教育教学专业水平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5FA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ECD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62D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9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3CA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64E3">
            <w:pPr>
              <w:jc w:val="center"/>
            </w:pPr>
            <w:r>
              <w:rPr>
                <w:rFonts w:ascii="宋体" w:hAnsi="宋体" w:eastAsia="宋体"/>
                <w:sz w:val="16"/>
              </w:rPr>
              <w:t>计划标准</w:t>
            </w:r>
          </w:p>
        </w:tc>
        <w:tc>
          <w:tcPr>
            <w:tcW w:w="483" w:type="dxa"/>
            <w:tcBorders>
              <w:top w:val="single" w:color="auto" w:sz="10" w:space="0"/>
              <w:left w:val="single" w:color="auto" w:sz="10" w:space="0"/>
              <w:bottom w:val="single" w:color="auto" w:sz="10" w:space="0"/>
              <w:right w:val="single" w:color="auto" w:sz="10" w:space="0"/>
              <w:insideV w:val="single" w:sz="10" w:space="0"/>
            </w:tcBorders>
            <w:vAlign w:val="center"/>
          </w:tcPr>
          <w:p w14:paraId="75CB575E">
            <w:pPr>
              <w:jc w:val="center"/>
            </w:pPr>
            <w:r>
              <w:rPr>
                <w:rFonts w:ascii="宋体" w:hAnsi="宋体" w:eastAsia="宋体"/>
                <w:sz w:val="16"/>
              </w:rPr>
              <w:t>-</w:t>
            </w:r>
          </w:p>
        </w:tc>
        <w:tc>
          <w:tcPr>
            <w:tcW w:w="7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957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76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B82B">
            <w:pPr>
              <w:jc w:val="center"/>
            </w:pPr>
          </w:p>
        </w:tc>
      </w:tr>
      <w:tr w14:paraId="41ED2AE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98A8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7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7C47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C24D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22B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ADA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04D61A"/>
        </w:tc>
        <w:tc>
          <w:tcPr>
            <w:tcW w:w="483" w:type="dxa"/>
            <w:tcBorders>
              <w:top w:val="single" w:color="auto" w:sz="10" w:space="0"/>
              <w:left w:val="single" w:color="auto" w:sz="10" w:space="0"/>
              <w:bottom w:val="single" w:color="auto" w:sz="10" w:space="0"/>
              <w:right w:val="single" w:color="auto" w:sz="10" w:space="0"/>
              <w:insideV w:val="single" w:sz="10" w:space="0"/>
            </w:tcBorders>
          </w:tcPr>
          <w:p w14:paraId="25E919B5"/>
        </w:tc>
        <w:tc>
          <w:tcPr>
            <w:tcW w:w="781" w:type="dxa"/>
            <w:gridSpan w:val="2"/>
            <w:tcBorders>
              <w:top w:val="single" w:color="auto" w:sz="10" w:space="0"/>
              <w:left w:val="single" w:color="auto" w:sz="10" w:space="0"/>
              <w:bottom w:val="single" w:color="auto" w:sz="10" w:space="0"/>
              <w:right w:val="single" w:color="auto" w:sz="10" w:space="0"/>
              <w:insideV w:val="single" w:sz="10" w:space="0"/>
            </w:tcBorders>
          </w:tcPr>
          <w:p w14:paraId="2A3024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43E7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A089E3"/>
        </w:tc>
      </w:tr>
    </w:tbl>
    <w:p w14:paraId="25CCCB66">
      <w:r>
        <w:br w:type="page"/>
      </w:r>
    </w:p>
    <w:p w14:paraId="53AB0063">
      <w:pPr>
        <w:spacing w:line="640" w:lineRule="exact"/>
        <w:ind w:firstLine="640"/>
        <w:jc w:val="both"/>
        <w:outlineLvl w:val="2"/>
      </w:pPr>
      <w:r>
        <w:rPr>
          <w:rFonts w:ascii="黑体" w:hAnsi="黑体" w:eastAsia="黑体"/>
          <w:sz w:val="32"/>
        </w:rPr>
        <w:t>十二、其他需说明的事项</w:t>
      </w:r>
    </w:p>
    <w:p w14:paraId="2D0DF4D0">
      <w:pPr>
        <w:spacing w:line="580" w:lineRule="exact"/>
        <w:ind w:firstLine="640"/>
        <w:jc w:val="both"/>
      </w:pPr>
      <w:r>
        <w:rPr>
          <w:rFonts w:ascii="仿宋_GB2312" w:hAnsi="仿宋_GB2312" w:eastAsia="仿宋_GB2312"/>
          <w:b w:val="0"/>
          <w:sz w:val="32"/>
        </w:rPr>
        <w:t>本单位无其他需说明的事项。</w:t>
      </w:r>
    </w:p>
    <w:p w14:paraId="446D66ED">
      <w:r>
        <w:br w:type="page"/>
      </w:r>
    </w:p>
    <w:p w14:paraId="274F6FB4">
      <w:pPr>
        <w:spacing w:line="240" w:lineRule="auto"/>
        <w:jc w:val="center"/>
        <w:outlineLvl w:val="1"/>
      </w:pPr>
      <w:r>
        <w:rPr>
          <w:rFonts w:ascii="黑体" w:hAnsi="黑体" w:eastAsia="黑体"/>
          <w:sz w:val="32"/>
        </w:rPr>
        <w:t>第三部分 专业名词解释</w:t>
      </w:r>
    </w:p>
    <w:p w14:paraId="0D2C26C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7454B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F55E11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D38D6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176B3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98B3C9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E47F7E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E2DB62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58E94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69785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F2B30C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7506FB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5123E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199E0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BC322A">
      <w:r>
        <w:br w:type="page"/>
      </w:r>
    </w:p>
    <w:p w14:paraId="3EA1D893">
      <w:pPr>
        <w:spacing w:line="240" w:lineRule="auto"/>
        <w:jc w:val="center"/>
        <w:outlineLvl w:val="1"/>
      </w:pPr>
      <w:r>
        <w:rPr>
          <w:rFonts w:ascii="黑体" w:hAnsi="黑体" w:eastAsia="黑体"/>
          <w:sz w:val="32"/>
        </w:rPr>
        <w:t>第四部分 部门决算报表（见附表）</w:t>
      </w:r>
    </w:p>
    <w:p w14:paraId="32AFACD6">
      <w:pPr>
        <w:spacing w:line="240" w:lineRule="auto"/>
        <w:ind w:firstLine="640"/>
        <w:jc w:val="both"/>
      </w:pPr>
      <w:r>
        <w:rPr>
          <w:rFonts w:ascii="仿宋_GB2312" w:hAnsi="仿宋_GB2312" w:eastAsia="仿宋_GB2312"/>
          <w:b w:val="0"/>
          <w:sz w:val="32"/>
        </w:rPr>
        <w:t>一、《收入支出决算总表》</w:t>
      </w:r>
    </w:p>
    <w:p w14:paraId="5B2D8322">
      <w:pPr>
        <w:spacing w:line="240" w:lineRule="auto"/>
        <w:ind w:firstLine="640"/>
        <w:jc w:val="both"/>
      </w:pPr>
      <w:r>
        <w:rPr>
          <w:rFonts w:ascii="仿宋_GB2312" w:hAnsi="仿宋_GB2312" w:eastAsia="仿宋_GB2312"/>
          <w:b w:val="0"/>
          <w:sz w:val="32"/>
        </w:rPr>
        <w:t>二、《收入决算表》</w:t>
      </w:r>
    </w:p>
    <w:p w14:paraId="4CA3AC6B">
      <w:pPr>
        <w:spacing w:line="240" w:lineRule="auto"/>
        <w:ind w:firstLine="640"/>
        <w:jc w:val="both"/>
      </w:pPr>
      <w:r>
        <w:rPr>
          <w:rFonts w:ascii="仿宋_GB2312" w:hAnsi="仿宋_GB2312" w:eastAsia="仿宋_GB2312"/>
          <w:b w:val="0"/>
          <w:sz w:val="32"/>
        </w:rPr>
        <w:t>三、《支出决算表》</w:t>
      </w:r>
    </w:p>
    <w:p w14:paraId="365F9706">
      <w:pPr>
        <w:spacing w:line="240" w:lineRule="auto"/>
        <w:ind w:firstLine="640"/>
        <w:jc w:val="both"/>
      </w:pPr>
      <w:r>
        <w:rPr>
          <w:rFonts w:ascii="仿宋_GB2312" w:hAnsi="仿宋_GB2312" w:eastAsia="仿宋_GB2312"/>
          <w:b w:val="0"/>
          <w:sz w:val="32"/>
        </w:rPr>
        <w:t>四、《财政拨款收入支出决算总表》</w:t>
      </w:r>
    </w:p>
    <w:p w14:paraId="48B080F4">
      <w:pPr>
        <w:spacing w:line="240" w:lineRule="auto"/>
        <w:ind w:firstLine="640"/>
        <w:jc w:val="both"/>
      </w:pPr>
      <w:r>
        <w:rPr>
          <w:rFonts w:ascii="仿宋_GB2312" w:hAnsi="仿宋_GB2312" w:eastAsia="仿宋_GB2312"/>
          <w:b w:val="0"/>
          <w:sz w:val="32"/>
        </w:rPr>
        <w:t>五、《一般公共预算财政拨款支出决算表》</w:t>
      </w:r>
    </w:p>
    <w:p w14:paraId="21623E66">
      <w:pPr>
        <w:spacing w:line="240" w:lineRule="auto"/>
        <w:ind w:firstLine="640"/>
        <w:jc w:val="both"/>
      </w:pPr>
      <w:r>
        <w:rPr>
          <w:rFonts w:ascii="仿宋_GB2312" w:hAnsi="仿宋_GB2312" w:eastAsia="仿宋_GB2312"/>
          <w:b w:val="0"/>
          <w:sz w:val="32"/>
        </w:rPr>
        <w:t>六、《一般公共预算财政拨款基本支出决算表》</w:t>
      </w:r>
    </w:p>
    <w:p w14:paraId="06189083">
      <w:pPr>
        <w:spacing w:line="240" w:lineRule="auto"/>
        <w:ind w:firstLine="640"/>
        <w:jc w:val="both"/>
      </w:pPr>
      <w:r>
        <w:rPr>
          <w:rFonts w:ascii="仿宋_GB2312" w:hAnsi="仿宋_GB2312" w:eastAsia="仿宋_GB2312"/>
          <w:b w:val="0"/>
          <w:sz w:val="32"/>
        </w:rPr>
        <w:t>七、《政府性基金预算财政拨款收入支出决算表》</w:t>
      </w:r>
    </w:p>
    <w:p w14:paraId="64A68E9E">
      <w:pPr>
        <w:spacing w:line="240" w:lineRule="auto"/>
        <w:ind w:firstLine="640"/>
        <w:jc w:val="both"/>
      </w:pPr>
      <w:r>
        <w:rPr>
          <w:rFonts w:ascii="仿宋_GB2312" w:hAnsi="仿宋_GB2312" w:eastAsia="仿宋_GB2312"/>
          <w:b w:val="0"/>
          <w:sz w:val="32"/>
        </w:rPr>
        <w:t>八、《国有资本经营预算财政拨款收入支出决算表》</w:t>
      </w:r>
    </w:p>
    <w:p w14:paraId="5A50E85A">
      <w:pPr>
        <w:spacing w:line="240" w:lineRule="auto"/>
        <w:ind w:firstLine="640"/>
        <w:jc w:val="both"/>
      </w:pPr>
      <w:r>
        <w:rPr>
          <w:rFonts w:ascii="仿宋_GB2312" w:hAnsi="仿宋_GB2312" w:eastAsia="仿宋_GB2312"/>
          <w:b w:val="0"/>
          <w:sz w:val="32"/>
        </w:rPr>
        <w:t>九、《财政拨款“三公”经费支出决算表》</w:t>
      </w:r>
    </w:p>
    <w:p w14:paraId="0F07822C">
      <w:pPr>
        <w:spacing w:line="240" w:lineRule="auto"/>
        <w:ind w:firstLine="640"/>
        <w:jc w:val="both"/>
      </w:pPr>
    </w:p>
    <w:p w14:paraId="75CE912F">
      <w:pPr>
        <w:spacing w:line="240" w:lineRule="auto"/>
        <w:ind w:firstLine="640"/>
        <w:jc w:val="both"/>
      </w:pPr>
    </w:p>
    <w:p w14:paraId="1998ED3C">
      <w:pPr>
        <w:spacing w:line="240" w:lineRule="auto"/>
        <w:ind w:firstLine="640"/>
        <w:jc w:val="both"/>
      </w:pPr>
    </w:p>
    <w:p w14:paraId="294CE82E">
      <w:pPr>
        <w:spacing w:line="240" w:lineRule="auto"/>
        <w:ind w:firstLine="640"/>
        <w:jc w:val="both"/>
      </w:pPr>
    </w:p>
    <w:p w14:paraId="4D0750F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EBC550-995E-4FC1-8809-B1A9821790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E7C3487-8FCF-4239-8A1F-067EC41B5707}"/>
  </w:font>
  <w:font w:name="仿宋_GB2312">
    <w:panose1 w:val="02010609030101010101"/>
    <w:charset w:val="86"/>
    <w:family w:val="modern"/>
    <w:pitch w:val="default"/>
    <w:sig w:usb0="00000001" w:usb1="080E0000" w:usb2="00000000" w:usb3="00000000" w:csb0="00040000" w:csb1="00000000"/>
    <w:embedRegular r:id="rId3" w:fontKey="{B4D20957-EE8A-48BA-BD78-03E9E110BF47}"/>
  </w:font>
  <w:font w:name="楷体_GB2312">
    <w:panose1 w:val="02010609030101010101"/>
    <w:charset w:val="86"/>
    <w:family w:val="auto"/>
    <w:pitch w:val="default"/>
    <w:sig w:usb0="00000001" w:usb1="080E0000" w:usb2="00000000" w:usb3="00000000" w:csb0="00040000" w:csb1="00000000"/>
    <w:embedRegular r:id="rId4" w:fontKey="{023A7B4D-DCD0-4C6A-BB38-15D1160A1E5B}"/>
  </w:font>
  <w:font w:name="WPSEMBED3">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631C10"/>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99014B"/>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5402</Words>
  <Characters>6313</Characters>
  <Lines>0</Lines>
  <Paragraphs>0</Paragraphs>
  <TotalTime>4</TotalTime>
  <ScaleCrop>false</ScaleCrop>
  <LinksUpToDate>false</LinksUpToDate>
  <CharactersWithSpaces>6325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2025-09-25T06:26:22Z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