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霍城县特殊教育学校2024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223EC58">
      <w:r>
        <w:br w:type="page"/>
      </w:r>
    </w:p>
    <w:p w14:paraId="29281EE6">
      <w:pPr>
        <w:spacing w:line="640" w:lineRule="exact"/>
        <w:jc w:val="center"/>
        <w:outlineLvl w:val="1"/>
      </w:pPr>
      <w:r>
        <w:rPr>
          <w:rFonts w:ascii="黑体" w:hAnsi="黑体" w:eastAsia="黑体"/>
          <w:sz w:val="32"/>
        </w:rPr>
        <w:t>第一部分 单位概况</w:t>
      </w:r>
    </w:p>
    <w:p w14:paraId="7745A249">
      <w:pPr>
        <w:spacing w:line="640" w:lineRule="exact"/>
        <w:ind w:firstLine="640"/>
        <w:jc w:val="both"/>
        <w:outlineLvl w:val="2"/>
      </w:pPr>
      <w:r>
        <w:rPr>
          <w:rFonts w:ascii="黑体" w:hAnsi="黑体" w:eastAsia="黑体"/>
          <w:sz w:val="32"/>
        </w:rPr>
        <w:t>一、主要职能</w:t>
      </w:r>
    </w:p>
    <w:p w14:paraId="41C14FC8">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对患有听障孩子的聋儿语训，言语矫治、人工耳蜗训练。</w:t>
      </w:r>
    </w:p>
    <w:p w14:paraId="354EFF54">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对轻度智障孩子的康复训练。</w:t>
      </w:r>
    </w:p>
    <w:p w14:paraId="2C756E72">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对轻度肢体残疾孩子的训练。</w:t>
      </w:r>
    </w:p>
    <w:p w14:paraId="1E95353C">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对残疾孩子实施九年义务教育。</w:t>
      </w:r>
    </w:p>
    <w:p w14:paraId="327DE8A9">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加强师资队伍建设，努力打造书香校园特色学校。</w:t>
      </w:r>
    </w:p>
    <w:p w14:paraId="04F87422">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落实立德树人根本任务，健全校内校外协同育人机制，全面提升德育管理水平。</w:t>
      </w:r>
    </w:p>
    <w:p w14:paraId="5FB9F8D3">
      <w:pPr>
        <w:spacing w:line="580" w:lineRule="exact"/>
        <w:ind w:firstLine="640"/>
        <w:jc w:val="both"/>
      </w:pPr>
      <w:r>
        <w:rPr>
          <w:rFonts w:hint="eastAsia" w:ascii="仿宋_GB2312" w:hAnsi="仿宋_GB2312" w:eastAsia="仿宋_GB2312"/>
          <w:sz w:val="32"/>
          <w:lang w:eastAsia="zh-CN"/>
        </w:rPr>
        <w:t>7.</w:t>
      </w:r>
      <w:r>
        <w:rPr>
          <w:rFonts w:ascii="仿宋_GB2312" w:hAnsi="仿宋_GB2312" w:eastAsia="仿宋_GB2312"/>
          <w:sz w:val="32"/>
        </w:rPr>
        <w:t>细化教育教学管理，加强教科研时效性研究，落实体卫艺工作，全面提升教育教学质量。</w:t>
      </w:r>
    </w:p>
    <w:p w14:paraId="3CD5A747">
      <w:pPr>
        <w:spacing w:line="580" w:lineRule="exact"/>
        <w:ind w:firstLine="640"/>
        <w:jc w:val="both"/>
      </w:pPr>
      <w:r>
        <w:rPr>
          <w:rFonts w:hint="eastAsia" w:ascii="仿宋_GB2312" w:hAnsi="仿宋_GB2312" w:eastAsia="仿宋_GB2312"/>
          <w:sz w:val="32"/>
          <w:lang w:eastAsia="zh-CN"/>
        </w:rPr>
        <w:t>8.</w:t>
      </w:r>
      <w:r>
        <w:rPr>
          <w:rFonts w:ascii="仿宋_GB2312" w:hAnsi="仿宋_GB2312" w:eastAsia="仿宋_GB2312"/>
          <w:sz w:val="32"/>
        </w:rPr>
        <w:t>发挥工会桥梁纽带作用，积极构建和谐校园。</w:t>
      </w:r>
    </w:p>
    <w:p w14:paraId="655F2BEB">
      <w:pPr>
        <w:spacing w:line="640" w:lineRule="exact"/>
        <w:ind w:firstLine="640"/>
        <w:jc w:val="both"/>
        <w:outlineLvl w:val="2"/>
      </w:pPr>
      <w:r>
        <w:rPr>
          <w:rFonts w:ascii="黑体" w:hAnsi="黑体" w:eastAsia="黑体"/>
          <w:sz w:val="32"/>
        </w:rPr>
        <w:t>二、机构设置及人员情况</w:t>
      </w:r>
    </w:p>
    <w:p w14:paraId="411B3669">
      <w:pPr>
        <w:spacing w:line="580" w:lineRule="exact"/>
        <w:ind w:firstLine="640"/>
        <w:jc w:val="both"/>
      </w:pPr>
      <w:r>
        <w:rPr>
          <w:rFonts w:ascii="仿宋_GB2312" w:hAnsi="仿宋_GB2312" w:eastAsia="仿宋_GB2312"/>
          <w:sz w:val="32"/>
        </w:rPr>
        <w:t>霍城县特殊教育学校2024年度，实有人数24人，其中：在职人员24人，增加0人；离休人员0人，增加0人；退休人员0人,增加0人。</w:t>
      </w:r>
    </w:p>
    <w:p w14:paraId="30C3268D">
      <w:pPr>
        <w:spacing w:line="580" w:lineRule="exact"/>
        <w:ind w:firstLine="640"/>
        <w:jc w:val="both"/>
      </w:pPr>
      <w:r>
        <w:rPr>
          <w:rFonts w:ascii="仿宋_GB2312" w:hAnsi="仿宋_GB2312" w:eastAsia="仿宋_GB2312"/>
          <w:sz w:val="32"/>
        </w:rPr>
        <w:t>霍城县特殊教育学校无下属预算单位，下设8个科室，分别是：德育处、教研处、教务处、后勤处、平安办、工会、党建办、行政处。</w:t>
      </w:r>
    </w:p>
    <w:p w14:paraId="18D56F9C">
      <w:r>
        <w:br w:type="page"/>
      </w:r>
    </w:p>
    <w:p w14:paraId="2A2C37BE">
      <w:pPr>
        <w:spacing w:line="240" w:lineRule="auto"/>
        <w:jc w:val="center"/>
        <w:outlineLvl w:val="1"/>
      </w:pPr>
      <w:r>
        <w:rPr>
          <w:rFonts w:ascii="黑体" w:hAnsi="黑体" w:eastAsia="黑体"/>
          <w:sz w:val="32"/>
        </w:rPr>
        <w:t>第二部分 部门决算情况说明</w:t>
      </w:r>
    </w:p>
    <w:p w14:paraId="39497292">
      <w:pPr>
        <w:spacing w:line="640" w:lineRule="exact"/>
        <w:ind w:firstLine="640"/>
        <w:jc w:val="both"/>
        <w:outlineLvl w:val="2"/>
      </w:pPr>
      <w:r>
        <w:rPr>
          <w:rFonts w:ascii="黑体" w:hAnsi="黑体" w:eastAsia="黑体"/>
          <w:sz w:val="32"/>
        </w:rPr>
        <w:t>一、收入支出决算总体情况说明</w:t>
      </w:r>
    </w:p>
    <w:p w14:paraId="46EDD60A">
      <w:pPr>
        <w:spacing w:line="580" w:lineRule="exact"/>
        <w:ind w:firstLine="640"/>
        <w:jc w:val="both"/>
      </w:pPr>
      <w:r>
        <w:rPr>
          <w:rFonts w:ascii="仿宋_GB2312" w:hAnsi="仿宋_GB2312" w:eastAsia="仿宋_GB2312"/>
          <w:b/>
          <w:sz w:val="32"/>
        </w:rPr>
        <w:t>2024年度收入总计482.81万元，</w:t>
      </w:r>
      <w:r>
        <w:rPr>
          <w:rFonts w:ascii="仿宋_GB2312" w:hAnsi="仿宋_GB2312" w:eastAsia="仿宋_GB2312"/>
          <w:b w:val="0"/>
          <w:sz w:val="32"/>
        </w:rPr>
        <w:t>其中：本年收入合计482.81万元，使用非财政拨款结余（含专用结余）0.00万元，年初结转和结余0.00万元。</w:t>
      </w:r>
    </w:p>
    <w:p w14:paraId="317978BC">
      <w:pPr>
        <w:spacing w:line="580" w:lineRule="exact"/>
        <w:ind w:firstLine="640"/>
        <w:jc w:val="both"/>
      </w:pPr>
      <w:r>
        <w:rPr>
          <w:rFonts w:ascii="仿宋_GB2312" w:hAnsi="仿宋_GB2312" w:eastAsia="仿宋_GB2312"/>
          <w:b/>
          <w:sz w:val="32"/>
        </w:rPr>
        <w:t>2024年度支出总计482.81万元，</w:t>
      </w:r>
      <w:r>
        <w:rPr>
          <w:rFonts w:ascii="仿宋_GB2312" w:hAnsi="仿宋_GB2312" w:eastAsia="仿宋_GB2312"/>
          <w:b w:val="0"/>
          <w:sz w:val="32"/>
        </w:rPr>
        <w:t>其中：本年支出合计482.81万元，结余分配0.00万元，年末结转和结余0.00万元。</w:t>
      </w:r>
    </w:p>
    <w:p w14:paraId="49183022">
      <w:pPr>
        <w:spacing w:line="580" w:lineRule="exact"/>
        <w:ind w:firstLine="640"/>
        <w:jc w:val="both"/>
      </w:pPr>
      <w:r>
        <w:rPr>
          <w:rFonts w:ascii="仿宋_GB2312" w:hAnsi="仿宋_GB2312" w:eastAsia="仿宋_GB2312"/>
          <w:b w:val="0"/>
          <w:sz w:val="32"/>
        </w:rPr>
        <w:t>收入支出总体与上年相比，增加7.98万元，增长1.68%，主要原因是：本年增加公益</w:t>
      </w:r>
      <w:bookmarkStart w:id="0" w:name="_GoBack"/>
      <w:r>
        <w:rPr>
          <w:rFonts w:ascii="仿宋_GB2312" w:hAnsi="仿宋_GB2312" w:eastAsia="仿宋_GB2312"/>
          <w:b w:val="0"/>
          <w:sz w:val="32"/>
        </w:rPr>
        <w:t>彩票</w:t>
      </w:r>
      <w:bookmarkEnd w:id="0"/>
      <w:r>
        <w:rPr>
          <w:rFonts w:ascii="仿宋_GB2312" w:hAnsi="仿宋_GB2312" w:eastAsia="仿宋_GB2312"/>
          <w:b w:val="0"/>
          <w:sz w:val="32"/>
        </w:rPr>
        <w:t>金项目，导致经费较上年增加。</w:t>
      </w:r>
    </w:p>
    <w:p w14:paraId="5FCEFD6E">
      <w:pPr>
        <w:spacing w:line="640" w:lineRule="exact"/>
        <w:ind w:firstLine="640"/>
        <w:jc w:val="both"/>
        <w:outlineLvl w:val="2"/>
      </w:pPr>
      <w:r>
        <w:rPr>
          <w:rFonts w:ascii="黑体" w:hAnsi="黑体" w:eastAsia="黑体"/>
          <w:sz w:val="32"/>
        </w:rPr>
        <w:t>二、收入决算情况说明</w:t>
      </w:r>
    </w:p>
    <w:p w14:paraId="3A60A9A6">
      <w:pPr>
        <w:spacing w:line="580" w:lineRule="exact"/>
        <w:ind w:firstLine="640"/>
        <w:jc w:val="both"/>
      </w:pPr>
      <w:r>
        <w:rPr>
          <w:rFonts w:ascii="仿宋_GB2312" w:hAnsi="仿宋_GB2312" w:eastAsia="仿宋_GB2312"/>
          <w:b/>
          <w:sz w:val="32"/>
        </w:rPr>
        <w:t>本年收入482.81万元，</w:t>
      </w:r>
      <w:r>
        <w:rPr>
          <w:rFonts w:ascii="仿宋_GB2312" w:hAnsi="仿宋_GB2312" w:eastAsia="仿宋_GB2312"/>
          <w:b w:val="0"/>
          <w:sz w:val="32"/>
        </w:rPr>
        <w:t>其中：财政拨款收入482.81万元，占100.00%；上级补助收入0.00万元，占0.00%；事业收入0.00万元，占0.00%；经营收入0.00万元，占0.00%；附属单位上缴收入0.00万元，占0.00%；其他收入0.00万元，占0.00%。</w:t>
      </w:r>
    </w:p>
    <w:p w14:paraId="245EBABC">
      <w:pPr>
        <w:spacing w:line="640" w:lineRule="exact"/>
        <w:ind w:firstLine="640"/>
        <w:jc w:val="both"/>
        <w:outlineLvl w:val="2"/>
      </w:pPr>
      <w:r>
        <w:rPr>
          <w:rFonts w:ascii="黑体" w:hAnsi="黑体" w:eastAsia="黑体"/>
          <w:sz w:val="32"/>
        </w:rPr>
        <w:t>三、支出决算情况说明</w:t>
      </w:r>
    </w:p>
    <w:p w14:paraId="524DC01D">
      <w:pPr>
        <w:spacing w:line="580" w:lineRule="exact"/>
        <w:ind w:firstLine="640"/>
        <w:jc w:val="both"/>
      </w:pPr>
      <w:r>
        <w:rPr>
          <w:rFonts w:ascii="仿宋_GB2312" w:hAnsi="仿宋_GB2312" w:eastAsia="仿宋_GB2312"/>
          <w:b/>
          <w:sz w:val="32"/>
        </w:rPr>
        <w:t>本年支出482.81万元，</w:t>
      </w:r>
      <w:r>
        <w:rPr>
          <w:rFonts w:ascii="仿宋_GB2312" w:hAnsi="仿宋_GB2312" w:eastAsia="仿宋_GB2312"/>
          <w:b w:val="0"/>
          <w:sz w:val="32"/>
        </w:rPr>
        <w:t>其中：基本支出482.81万元，占100.00%；项目支出0.00万元，占0.00%；上缴上级支出0.00万元，占0.00%；经营支出0.00万元，占0.00%；对附属单位补助支出0.00万元，占0.00%。</w:t>
      </w:r>
    </w:p>
    <w:p w14:paraId="47332D33">
      <w:pPr>
        <w:spacing w:line="640" w:lineRule="exact"/>
        <w:ind w:firstLine="640"/>
        <w:jc w:val="both"/>
        <w:outlineLvl w:val="2"/>
      </w:pPr>
      <w:r>
        <w:rPr>
          <w:rFonts w:ascii="黑体" w:hAnsi="黑体" w:eastAsia="黑体"/>
          <w:sz w:val="32"/>
        </w:rPr>
        <w:t>四、财政拨款收入支出决算总体情况说明</w:t>
      </w:r>
    </w:p>
    <w:p w14:paraId="1F415234">
      <w:pPr>
        <w:spacing w:line="580" w:lineRule="exact"/>
        <w:ind w:firstLine="640"/>
        <w:jc w:val="both"/>
      </w:pPr>
      <w:r>
        <w:rPr>
          <w:rFonts w:ascii="仿宋_GB2312" w:hAnsi="仿宋_GB2312" w:eastAsia="仿宋_GB2312"/>
          <w:b/>
          <w:sz w:val="32"/>
        </w:rPr>
        <w:t>2024年度财政拨款收入总计482.81万元，</w:t>
      </w:r>
      <w:r>
        <w:rPr>
          <w:rFonts w:ascii="仿宋_GB2312" w:hAnsi="仿宋_GB2312" w:eastAsia="仿宋_GB2312"/>
          <w:b w:val="0"/>
          <w:sz w:val="32"/>
        </w:rPr>
        <w:t>其中：年初财政拨款结转和结余0.00万元，本年财政拨款收入482.81万元。</w:t>
      </w:r>
      <w:r>
        <w:rPr>
          <w:rFonts w:ascii="仿宋_GB2312" w:hAnsi="仿宋_GB2312" w:eastAsia="仿宋_GB2312"/>
          <w:b/>
          <w:sz w:val="32"/>
        </w:rPr>
        <w:t>财政拨款支出总计482.81万元，</w:t>
      </w:r>
      <w:r>
        <w:rPr>
          <w:rFonts w:ascii="仿宋_GB2312" w:hAnsi="仿宋_GB2312" w:eastAsia="仿宋_GB2312"/>
          <w:b w:val="0"/>
          <w:sz w:val="32"/>
        </w:rPr>
        <w:t>其中：年末财政拨款结转和结余0.00万元，本年财政拨款支出482.81万元。</w:t>
      </w:r>
    </w:p>
    <w:p w14:paraId="02F61418">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增加7.98万元，增长1.68%，主要原因是：本年增加公益彩票金项目，导致经费较上年增加。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年初预算数445.17万元，决算数482.81万元，预决算差异率8.46%，主要原因是：年中追加人员工资、社保、公积金基数调增部分资金，导致预决算存在差异。</w:t>
      </w:r>
    </w:p>
    <w:p w14:paraId="633744BA">
      <w:pPr>
        <w:spacing w:line="640" w:lineRule="exact"/>
        <w:ind w:firstLine="640"/>
        <w:jc w:val="both"/>
        <w:outlineLvl w:val="2"/>
      </w:pPr>
      <w:r>
        <w:rPr>
          <w:rFonts w:ascii="黑体" w:hAnsi="黑体" w:eastAsia="黑体"/>
          <w:sz w:val="32"/>
        </w:rPr>
        <w:t>五、一般公共预算财政拨款支出决算情况说明</w:t>
      </w:r>
    </w:p>
    <w:p w14:paraId="2721A8A7">
      <w:pPr>
        <w:spacing w:line="640" w:lineRule="exact"/>
        <w:ind w:firstLine="640"/>
        <w:jc w:val="both"/>
        <w:outlineLvl w:val="3"/>
      </w:pPr>
      <w:r>
        <w:rPr>
          <w:rFonts w:ascii="楷体_GB2312" w:hAnsi="楷体_GB2312" w:eastAsia="楷体_GB2312"/>
          <w:b/>
          <w:sz w:val="32"/>
        </w:rPr>
        <w:t>（一）一般公共预算财政拨款支出决算总体情况</w:t>
      </w:r>
    </w:p>
    <w:p w14:paraId="57357409">
      <w:pPr>
        <w:spacing w:line="580" w:lineRule="exact"/>
        <w:ind w:firstLine="640"/>
        <w:jc w:val="both"/>
      </w:pPr>
      <w:r>
        <w:rPr>
          <w:rFonts w:ascii="仿宋_GB2312" w:hAnsi="仿宋_GB2312" w:eastAsia="仿宋_GB2312"/>
          <w:b/>
          <w:sz w:val="32"/>
        </w:rPr>
        <w:t>2024年度一般公共预算财政拨款支出465.81万元，</w:t>
      </w:r>
      <w:r>
        <w:rPr>
          <w:rFonts w:ascii="仿宋_GB2312" w:hAnsi="仿宋_GB2312" w:eastAsia="仿宋_GB2312"/>
          <w:b w:val="0"/>
          <w:sz w:val="32"/>
        </w:rPr>
        <w:t>占本年支出合计的96.48%。</w:t>
      </w:r>
      <w:r>
        <w:rPr>
          <w:rFonts w:ascii="仿宋_GB2312" w:hAnsi="仿宋_GB2312" w:eastAsia="仿宋_GB2312"/>
          <w:b/>
          <w:sz w:val="32"/>
        </w:rPr>
        <w:t>与上年相比，</w:t>
      </w:r>
      <w:r>
        <w:rPr>
          <w:rFonts w:ascii="仿宋_GB2312" w:hAnsi="仿宋_GB2312" w:eastAsia="仿宋_GB2312"/>
          <w:b w:val="0"/>
          <w:sz w:val="32"/>
        </w:rPr>
        <w:t>减少9.02万元，下降1.90%，主要原因是：本年减少学生助学金项目资金，导致经费较上年减少。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年初预算数436.57万元，决算数465.81万元，预决算差异率6.70%，主要原因是：年中追加人员工资、社保、公积金基数调增部分资金，导致预决算存在差异。</w:t>
      </w:r>
    </w:p>
    <w:p w14:paraId="6C296B5B">
      <w:pPr>
        <w:spacing w:line="640" w:lineRule="exact"/>
        <w:ind w:firstLine="640"/>
        <w:jc w:val="both"/>
        <w:outlineLvl w:val="3"/>
      </w:pPr>
      <w:r>
        <w:rPr>
          <w:rFonts w:ascii="楷体_GB2312" w:hAnsi="楷体_GB2312" w:eastAsia="楷体_GB2312"/>
          <w:b/>
          <w:sz w:val="32"/>
        </w:rPr>
        <w:t>（二）一般公共预算财政拨款支出决算结构情况</w:t>
      </w:r>
    </w:p>
    <w:p w14:paraId="221C5FFF">
      <w:pPr>
        <w:spacing w:line="580" w:lineRule="exact"/>
        <w:ind w:firstLine="640"/>
        <w:jc w:val="both"/>
      </w:pPr>
      <w:r>
        <w:rPr>
          <w:rFonts w:ascii="仿宋_GB2312" w:hAnsi="仿宋_GB2312" w:eastAsia="仿宋_GB2312"/>
          <w:b w:val="0"/>
          <w:sz w:val="32"/>
        </w:rPr>
        <w:t>1.教育支出(类)406.69万元,占87.31%。</w:t>
      </w:r>
    </w:p>
    <w:p w14:paraId="3675E1A4">
      <w:pPr>
        <w:spacing w:line="580" w:lineRule="exact"/>
        <w:ind w:firstLine="640"/>
        <w:jc w:val="both"/>
      </w:pPr>
      <w:r>
        <w:rPr>
          <w:rFonts w:ascii="仿宋_GB2312" w:hAnsi="仿宋_GB2312" w:eastAsia="仿宋_GB2312"/>
          <w:b w:val="0"/>
          <w:sz w:val="32"/>
        </w:rPr>
        <w:t>2.社会保障和就业支出(类)40.59万元,占8.71%。</w:t>
      </w:r>
    </w:p>
    <w:p w14:paraId="1F468DEF">
      <w:pPr>
        <w:spacing w:line="580" w:lineRule="exact"/>
        <w:ind w:firstLine="640"/>
        <w:jc w:val="both"/>
      </w:pPr>
      <w:r>
        <w:rPr>
          <w:rFonts w:ascii="仿宋_GB2312" w:hAnsi="仿宋_GB2312" w:eastAsia="仿宋_GB2312"/>
          <w:b w:val="0"/>
          <w:sz w:val="32"/>
        </w:rPr>
        <w:t>3.卫生健康支出(类)18.53万元,占3.98%。</w:t>
      </w:r>
    </w:p>
    <w:p w14:paraId="6A1724C0">
      <w:pPr>
        <w:spacing w:line="640" w:lineRule="exact"/>
        <w:ind w:firstLine="640"/>
        <w:jc w:val="both"/>
        <w:outlineLvl w:val="3"/>
      </w:pPr>
      <w:r>
        <w:rPr>
          <w:rFonts w:ascii="楷体_GB2312" w:hAnsi="楷体_GB2312" w:eastAsia="楷体_GB2312"/>
          <w:b/>
          <w:sz w:val="32"/>
        </w:rPr>
        <w:t>（三）一般公共预算财政拨款支出决算具体情况</w:t>
      </w:r>
    </w:p>
    <w:p w14:paraId="4F3310FE">
      <w:pPr>
        <w:spacing w:line="580" w:lineRule="exact"/>
        <w:ind w:firstLine="640"/>
        <w:jc w:val="both"/>
      </w:pPr>
      <w:r>
        <w:rPr>
          <w:rFonts w:ascii="仿宋_GB2312" w:hAnsi="仿宋_GB2312" w:eastAsia="仿宋_GB2312"/>
          <w:b w:val="0"/>
          <w:sz w:val="32"/>
        </w:rPr>
        <w:t>1.教育支出(类)普通教育(款)小学教育(项):支出决算数为5.32万元，比上年决算减少6.33万元，下降54.33%,主要原因是：本年功能科目调整，部分人员经费调整至特殊学校教育</w:t>
      </w:r>
      <w:r>
        <w:rPr>
          <w:rFonts w:hint="eastAsia" w:ascii="仿宋_GB2312" w:hAnsi="仿宋_GB2312" w:eastAsia="仿宋_GB2312"/>
          <w:b w:val="0"/>
          <w:sz w:val="32"/>
          <w:lang w:val="en-US" w:eastAsia="zh-CN"/>
        </w:rPr>
        <w:t>科目列支</w:t>
      </w:r>
      <w:r>
        <w:rPr>
          <w:rFonts w:ascii="仿宋_GB2312" w:hAnsi="仿宋_GB2312" w:eastAsia="仿宋_GB2312"/>
          <w:b w:val="0"/>
          <w:sz w:val="32"/>
        </w:rPr>
        <w:t>，导致经费较上年减少。</w:t>
      </w:r>
    </w:p>
    <w:p w14:paraId="44D7280A">
      <w:pPr>
        <w:spacing w:line="580" w:lineRule="exact"/>
        <w:ind w:firstLine="640"/>
        <w:jc w:val="both"/>
      </w:pPr>
      <w:r>
        <w:rPr>
          <w:rFonts w:ascii="仿宋_GB2312" w:hAnsi="仿宋_GB2312" w:eastAsia="仿宋_GB2312"/>
          <w:b w:val="0"/>
          <w:sz w:val="32"/>
        </w:rPr>
        <w:t>2.教育支出(类)普通教育(款)其他普通教育支出(项):支出决算数为91.16万元，比上年决算增加4.63万元，增长5.35%,主要原因是：县聘教师工资及津贴补贴标准提高，相关人员经费增加，导致经费较上年增加。</w:t>
      </w:r>
    </w:p>
    <w:p w14:paraId="6511DB49">
      <w:pPr>
        <w:spacing w:line="580" w:lineRule="exact"/>
        <w:ind w:firstLine="640"/>
        <w:jc w:val="both"/>
      </w:pPr>
      <w:r>
        <w:rPr>
          <w:rFonts w:ascii="仿宋_GB2312" w:hAnsi="仿宋_GB2312" w:eastAsia="仿宋_GB2312"/>
          <w:b w:val="0"/>
          <w:sz w:val="32"/>
        </w:rPr>
        <w:t>3.教育支出(类)特殊教育(款)特殊学校教育(项):支出决算数为310.20万元，比上年决算增加12.09万元，增长4.06%,主要原因是：本年功能科目调整，培训费、住房公积金上年度单独列支，部分津贴补贴上年在其他教育支出</w:t>
      </w:r>
      <w:r>
        <w:rPr>
          <w:rFonts w:hint="eastAsia" w:ascii="仿宋_GB2312" w:hAnsi="仿宋_GB2312" w:eastAsia="仿宋_GB2312"/>
          <w:b w:val="0"/>
          <w:sz w:val="32"/>
          <w:lang w:val="en-US" w:eastAsia="zh-CN"/>
        </w:rPr>
        <w:t>科目列支</w:t>
      </w:r>
      <w:r>
        <w:rPr>
          <w:rFonts w:ascii="仿宋_GB2312" w:hAnsi="仿宋_GB2312" w:eastAsia="仿宋_GB2312"/>
          <w:b w:val="0"/>
          <w:sz w:val="32"/>
        </w:rPr>
        <w:t>，部分人员经费上年度在小学教育科目</w:t>
      </w:r>
      <w:r>
        <w:rPr>
          <w:rFonts w:hint="eastAsia" w:ascii="仿宋_GB2312" w:hAnsi="仿宋_GB2312" w:eastAsia="仿宋_GB2312"/>
          <w:b w:val="0"/>
          <w:sz w:val="32"/>
          <w:lang w:val="en-US" w:eastAsia="zh-CN"/>
        </w:rPr>
        <w:t>列支</w:t>
      </w:r>
      <w:r>
        <w:rPr>
          <w:rFonts w:ascii="仿宋_GB2312" w:hAnsi="仿宋_GB2312" w:eastAsia="仿宋_GB2312"/>
          <w:b w:val="0"/>
          <w:sz w:val="32"/>
        </w:rPr>
        <w:t>，本年调整至主科目列支，导致经费较上年增加。</w:t>
      </w:r>
    </w:p>
    <w:p w14:paraId="0F6921B6">
      <w:pPr>
        <w:spacing w:line="580" w:lineRule="exact"/>
        <w:ind w:firstLine="640"/>
        <w:jc w:val="both"/>
      </w:pPr>
      <w:r>
        <w:rPr>
          <w:rFonts w:ascii="仿宋_GB2312" w:hAnsi="仿宋_GB2312" w:eastAsia="仿宋_GB2312"/>
          <w:b w:val="0"/>
          <w:sz w:val="32"/>
        </w:rPr>
        <w:t>4.教育支出(类)教育费附加安排的支出(款)其他教育费附加安排的支出(项):支出决算数为0.00万元，比上年决算减少0.11万元，下降100.00%,主要原因是：本年功能科目调整，培训费上年度单独列支，本年调整至主科目列支，导致经费较上年减少。</w:t>
      </w:r>
    </w:p>
    <w:p w14:paraId="4773C9D8">
      <w:pPr>
        <w:spacing w:line="580" w:lineRule="exact"/>
        <w:ind w:firstLine="640"/>
        <w:jc w:val="both"/>
      </w:pPr>
      <w:r>
        <w:rPr>
          <w:rFonts w:ascii="仿宋_GB2312" w:hAnsi="仿宋_GB2312" w:eastAsia="仿宋_GB2312"/>
          <w:b w:val="0"/>
          <w:sz w:val="32"/>
        </w:rPr>
        <w:t>5.教育支出(类)其他教育支出(款)其他教育支出(项):支出决算数为0.00万元，比上年决算减少0.67万元，下降100.00%,主要原因是：本年功能科目调整，部分津贴补贴上年在其他教育支出</w:t>
      </w:r>
      <w:r>
        <w:rPr>
          <w:rFonts w:hint="eastAsia" w:ascii="仿宋_GB2312" w:hAnsi="仿宋_GB2312" w:eastAsia="仿宋_GB2312"/>
          <w:b w:val="0"/>
          <w:sz w:val="32"/>
          <w:lang w:val="en-US" w:eastAsia="zh-CN"/>
        </w:rPr>
        <w:t>科目列支</w:t>
      </w:r>
      <w:r>
        <w:rPr>
          <w:rFonts w:ascii="仿宋_GB2312" w:hAnsi="仿宋_GB2312" w:eastAsia="仿宋_GB2312"/>
          <w:b w:val="0"/>
          <w:sz w:val="32"/>
        </w:rPr>
        <w:t>，本年调整至主科目列支，导致经费较上年减少。</w:t>
      </w:r>
    </w:p>
    <w:p w14:paraId="380BE7ED">
      <w:pPr>
        <w:spacing w:line="580" w:lineRule="exact"/>
        <w:ind w:firstLine="640"/>
        <w:jc w:val="both"/>
      </w:pPr>
      <w:r>
        <w:rPr>
          <w:rFonts w:ascii="仿宋_GB2312" w:hAnsi="仿宋_GB2312" w:eastAsia="仿宋_GB2312"/>
          <w:b w:val="0"/>
          <w:sz w:val="32"/>
        </w:rPr>
        <w:t>6.社会保障和就业支出(类)行政事业单位养老支出(款)机关事业单位基本养老保险缴费支出(项):支出决算数为37.06万元，比上年决算增加3.69万元，增长11.06%,主要原因是：本年在职人员工资基数调增，养老缴费基数上涨，相应支出增加。</w:t>
      </w:r>
    </w:p>
    <w:p w14:paraId="2AC5671D">
      <w:pPr>
        <w:spacing w:line="580" w:lineRule="exact"/>
        <w:ind w:firstLine="640"/>
        <w:jc w:val="both"/>
      </w:pPr>
      <w:r>
        <w:rPr>
          <w:rFonts w:ascii="仿宋_GB2312" w:hAnsi="仿宋_GB2312" w:eastAsia="仿宋_GB2312"/>
          <w:b w:val="0"/>
          <w:sz w:val="32"/>
        </w:rPr>
        <w:t>7.社会保障和就业支出(类)行政事业单位养老支出(款)机关事业单位职业年金缴费支出(项):支出决算数为3.53万元，比上年决算增加3.53万元，增长100.00%,主要原因是：本年做实往年退休人员职业年金，职业年金缴费支出增加。</w:t>
      </w:r>
    </w:p>
    <w:p w14:paraId="417D399D">
      <w:pPr>
        <w:spacing w:line="580" w:lineRule="exact"/>
        <w:ind w:firstLine="640"/>
        <w:jc w:val="both"/>
      </w:pPr>
      <w:r>
        <w:rPr>
          <w:rFonts w:ascii="仿宋_GB2312" w:hAnsi="仿宋_GB2312" w:eastAsia="仿宋_GB2312"/>
          <w:b w:val="0"/>
          <w:sz w:val="32"/>
        </w:rPr>
        <w:t>8.卫生健康支出(类)行政事业单位医疗(款)事业单位医疗(项):支出决算数为18.53万元，比上年决算增加1.84万元，增长11.02%,主要原因是：本年在职人员工资基数调增，医疗缴费基数上涨，相应支出增加。</w:t>
      </w:r>
    </w:p>
    <w:p w14:paraId="79D6E4B5">
      <w:pPr>
        <w:spacing w:line="580" w:lineRule="exact"/>
        <w:ind w:firstLine="640"/>
        <w:jc w:val="both"/>
      </w:pPr>
      <w:r>
        <w:rPr>
          <w:rFonts w:ascii="仿宋_GB2312" w:hAnsi="仿宋_GB2312" w:eastAsia="仿宋_GB2312"/>
          <w:b w:val="0"/>
          <w:sz w:val="32"/>
        </w:rPr>
        <w:t>9.住房保障支出(类)住房改革支出(款)住房公积金(项):支出决算数为0.00万元，比上年决算减少27.69万元，下降100.00%,主要原因是：本年功能科目调整，住房公积金上年</w:t>
      </w:r>
      <w:r>
        <w:rPr>
          <w:rFonts w:hint="eastAsia" w:ascii="仿宋_GB2312" w:hAnsi="仿宋_GB2312" w:eastAsia="仿宋_GB2312"/>
          <w:b w:val="0"/>
          <w:sz w:val="32"/>
          <w:lang w:val="en-US" w:eastAsia="zh-CN"/>
        </w:rPr>
        <w:t>单独列</w:t>
      </w:r>
      <w:r>
        <w:rPr>
          <w:rFonts w:ascii="仿宋_GB2312" w:hAnsi="仿宋_GB2312" w:eastAsia="仿宋_GB2312"/>
          <w:b w:val="0"/>
          <w:sz w:val="32"/>
        </w:rPr>
        <w:t>支，本年调整至主科目列支，导致经费较上年减少。</w:t>
      </w:r>
    </w:p>
    <w:p w14:paraId="607CEF9F">
      <w:pPr>
        <w:spacing w:line="640" w:lineRule="exact"/>
        <w:ind w:firstLine="640"/>
        <w:jc w:val="both"/>
        <w:outlineLvl w:val="2"/>
      </w:pPr>
      <w:r>
        <w:rPr>
          <w:rFonts w:ascii="黑体" w:hAnsi="黑体" w:eastAsia="黑体"/>
          <w:sz w:val="32"/>
        </w:rPr>
        <w:t>六、一般公共预算财政拨款基本支出决算情况说明</w:t>
      </w:r>
    </w:p>
    <w:p w14:paraId="67910971">
      <w:pPr>
        <w:spacing w:line="580" w:lineRule="exact"/>
        <w:ind w:firstLine="640"/>
        <w:jc w:val="both"/>
      </w:pPr>
      <w:r>
        <w:rPr>
          <w:rFonts w:ascii="仿宋_GB2312" w:hAnsi="仿宋_GB2312" w:eastAsia="仿宋_GB2312"/>
          <w:b w:val="0"/>
          <w:sz w:val="32"/>
        </w:rPr>
        <w:t>2024年度一般公共预算财政拨款基本支出465.81万元，其中：</w:t>
      </w:r>
      <w:r>
        <w:rPr>
          <w:rFonts w:ascii="仿宋_GB2312" w:hAnsi="仿宋_GB2312" w:eastAsia="仿宋_GB2312"/>
          <w:b/>
          <w:sz w:val="32"/>
        </w:rPr>
        <w:t>人员经费413.85万元，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包括：基本工资、津贴补贴、奖金、绩效工资、机关事业单位基本养老保险缴费、职业年金缴费、职工基本医疗保险缴费、其他社会保障缴费、住房公积金、其他工资福利支出、助学金。</w:t>
      </w:r>
    </w:p>
    <w:p w14:paraId="4C74B900">
      <w:pPr>
        <w:spacing w:line="580" w:lineRule="exact"/>
        <w:ind w:firstLine="640"/>
        <w:jc w:val="both"/>
      </w:pPr>
      <w:r>
        <w:rPr>
          <w:rFonts w:ascii="仿宋_GB2312" w:hAnsi="仿宋_GB2312" w:eastAsia="仿宋_GB2312"/>
          <w:b/>
          <w:sz w:val="32"/>
        </w:rPr>
        <w:t>公用经费51.95万元，</w:t>
      </w:r>
      <w:r>
        <w:rPr>
          <w:rFonts w:ascii="仿宋_GB2312" w:hAnsi="仿宋_GB2312" w:eastAsia="仿宋_GB2312"/>
          <w:b w:val="0"/>
          <w:sz w:val="32"/>
        </w:rPr>
        <w:t>包括：办公费、水费、邮电费、取暖费、物业管理费、维修（护）费、培训费、工会经费、其他商品和服务支出。</w:t>
      </w:r>
    </w:p>
    <w:p w14:paraId="5DD7EC24">
      <w:pPr>
        <w:spacing w:line="640" w:lineRule="exact"/>
        <w:ind w:firstLine="640"/>
        <w:jc w:val="both"/>
        <w:outlineLvl w:val="2"/>
      </w:pPr>
      <w:r>
        <w:rPr>
          <w:rFonts w:ascii="黑体" w:hAnsi="黑体" w:eastAsia="黑体"/>
          <w:sz w:val="32"/>
        </w:rPr>
        <w:t>七、政府性基金预算财政拨款收入支出决算情况说明</w:t>
      </w:r>
    </w:p>
    <w:p w14:paraId="0B4188DF">
      <w:pPr>
        <w:spacing w:line="580" w:lineRule="exact"/>
        <w:ind w:firstLine="640"/>
        <w:jc w:val="both"/>
      </w:pPr>
      <w:r>
        <w:rPr>
          <w:rFonts w:ascii="仿宋_GB2312" w:hAnsi="仿宋_GB2312" w:eastAsia="仿宋_GB2312"/>
          <w:b/>
          <w:sz w:val="32"/>
        </w:rPr>
        <w:t>2024年度政府性基金预算财政拨款收入总计17.00万元，</w:t>
      </w:r>
      <w:r>
        <w:rPr>
          <w:rFonts w:ascii="仿宋_GB2312" w:hAnsi="仿宋_GB2312" w:eastAsia="仿宋_GB2312"/>
          <w:b w:val="0"/>
          <w:sz w:val="32"/>
        </w:rPr>
        <w:t>其中：年初结转和结余0.00万元，本年收入17.00万元。</w:t>
      </w:r>
      <w:r>
        <w:rPr>
          <w:rFonts w:ascii="仿宋_GB2312" w:hAnsi="仿宋_GB2312" w:eastAsia="仿宋_GB2312"/>
          <w:b/>
          <w:sz w:val="32"/>
        </w:rPr>
        <w:t>政府性基金预算财政拨款支出总计17.00万元，</w:t>
      </w:r>
      <w:r>
        <w:rPr>
          <w:rFonts w:ascii="仿宋_GB2312" w:hAnsi="仿宋_GB2312" w:eastAsia="仿宋_GB2312"/>
          <w:b w:val="0"/>
          <w:sz w:val="32"/>
        </w:rPr>
        <w:t>其中：年末结转和结余0.00万元，本年支出17.00万元。</w:t>
      </w:r>
    </w:p>
    <w:p w14:paraId="11502EC3">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增加17.00万元，增长100.00%，主要原因是：本年增加公益彩票金项目，导致经费较上年增加。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年初预算数8.60万元，决算数17.00万元，预决算差异率97.67%，主要原因是：年中追加公益彩票金项目，导致预决算存在差异。</w:t>
      </w:r>
    </w:p>
    <w:p w14:paraId="54952507">
      <w:pPr>
        <w:spacing w:line="580" w:lineRule="exact"/>
        <w:ind w:firstLine="640"/>
        <w:jc w:val="both"/>
      </w:pPr>
      <w:r>
        <w:rPr>
          <w:rFonts w:ascii="仿宋_GB2312" w:hAnsi="仿宋_GB2312" w:eastAsia="仿宋_GB2312"/>
          <w:b w:val="0"/>
          <w:sz w:val="32"/>
        </w:rPr>
        <w:t>政府性基金预算财政拨款支出17.00万元。</w:t>
      </w:r>
    </w:p>
    <w:p w14:paraId="0A1748A3">
      <w:pPr>
        <w:spacing w:line="580" w:lineRule="exact"/>
        <w:ind w:firstLine="640"/>
        <w:jc w:val="both"/>
      </w:pPr>
      <w:r>
        <w:rPr>
          <w:rFonts w:ascii="仿宋_GB2312" w:hAnsi="仿宋_GB2312" w:eastAsia="仿宋_GB2312"/>
          <w:b w:val="0"/>
          <w:sz w:val="32"/>
        </w:rPr>
        <w:t>1.其他支出(类)彩票公益金安排的支出(款)用于教育事业的彩票公益金支出(项):支出决算数为17.00万元，比上年决算增加17.00万元，增长100.00%,主要原因是：本年增加公益彩票金项目，导致经费较上年增加。</w:t>
      </w:r>
    </w:p>
    <w:p w14:paraId="0496B9AA">
      <w:pPr>
        <w:spacing w:line="640" w:lineRule="exact"/>
        <w:ind w:firstLine="640"/>
        <w:jc w:val="both"/>
        <w:outlineLvl w:val="2"/>
      </w:pPr>
      <w:r>
        <w:rPr>
          <w:rFonts w:ascii="黑体" w:hAnsi="黑体" w:eastAsia="黑体"/>
          <w:sz w:val="32"/>
        </w:rPr>
        <w:t>八、国有资本经营预算财政拨款收入支出决算情况说明</w:t>
      </w:r>
    </w:p>
    <w:p w14:paraId="14D146D7">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5DB498A">
      <w:pPr>
        <w:spacing w:line="640" w:lineRule="exact"/>
        <w:ind w:firstLine="640"/>
        <w:jc w:val="both"/>
        <w:outlineLvl w:val="2"/>
      </w:pPr>
      <w:r>
        <w:rPr>
          <w:rFonts w:ascii="黑体" w:hAnsi="黑体" w:eastAsia="黑体"/>
          <w:sz w:val="32"/>
        </w:rPr>
        <w:t>九、财政拨款“三公”经费支出决算情况说明</w:t>
      </w:r>
    </w:p>
    <w:p w14:paraId="73381D50">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07812FDC">
      <w:pPr>
        <w:spacing w:line="580" w:lineRule="exact"/>
        <w:ind w:firstLine="640"/>
        <w:jc w:val="both"/>
      </w:pPr>
      <w:r>
        <w:rPr>
          <w:rFonts w:ascii="仿宋_GB2312" w:hAnsi="仿宋_GB2312" w:eastAsia="仿宋_GB2312"/>
          <w:b/>
          <w:sz w:val="32"/>
        </w:rPr>
        <w:t>具体情况如下：</w:t>
      </w:r>
    </w:p>
    <w:p w14:paraId="3167EC1B">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6A1F806">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788A960E">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EAEC03D">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7513BDFC">
      <w:pPr>
        <w:spacing w:line="640" w:lineRule="exact"/>
        <w:ind w:firstLine="640"/>
        <w:jc w:val="both"/>
        <w:outlineLvl w:val="2"/>
      </w:pPr>
      <w:r>
        <w:rPr>
          <w:rFonts w:ascii="黑体" w:hAnsi="黑体" w:eastAsia="黑体"/>
          <w:sz w:val="32"/>
        </w:rPr>
        <w:t>十、其他重要事项的情况说明</w:t>
      </w:r>
    </w:p>
    <w:p w14:paraId="1D5555A8">
      <w:pPr>
        <w:spacing w:line="640" w:lineRule="exact"/>
        <w:ind w:firstLine="640"/>
        <w:jc w:val="both"/>
        <w:outlineLvl w:val="3"/>
      </w:pPr>
      <w:r>
        <w:rPr>
          <w:rFonts w:ascii="楷体_GB2312" w:hAnsi="楷体_GB2312" w:eastAsia="楷体_GB2312"/>
          <w:b/>
          <w:sz w:val="32"/>
        </w:rPr>
        <w:t>（一）机关运行经费及公用经费支出情况</w:t>
      </w:r>
    </w:p>
    <w:p w14:paraId="3BFD1730">
      <w:pPr>
        <w:spacing w:line="580" w:lineRule="exact"/>
        <w:ind w:firstLine="640"/>
        <w:jc w:val="both"/>
      </w:pPr>
      <w:r>
        <w:rPr>
          <w:rFonts w:ascii="仿宋_GB2312" w:hAnsi="仿宋_GB2312" w:eastAsia="仿宋_GB2312"/>
          <w:b w:val="0"/>
          <w:sz w:val="32"/>
        </w:rPr>
        <w:t>2024年度霍城县特殊教育学校（事业单位）公用经费支出51.95万元，比上年减少1.87万元，下降3.47%，主要原因是：严格控制公用经费，合理节约办公用品，减少不必要开支。</w:t>
      </w:r>
    </w:p>
    <w:p w14:paraId="39D85F8F">
      <w:pPr>
        <w:spacing w:line="640" w:lineRule="exact"/>
        <w:ind w:firstLine="640"/>
        <w:jc w:val="both"/>
        <w:outlineLvl w:val="3"/>
      </w:pPr>
      <w:r>
        <w:rPr>
          <w:rFonts w:ascii="楷体_GB2312" w:hAnsi="楷体_GB2312" w:eastAsia="楷体_GB2312"/>
          <w:b/>
          <w:sz w:val="32"/>
        </w:rPr>
        <w:t>（二）政府采购情况</w:t>
      </w:r>
    </w:p>
    <w:p w14:paraId="085637DB">
      <w:pPr>
        <w:spacing w:line="580" w:lineRule="exact"/>
        <w:ind w:firstLine="640"/>
        <w:jc w:val="both"/>
      </w:pPr>
      <w:r>
        <w:rPr>
          <w:rFonts w:ascii="仿宋_GB2312" w:hAnsi="仿宋_GB2312" w:eastAsia="仿宋_GB2312"/>
          <w:b w:val="0"/>
          <w:sz w:val="32"/>
        </w:rPr>
        <w:t>2024年度政府采购支出总额7.80万元，其中：政府采购货物支出0.17万元、政府采购工程支出7.63万元、政府采购服务支出0.00万元。</w:t>
      </w:r>
    </w:p>
    <w:p w14:paraId="23B6CA81">
      <w:pPr>
        <w:spacing w:line="580" w:lineRule="exact"/>
        <w:ind w:firstLine="640"/>
        <w:jc w:val="both"/>
      </w:pPr>
      <w:r>
        <w:rPr>
          <w:rFonts w:ascii="仿宋_GB2312" w:hAnsi="仿宋_GB2312" w:eastAsia="仿宋_GB2312"/>
          <w:b w:val="0"/>
          <w:sz w:val="32"/>
        </w:rPr>
        <w:t>授予中小企业合同金额7.80万元，占政府采购支出总额的100.00%，其中：授予小微企业合同金额7.80万元，占政府采购支出总额的100.00%。</w:t>
      </w:r>
    </w:p>
    <w:p w14:paraId="05953CEA">
      <w:pPr>
        <w:spacing w:line="640" w:lineRule="exact"/>
        <w:ind w:firstLine="640"/>
        <w:jc w:val="both"/>
        <w:outlineLvl w:val="3"/>
      </w:pPr>
      <w:r>
        <w:rPr>
          <w:rFonts w:ascii="楷体_GB2312" w:hAnsi="楷体_GB2312" w:eastAsia="楷体_GB2312"/>
          <w:b/>
          <w:sz w:val="32"/>
        </w:rPr>
        <w:t>（三）国有资产占用情况说明</w:t>
      </w:r>
    </w:p>
    <w:p w14:paraId="6B1537A4">
      <w:pPr>
        <w:spacing w:line="580" w:lineRule="exact"/>
        <w:ind w:firstLine="640"/>
        <w:jc w:val="both"/>
      </w:pPr>
      <w:r>
        <w:rPr>
          <w:rFonts w:ascii="仿宋_GB2312" w:hAnsi="仿宋_GB2312" w:eastAsia="仿宋_GB2312"/>
          <w:b w:val="0"/>
          <w:sz w:val="32"/>
        </w:rPr>
        <w:t>截至2024年12月31日，房屋2,016.00平方米，价值323.10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03EBB43C">
      <w:pPr>
        <w:spacing w:line="640" w:lineRule="exact"/>
        <w:ind w:firstLine="640"/>
        <w:jc w:val="both"/>
        <w:outlineLvl w:val="2"/>
      </w:pPr>
      <w:r>
        <w:rPr>
          <w:rFonts w:ascii="黑体" w:hAnsi="黑体" w:eastAsia="黑体"/>
          <w:sz w:val="32"/>
        </w:rPr>
        <w:t>十一、预算绩效的情况说明</w:t>
      </w:r>
    </w:p>
    <w:p w14:paraId="7BF56469">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482.80万元，实际执行总额482.80万元；预算绩效评价项目1个，全年预算数8.60万元，全年执行数8.60万元。预算绩效管理取得的成效：一是资源配置优化：通过科学的预算绩效管理，学校能够更精准地将资金分配到教学、科研、师资建设等关键领域，提高了资源的利用效率。二是目标达成率提高：明确的预算绩效目标和定期的评估机制，使得学校各项工作计划的目标达成率显著提升，如教学质量的改善、科研成果的增加等。三是成本控制有效：对各项支出进行严格的监控和分析，有效控制了不必要的开支，降低了学校的运营成本。发现的问题及原因：1.绩效指标不够细化：部分绩效指标的设定较为笼统，难以准确衡量工作的实际效果。原因在于对工作内容的分解不够深入，缺乏具体的量化标准。2.数据收集与分析困难：在预算执行过程中，相关数据的收集不够及时、准确，影响了绩效评估的准确性和及时性。主要是因为数据管理系统不完善，各部门之间的数据沟通不畅。3.人员绩效意识薄弱：部分教职工对预算绩效管理的重要性认识不足，参与度不高，导致工作执行不到位。这可能是由于培训宣传不足，缺乏激励机制。下一步改进措施：1.完善绩效指标体系：深入调研各部门工作，制定更加细化、可衡量的绩效指标，确保能够全面、准确地反映工作成果。2.加强数据管理：建立健全数据收集、整理和分析的系统，明确各部门的数据责任，加强部门间的数据共享与交流。3.强化培训与宣传：开展预算绩效管理的培训活动，提高教职工的绩效意识，建立相应的激励机制，鼓励积极参与。具体附整体支出绩效自评表，项目支出绩效自评表和评价报告。</w:t>
      </w:r>
    </w:p>
    <w:p w14:paraId="6A3FC6F9">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803"/>
        <w:gridCol w:w="1407"/>
        <w:gridCol w:w="1105"/>
        <w:gridCol w:w="1105"/>
      </w:tblGrid>
      <w:tr w14:paraId="53519E9A">
        <w:tblPrEx>
          <w:tblCellMar>
            <w:top w:w="0" w:type="dxa"/>
            <w:left w:w="108" w:type="dxa"/>
            <w:bottom w:w="0" w:type="dxa"/>
            <w:right w:w="108" w:type="dxa"/>
          </w:tblCellMar>
        </w:tblPrEx>
        <w:tc>
          <w:tcPr>
            <w:tcW w:w="8840" w:type="dxa"/>
            <w:gridSpan w:val="8"/>
            <w:vAlign w:val="center"/>
          </w:tcPr>
          <w:p w14:paraId="4A7F2BEC">
            <w:pPr>
              <w:jc w:val="center"/>
            </w:pPr>
            <w:r>
              <w:rPr>
                <w:rFonts w:ascii="宋体" w:hAnsi="宋体" w:eastAsia="宋体"/>
                <w:sz w:val="24"/>
              </w:rPr>
              <w:t>单位整体支出绩效自评表</w:t>
            </w:r>
          </w:p>
        </w:tc>
      </w:tr>
      <w:tr w14:paraId="3964939A">
        <w:tblPrEx>
          <w:tblCellMar>
            <w:top w:w="0" w:type="dxa"/>
            <w:left w:w="108" w:type="dxa"/>
            <w:bottom w:w="0" w:type="dxa"/>
            <w:right w:w="108" w:type="dxa"/>
          </w:tblCellMar>
        </w:tblPrEx>
        <w:tc>
          <w:tcPr>
            <w:tcW w:w="8840" w:type="dxa"/>
            <w:gridSpan w:val="8"/>
            <w:vAlign w:val="center"/>
          </w:tcPr>
          <w:p w14:paraId="31F0A2FB">
            <w:pPr>
              <w:jc w:val="center"/>
            </w:pPr>
            <w:r>
              <w:rPr>
                <w:rFonts w:ascii="宋体" w:hAnsi="宋体" w:eastAsia="宋体"/>
                <w:sz w:val="24"/>
              </w:rPr>
              <w:t>（2024年度）</w:t>
            </w:r>
          </w:p>
        </w:tc>
      </w:tr>
      <w:tr w14:paraId="35FF9F95">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A0501F">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DEAA6A">
            <w:pPr>
              <w:jc w:val="center"/>
            </w:pPr>
            <w:r>
              <w:rPr>
                <w:rFonts w:ascii="宋体" w:hAnsi="宋体" w:eastAsia="宋体"/>
                <w:sz w:val="16"/>
              </w:rPr>
              <w:t>霍城县特殊教育学校</w:t>
            </w:r>
          </w:p>
        </w:tc>
      </w:tr>
      <w:tr w14:paraId="6BAAC552">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E57BA9">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368776">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3ABF46">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8D15E8">
            <w:pPr>
              <w:jc w:val="center"/>
            </w:pPr>
            <w:r>
              <w:rPr>
                <w:rFonts w:ascii="宋体" w:hAnsi="宋体" w:eastAsia="宋体"/>
                <w:sz w:val="16"/>
              </w:rPr>
              <w:t>全年预算数</w:t>
            </w:r>
          </w:p>
        </w:tc>
        <w:tc>
          <w:tcPr>
            <w:tcW w:w="803" w:type="dxa"/>
            <w:tcBorders>
              <w:top w:val="single" w:color="auto" w:sz="10" w:space="0"/>
              <w:left w:val="single" w:color="auto" w:sz="10" w:space="0"/>
              <w:bottom w:val="single" w:color="auto" w:sz="10" w:space="0"/>
              <w:right w:val="single" w:color="auto" w:sz="10" w:space="0"/>
              <w:insideV w:val="single" w:sz="10" w:space="0"/>
            </w:tcBorders>
            <w:vAlign w:val="center"/>
          </w:tcPr>
          <w:p w14:paraId="2B248EE3">
            <w:pPr>
              <w:jc w:val="center"/>
            </w:pPr>
            <w:r>
              <w:rPr>
                <w:rFonts w:ascii="宋体" w:hAnsi="宋体" w:eastAsia="宋体"/>
                <w:sz w:val="16"/>
              </w:rPr>
              <w:t>全年执行数</w:t>
            </w:r>
          </w:p>
        </w:tc>
        <w:tc>
          <w:tcPr>
            <w:tcW w:w="1407" w:type="dxa"/>
            <w:tcBorders>
              <w:top w:val="single" w:color="auto" w:sz="10" w:space="0"/>
              <w:left w:val="single" w:color="auto" w:sz="10" w:space="0"/>
              <w:bottom w:val="single" w:color="auto" w:sz="10" w:space="0"/>
              <w:right w:val="single" w:color="auto" w:sz="10" w:space="0"/>
              <w:insideV w:val="single" w:sz="10" w:space="0"/>
            </w:tcBorders>
            <w:vAlign w:val="center"/>
          </w:tcPr>
          <w:p w14:paraId="387CBEEC">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FECFE7">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34D1D2">
            <w:pPr>
              <w:jc w:val="center"/>
            </w:pPr>
            <w:r>
              <w:rPr>
                <w:rFonts w:ascii="宋体" w:hAnsi="宋体" w:eastAsia="宋体"/>
                <w:sz w:val="16"/>
              </w:rPr>
              <w:t>得分</w:t>
            </w:r>
          </w:p>
        </w:tc>
      </w:tr>
      <w:tr w14:paraId="5BA6795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0DA8AB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FDAA45">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FEEC17">
            <w:pPr>
              <w:jc w:val="center"/>
            </w:pPr>
            <w:r>
              <w:rPr>
                <w:rFonts w:ascii="宋体" w:hAnsi="宋体" w:eastAsia="宋体"/>
                <w:sz w:val="16"/>
              </w:rPr>
              <w:t>445.16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69508D">
            <w:pPr>
              <w:jc w:val="center"/>
            </w:pPr>
            <w:r>
              <w:rPr>
                <w:rFonts w:ascii="宋体" w:hAnsi="宋体" w:eastAsia="宋体"/>
                <w:sz w:val="16"/>
              </w:rPr>
              <w:t>482.80</w:t>
            </w:r>
          </w:p>
        </w:tc>
        <w:tc>
          <w:tcPr>
            <w:tcW w:w="803" w:type="dxa"/>
            <w:tcBorders>
              <w:top w:val="single" w:color="auto" w:sz="10" w:space="0"/>
              <w:left w:val="single" w:color="auto" w:sz="10" w:space="0"/>
              <w:bottom w:val="single" w:color="auto" w:sz="10" w:space="0"/>
              <w:right w:val="single" w:color="auto" w:sz="10" w:space="0"/>
              <w:insideV w:val="single" w:sz="10" w:space="0"/>
            </w:tcBorders>
            <w:vAlign w:val="center"/>
          </w:tcPr>
          <w:p w14:paraId="2095DFE7">
            <w:pPr>
              <w:jc w:val="center"/>
            </w:pPr>
            <w:r>
              <w:rPr>
                <w:rFonts w:ascii="宋体" w:hAnsi="宋体" w:eastAsia="宋体"/>
                <w:sz w:val="16"/>
              </w:rPr>
              <w:t>482.80</w:t>
            </w:r>
          </w:p>
        </w:tc>
        <w:tc>
          <w:tcPr>
            <w:tcW w:w="1407" w:type="dxa"/>
            <w:tcBorders>
              <w:top w:val="single" w:color="auto" w:sz="10" w:space="0"/>
              <w:left w:val="single" w:color="auto" w:sz="10" w:space="0"/>
              <w:bottom w:val="single" w:color="auto" w:sz="10" w:space="0"/>
              <w:right w:val="single" w:color="auto" w:sz="10" w:space="0"/>
              <w:insideV w:val="single" w:sz="10" w:space="0"/>
            </w:tcBorders>
            <w:vAlign w:val="center"/>
          </w:tcPr>
          <w:p w14:paraId="6617033C">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B8AD2E">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AD5BFA">
            <w:pPr>
              <w:jc w:val="center"/>
            </w:pPr>
            <w:r>
              <w:rPr>
                <w:rFonts w:ascii="宋体" w:hAnsi="宋体" w:eastAsia="宋体"/>
                <w:sz w:val="16"/>
              </w:rPr>
              <w:t>10</w:t>
            </w:r>
          </w:p>
        </w:tc>
      </w:tr>
      <w:tr w14:paraId="5714AAD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BC1220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4BEB97">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73B0E5">
            <w:pPr>
              <w:jc w:val="center"/>
            </w:pPr>
            <w:r>
              <w:rPr>
                <w:rFonts w:ascii="宋体" w:hAnsi="宋体" w:eastAsia="宋体"/>
                <w:sz w:val="16"/>
              </w:rPr>
              <w:t>83.95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4DC544">
            <w:pPr>
              <w:jc w:val="center"/>
            </w:pPr>
            <w:r>
              <w:rPr>
                <w:rFonts w:ascii="宋体" w:hAnsi="宋体" w:eastAsia="宋体"/>
                <w:sz w:val="16"/>
              </w:rPr>
              <w:t>83.95</w:t>
            </w:r>
          </w:p>
        </w:tc>
        <w:tc>
          <w:tcPr>
            <w:tcW w:w="803" w:type="dxa"/>
            <w:tcBorders>
              <w:top w:val="single" w:color="auto" w:sz="10" w:space="0"/>
              <w:left w:val="single" w:color="auto" w:sz="10" w:space="0"/>
              <w:bottom w:val="single" w:color="auto" w:sz="10" w:space="0"/>
              <w:right w:val="single" w:color="auto" w:sz="10" w:space="0"/>
              <w:insideV w:val="single" w:sz="10" w:space="0"/>
            </w:tcBorders>
            <w:vAlign w:val="center"/>
          </w:tcPr>
          <w:p w14:paraId="6DE16D4C">
            <w:pPr>
              <w:jc w:val="center"/>
            </w:pPr>
            <w:r>
              <w:rPr>
                <w:rFonts w:ascii="宋体" w:hAnsi="宋体" w:eastAsia="宋体"/>
                <w:sz w:val="16"/>
              </w:rPr>
              <w:t>83.95</w:t>
            </w:r>
          </w:p>
        </w:tc>
        <w:tc>
          <w:tcPr>
            <w:tcW w:w="1407" w:type="dxa"/>
            <w:tcBorders>
              <w:top w:val="single" w:color="auto" w:sz="10" w:space="0"/>
              <w:left w:val="single" w:color="auto" w:sz="10" w:space="0"/>
              <w:bottom w:val="single" w:color="auto" w:sz="10" w:space="0"/>
              <w:right w:val="single" w:color="auto" w:sz="10" w:space="0"/>
              <w:insideV w:val="single" w:sz="10" w:space="0"/>
            </w:tcBorders>
            <w:vAlign w:val="center"/>
          </w:tcPr>
          <w:p w14:paraId="72003A2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B88B1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E167D2">
            <w:pPr>
              <w:jc w:val="center"/>
            </w:pPr>
            <w:r>
              <w:rPr>
                <w:rFonts w:ascii="宋体" w:hAnsi="宋体" w:eastAsia="宋体"/>
                <w:sz w:val="16"/>
              </w:rPr>
              <w:t>-</w:t>
            </w:r>
          </w:p>
        </w:tc>
      </w:tr>
      <w:tr w14:paraId="2A12315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A31B23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E5D2F5">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EEDC01">
            <w:pPr>
              <w:jc w:val="center"/>
            </w:pPr>
            <w:r>
              <w:rPr>
                <w:rFonts w:ascii="宋体" w:hAnsi="宋体" w:eastAsia="宋体"/>
                <w:sz w:val="16"/>
              </w:rPr>
              <w:t>361.21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3E9052">
            <w:pPr>
              <w:jc w:val="center"/>
            </w:pPr>
            <w:r>
              <w:rPr>
                <w:rFonts w:ascii="宋体" w:hAnsi="宋体" w:eastAsia="宋体"/>
                <w:sz w:val="16"/>
              </w:rPr>
              <w:t>398.85</w:t>
            </w:r>
          </w:p>
        </w:tc>
        <w:tc>
          <w:tcPr>
            <w:tcW w:w="803" w:type="dxa"/>
            <w:tcBorders>
              <w:top w:val="single" w:color="auto" w:sz="10" w:space="0"/>
              <w:left w:val="single" w:color="auto" w:sz="10" w:space="0"/>
              <w:bottom w:val="single" w:color="auto" w:sz="10" w:space="0"/>
              <w:right w:val="single" w:color="auto" w:sz="10" w:space="0"/>
              <w:insideV w:val="single" w:sz="10" w:space="0"/>
            </w:tcBorders>
            <w:vAlign w:val="center"/>
          </w:tcPr>
          <w:p w14:paraId="3E557B3B">
            <w:pPr>
              <w:jc w:val="center"/>
            </w:pPr>
            <w:r>
              <w:rPr>
                <w:rFonts w:ascii="宋体" w:hAnsi="宋体" w:eastAsia="宋体"/>
                <w:sz w:val="16"/>
              </w:rPr>
              <w:t>398.85</w:t>
            </w:r>
          </w:p>
        </w:tc>
        <w:tc>
          <w:tcPr>
            <w:tcW w:w="1407" w:type="dxa"/>
            <w:tcBorders>
              <w:top w:val="single" w:color="auto" w:sz="10" w:space="0"/>
              <w:left w:val="single" w:color="auto" w:sz="10" w:space="0"/>
              <w:bottom w:val="single" w:color="auto" w:sz="10" w:space="0"/>
              <w:right w:val="single" w:color="auto" w:sz="10" w:space="0"/>
              <w:insideV w:val="single" w:sz="10" w:space="0"/>
            </w:tcBorders>
            <w:vAlign w:val="center"/>
          </w:tcPr>
          <w:p w14:paraId="207F8B8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C4DEC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E67274">
            <w:pPr>
              <w:jc w:val="center"/>
            </w:pPr>
            <w:r>
              <w:rPr>
                <w:rFonts w:ascii="宋体" w:hAnsi="宋体" w:eastAsia="宋体"/>
                <w:sz w:val="16"/>
              </w:rPr>
              <w:t>-</w:t>
            </w:r>
          </w:p>
        </w:tc>
      </w:tr>
      <w:tr w14:paraId="34BB0FF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5BE289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388E27">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EEF447">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852A65">
            <w:pPr>
              <w:jc w:val="center"/>
            </w:pPr>
            <w:r>
              <w:rPr>
                <w:rFonts w:ascii="宋体" w:hAnsi="宋体" w:eastAsia="宋体"/>
                <w:sz w:val="16"/>
              </w:rPr>
              <w:t>0.00</w:t>
            </w:r>
          </w:p>
        </w:tc>
        <w:tc>
          <w:tcPr>
            <w:tcW w:w="803" w:type="dxa"/>
            <w:tcBorders>
              <w:top w:val="single" w:color="auto" w:sz="10" w:space="0"/>
              <w:left w:val="single" w:color="auto" w:sz="10" w:space="0"/>
              <w:bottom w:val="single" w:color="auto" w:sz="10" w:space="0"/>
              <w:right w:val="single" w:color="auto" w:sz="10" w:space="0"/>
              <w:insideV w:val="single" w:sz="10" w:space="0"/>
            </w:tcBorders>
            <w:vAlign w:val="center"/>
          </w:tcPr>
          <w:p w14:paraId="6CCE7C22">
            <w:pPr>
              <w:jc w:val="center"/>
            </w:pPr>
            <w:r>
              <w:rPr>
                <w:rFonts w:ascii="宋体" w:hAnsi="宋体" w:eastAsia="宋体"/>
                <w:sz w:val="16"/>
              </w:rPr>
              <w:t>0.00</w:t>
            </w:r>
          </w:p>
        </w:tc>
        <w:tc>
          <w:tcPr>
            <w:tcW w:w="1407" w:type="dxa"/>
            <w:tcBorders>
              <w:top w:val="single" w:color="auto" w:sz="10" w:space="0"/>
              <w:left w:val="single" w:color="auto" w:sz="10" w:space="0"/>
              <w:bottom w:val="single" w:color="auto" w:sz="10" w:space="0"/>
              <w:right w:val="single" w:color="auto" w:sz="10" w:space="0"/>
              <w:insideV w:val="single" w:sz="10" w:space="0"/>
            </w:tcBorders>
            <w:vAlign w:val="center"/>
          </w:tcPr>
          <w:p w14:paraId="61C2462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A257B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A8C5CD">
            <w:pPr>
              <w:jc w:val="center"/>
            </w:pPr>
            <w:r>
              <w:rPr>
                <w:rFonts w:ascii="宋体" w:hAnsi="宋体" w:eastAsia="宋体"/>
                <w:sz w:val="16"/>
              </w:rPr>
              <w:t>-</w:t>
            </w:r>
          </w:p>
        </w:tc>
      </w:tr>
      <w:tr w14:paraId="2BF55F2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4C1BC3">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6B72D69">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1716219">
            <w:pPr>
              <w:jc w:val="center"/>
            </w:pPr>
            <w:r>
              <w:rPr>
                <w:rFonts w:ascii="宋体" w:hAnsi="宋体" w:eastAsia="宋体"/>
                <w:sz w:val="16"/>
              </w:rPr>
              <w:t>实际完成情况</w:t>
            </w:r>
          </w:p>
        </w:tc>
      </w:tr>
      <w:tr w14:paraId="581BE24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EB9917D"/>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A2E926A">
            <w:pPr>
              <w:jc w:val="both"/>
            </w:pPr>
            <w:r>
              <w:rPr>
                <w:rFonts w:ascii="宋体" w:hAnsi="宋体" w:eastAsia="宋体"/>
                <w:sz w:val="16"/>
              </w:rPr>
              <w:t>贯彻落实党中央教育方针，紧紧围绕特殊教育学校工作目标,“以人为本，以爱为源，生存教育，特色育人，求真务实，开拓进取。”</w:t>
            </w:r>
            <w:r>
              <w:rPr>
                <w:rFonts w:hint="eastAsia" w:ascii="宋体" w:hAnsi="宋体"/>
                <w:sz w:val="16"/>
                <w:lang w:eastAsia="zh-CN"/>
              </w:rPr>
              <w:t>通过</w:t>
            </w:r>
            <w:r>
              <w:rPr>
                <w:rFonts w:ascii="宋体" w:hAnsi="宋体" w:eastAsia="宋体"/>
                <w:sz w:val="16"/>
              </w:rPr>
              <w:t>转变工作作风，坚持创新驱动发展，推动各项工作健康快步发展。对患有听障孩子的聋儿语训，言语矫治、人工耳蜗训练；对轻度智障孩子的康复训练；对轻度肢体残疾孩子的训练；对残疾孩子实施九年义务教育。从德育、智育、体育、美育等方面全面提升学生素质，办人民满意的特殊教育。</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BB9B4A3">
            <w:pPr>
              <w:jc w:val="both"/>
            </w:pPr>
            <w:r>
              <w:rPr>
                <w:rFonts w:ascii="宋体" w:hAnsi="宋体" w:eastAsia="宋体"/>
                <w:sz w:val="16"/>
              </w:rPr>
              <w:t>对患有听障孩子的聋儿语训，言语矫治、人工耳蜗训练；对轻度智障孩子的康复训练；对轻度肢体残疾孩子的训练；对残疾孩子实施九年义务教育。加强师资队伍建设，努力打造书香校园特色学校。落实立德树人根本任务，健全校内校外协同育人机制，全面提升德育管理水平。细化教育教学管理，加强教科研时效性研究，落实体卫艺工作，全面提升教育教学质量。发挥工会桥梁纽带作用，积极构建和谐校园。</w:t>
            </w:r>
          </w:p>
        </w:tc>
      </w:tr>
      <w:tr w14:paraId="1775ADE7">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553D2F">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B341D9">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E85B1F">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58B949">
            <w:pPr>
              <w:jc w:val="center"/>
            </w:pPr>
            <w:r>
              <w:rPr>
                <w:rFonts w:ascii="宋体" w:hAnsi="宋体" w:eastAsia="宋体"/>
                <w:sz w:val="16"/>
              </w:rPr>
              <w:t>预期指标值</w:t>
            </w:r>
          </w:p>
        </w:tc>
        <w:tc>
          <w:tcPr>
            <w:tcW w:w="803" w:type="dxa"/>
            <w:tcBorders>
              <w:top w:val="single" w:color="auto" w:sz="10" w:space="0"/>
              <w:left w:val="single" w:color="auto" w:sz="10" w:space="0"/>
              <w:bottom w:val="single" w:color="auto" w:sz="10" w:space="0"/>
              <w:right w:val="single" w:color="auto" w:sz="10" w:space="0"/>
              <w:insideV w:val="single" w:sz="10" w:space="0"/>
            </w:tcBorders>
            <w:vAlign w:val="center"/>
          </w:tcPr>
          <w:p w14:paraId="0B855216">
            <w:pPr>
              <w:jc w:val="center"/>
            </w:pPr>
            <w:r>
              <w:rPr>
                <w:rFonts w:ascii="宋体" w:hAnsi="宋体" w:eastAsia="宋体"/>
                <w:sz w:val="16"/>
              </w:rPr>
              <w:t>指标值设定依据</w:t>
            </w:r>
          </w:p>
        </w:tc>
        <w:tc>
          <w:tcPr>
            <w:tcW w:w="1407" w:type="dxa"/>
            <w:tcBorders>
              <w:top w:val="single" w:color="auto" w:sz="10" w:space="0"/>
              <w:left w:val="single" w:color="auto" w:sz="10" w:space="0"/>
              <w:bottom w:val="single" w:color="auto" w:sz="10" w:space="0"/>
              <w:right w:val="single" w:color="auto" w:sz="10" w:space="0"/>
              <w:insideV w:val="single" w:sz="10" w:space="0"/>
            </w:tcBorders>
            <w:vAlign w:val="center"/>
          </w:tcPr>
          <w:p w14:paraId="559A045E">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C8B296">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A17991">
            <w:pPr>
              <w:jc w:val="center"/>
            </w:pPr>
            <w:r>
              <w:rPr>
                <w:rFonts w:ascii="宋体" w:hAnsi="宋体" w:eastAsia="宋体"/>
                <w:sz w:val="16"/>
              </w:rPr>
              <w:t>得分</w:t>
            </w:r>
          </w:p>
        </w:tc>
      </w:tr>
      <w:tr w14:paraId="798EA94F">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31BD11">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D2E1BE">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8C105D">
            <w:pPr>
              <w:jc w:val="center"/>
            </w:pPr>
            <w:r>
              <w:rPr>
                <w:rFonts w:ascii="宋体" w:hAnsi="宋体" w:eastAsia="宋体"/>
                <w:sz w:val="16"/>
              </w:rPr>
              <w:t>开展聋儿语训和培智儿童教育覆盖率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5ED9BC">
            <w:pPr>
              <w:jc w:val="center"/>
            </w:pPr>
            <w:r>
              <w:rPr>
                <w:rFonts w:ascii="宋体" w:hAnsi="宋体" w:eastAsia="宋体"/>
                <w:sz w:val="16"/>
              </w:rPr>
              <w:t>=100%</w:t>
            </w:r>
          </w:p>
        </w:tc>
        <w:tc>
          <w:tcPr>
            <w:tcW w:w="803" w:type="dxa"/>
            <w:tcBorders>
              <w:top w:val="single" w:color="auto" w:sz="10" w:space="0"/>
              <w:left w:val="single" w:color="auto" w:sz="10" w:space="0"/>
              <w:bottom w:val="single" w:color="auto" w:sz="10" w:space="0"/>
              <w:right w:val="single" w:color="auto" w:sz="10" w:space="0"/>
              <w:insideV w:val="single" w:sz="10" w:space="0"/>
            </w:tcBorders>
            <w:vAlign w:val="center"/>
          </w:tcPr>
          <w:p w14:paraId="0BD4B652">
            <w:pPr>
              <w:jc w:val="center"/>
            </w:pPr>
            <w:r>
              <w:rPr>
                <w:rFonts w:ascii="宋体" w:hAnsi="宋体" w:eastAsia="宋体"/>
                <w:sz w:val="16"/>
              </w:rPr>
              <w:t>霍城县国民经济和社会发展第十四个五年规划纲要与2035年远景目标</w:t>
            </w:r>
          </w:p>
        </w:tc>
        <w:tc>
          <w:tcPr>
            <w:tcW w:w="1407" w:type="dxa"/>
            <w:tcBorders>
              <w:top w:val="single" w:color="auto" w:sz="10" w:space="0"/>
              <w:left w:val="single" w:color="auto" w:sz="10" w:space="0"/>
              <w:bottom w:val="single" w:color="auto" w:sz="10" w:space="0"/>
              <w:right w:val="single" w:color="auto" w:sz="10" w:space="0"/>
              <w:insideV w:val="single" w:sz="10" w:space="0"/>
            </w:tcBorders>
            <w:vAlign w:val="center"/>
          </w:tcPr>
          <w:p w14:paraId="73C7B671">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B27982">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E5B1B8">
            <w:pPr>
              <w:jc w:val="center"/>
            </w:pPr>
            <w:r>
              <w:rPr>
                <w:rFonts w:ascii="宋体" w:hAnsi="宋体" w:eastAsia="宋体"/>
                <w:sz w:val="16"/>
              </w:rPr>
              <w:t>18</w:t>
            </w:r>
          </w:p>
        </w:tc>
      </w:tr>
      <w:tr w14:paraId="306B0B5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BF11BA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6801CC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16AAEA">
            <w:pPr>
              <w:jc w:val="center"/>
            </w:pPr>
            <w:r>
              <w:rPr>
                <w:rFonts w:ascii="宋体" w:hAnsi="宋体" w:eastAsia="宋体"/>
                <w:sz w:val="16"/>
              </w:rPr>
              <w:t>适龄残疾儿童少年入学率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1D87F1">
            <w:pPr>
              <w:jc w:val="center"/>
            </w:pPr>
            <w:r>
              <w:rPr>
                <w:rFonts w:ascii="宋体" w:hAnsi="宋体" w:eastAsia="宋体"/>
                <w:sz w:val="16"/>
              </w:rPr>
              <w:t>=100%</w:t>
            </w:r>
          </w:p>
        </w:tc>
        <w:tc>
          <w:tcPr>
            <w:tcW w:w="803" w:type="dxa"/>
            <w:tcBorders>
              <w:top w:val="single" w:color="auto" w:sz="10" w:space="0"/>
              <w:left w:val="single" w:color="auto" w:sz="10" w:space="0"/>
              <w:bottom w:val="single" w:color="auto" w:sz="10" w:space="0"/>
              <w:right w:val="single" w:color="auto" w:sz="10" w:space="0"/>
              <w:insideV w:val="single" w:sz="10" w:space="0"/>
            </w:tcBorders>
            <w:vAlign w:val="center"/>
          </w:tcPr>
          <w:p w14:paraId="75C6692B">
            <w:pPr>
              <w:jc w:val="center"/>
            </w:pPr>
            <w:r>
              <w:rPr>
                <w:rFonts w:ascii="宋体" w:hAnsi="宋体" w:eastAsia="宋体"/>
                <w:sz w:val="16"/>
              </w:rPr>
              <w:t>霍城县国民经济和社会发展第十四个五年规划纲要与2035年远景目标</w:t>
            </w:r>
          </w:p>
        </w:tc>
        <w:tc>
          <w:tcPr>
            <w:tcW w:w="1407" w:type="dxa"/>
            <w:tcBorders>
              <w:top w:val="single" w:color="auto" w:sz="10" w:space="0"/>
              <w:left w:val="single" w:color="auto" w:sz="10" w:space="0"/>
              <w:bottom w:val="single" w:color="auto" w:sz="10" w:space="0"/>
              <w:right w:val="single" w:color="auto" w:sz="10" w:space="0"/>
              <w:insideV w:val="single" w:sz="10" w:space="0"/>
            </w:tcBorders>
            <w:vAlign w:val="center"/>
          </w:tcPr>
          <w:p w14:paraId="31750594">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EEF64B">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07D3FC">
            <w:pPr>
              <w:jc w:val="center"/>
            </w:pPr>
            <w:r>
              <w:rPr>
                <w:rFonts w:ascii="宋体" w:hAnsi="宋体" w:eastAsia="宋体"/>
                <w:sz w:val="16"/>
              </w:rPr>
              <w:t>18</w:t>
            </w:r>
          </w:p>
        </w:tc>
      </w:tr>
      <w:tr w14:paraId="19C95C0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8945B1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C5A946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7F8F90">
            <w:pPr>
              <w:jc w:val="center"/>
            </w:pPr>
            <w:r>
              <w:rPr>
                <w:rFonts w:ascii="宋体" w:hAnsi="宋体" w:eastAsia="宋体"/>
                <w:sz w:val="16"/>
              </w:rPr>
              <w:t>教师优质课评比活动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0BA605">
            <w:pPr>
              <w:jc w:val="center"/>
            </w:pPr>
            <w:r>
              <w:rPr>
                <w:rFonts w:ascii="宋体" w:hAnsi="宋体" w:eastAsia="宋体"/>
                <w:sz w:val="16"/>
              </w:rPr>
              <w:t>&gt;=2次</w:t>
            </w:r>
          </w:p>
        </w:tc>
        <w:tc>
          <w:tcPr>
            <w:tcW w:w="803" w:type="dxa"/>
            <w:tcBorders>
              <w:top w:val="single" w:color="auto" w:sz="10" w:space="0"/>
              <w:left w:val="single" w:color="auto" w:sz="10" w:space="0"/>
              <w:bottom w:val="single" w:color="auto" w:sz="10" w:space="0"/>
              <w:right w:val="single" w:color="auto" w:sz="10" w:space="0"/>
              <w:insideV w:val="single" w:sz="10" w:space="0"/>
            </w:tcBorders>
            <w:vAlign w:val="center"/>
          </w:tcPr>
          <w:p w14:paraId="45966100">
            <w:pPr>
              <w:jc w:val="center"/>
            </w:pPr>
            <w:r>
              <w:rPr>
                <w:rFonts w:ascii="宋体" w:hAnsi="宋体" w:eastAsia="宋体"/>
                <w:sz w:val="16"/>
              </w:rPr>
              <w:t>霍城县特殊教育学校2024年工作计划</w:t>
            </w:r>
          </w:p>
        </w:tc>
        <w:tc>
          <w:tcPr>
            <w:tcW w:w="1407" w:type="dxa"/>
            <w:tcBorders>
              <w:top w:val="single" w:color="auto" w:sz="10" w:space="0"/>
              <w:left w:val="single" w:color="auto" w:sz="10" w:space="0"/>
              <w:bottom w:val="single" w:color="auto" w:sz="10" w:space="0"/>
              <w:right w:val="single" w:color="auto" w:sz="10" w:space="0"/>
              <w:insideV w:val="single" w:sz="10" w:space="0"/>
            </w:tcBorders>
            <w:vAlign w:val="center"/>
          </w:tcPr>
          <w:p w14:paraId="7AF1DC1D">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3C5956">
            <w:pPr>
              <w:jc w:val="center"/>
            </w:pPr>
            <w:r>
              <w:rPr>
                <w:rFonts w:ascii="宋体" w:hAnsi="宋体" w:eastAsia="宋体"/>
                <w:sz w:val="16"/>
              </w:rPr>
              <w:t>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EB145F">
            <w:pPr>
              <w:jc w:val="center"/>
            </w:pPr>
            <w:r>
              <w:rPr>
                <w:rFonts w:ascii="宋体" w:hAnsi="宋体" w:eastAsia="宋体"/>
                <w:sz w:val="16"/>
              </w:rPr>
              <w:t>18</w:t>
            </w:r>
          </w:p>
        </w:tc>
      </w:tr>
      <w:tr w14:paraId="30B6BCF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E05D49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C5D27E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A3E02C">
            <w:pPr>
              <w:jc w:val="center"/>
            </w:pPr>
            <w:r>
              <w:rPr>
                <w:rFonts w:ascii="宋体" w:hAnsi="宋体" w:eastAsia="宋体"/>
                <w:sz w:val="16"/>
              </w:rPr>
              <w:t>教师业务培训次数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E5945C">
            <w:pPr>
              <w:jc w:val="center"/>
            </w:pPr>
            <w:r>
              <w:rPr>
                <w:rFonts w:ascii="宋体" w:hAnsi="宋体" w:eastAsia="宋体"/>
                <w:sz w:val="16"/>
              </w:rPr>
              <w:t>&gt;=10次</w:t>
            </w:r>
          </w:p>
        </w:tc>
        <w:tc>
          <w:tcPr>
            <w:tcW w:w="803" w:type="dxa"/>
            <w:tcBorders>
              <w:top w:val="single" w:color="auto" w:sz="10" w:space="0"/>
              <w:left w:val="single" w:color="auto" w:sz="10" w:space="0"/>
              <w:bottom w:val="single" w:color="auto" w:sz="10" w:space="0"/>
              <w:right w:val="single" w:color="auto" w:sz="10" w:space="0"/>
              <w:insideV w:val="single" w:sz="10" w:space="0"/>
            </w:tcBorders>
            <w:vAlign w:val="center"/>
          </w:tcPr>
          <w:p w14:paraId="37A2B155">
            <w:pPr>
              <w:jc w:val="center"/>
            </w:pPr>
            <w:r>
              <w:rPr>
                <w:rFonts w:ascii="宋体" w:hAnsi="宋体" w:eastAsia="宋体"/>
                <w:sz w:val="16"/>
              </w:rPr>
              <w:t>工作计划</w:t>
            </w:r>
          </w:p>
        </w:tc>
        <w:tc>
          <w:tcPr>
            <w:tcW w:w="1407" w:type="dxa"/>
            <w:tcBorders>
              <w:top w:val="single" w:color="auto" w:sz="10" w:space="0"/>
              <w:left w:val="single" w:color="auto" w:sz="10" w:space="0"/>
              <w:bottom w:val="single" w:color="auto" w:sz="10" w:space="0"/>
              <w:right w:val="single" w:color="auto" w:sz="10" w:space="0"/>
              <w:insideV w:val="single" w:sz="10" w:space="0"/>
            </w:tcBorders>
            <w:vAlign w:val="center"/>
          </w:tcPr>
          <w:p w14:paraId="4739788B">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8A90C7">
            <w:pPr>
              <w:jc w:val="center"/>
            </w:pPr>
            <w:r>
              <w:rPr>
                <w:rFonts w:ascii="宋体" w:hAnsi="宋体" w:eastAsia="宋体"/>
                <w:sz w:val="16"/>
              </w:rPr>
              <w:t>10次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69B1EA">
            <w:pPr>
              <w:jc w:val="center"/>
            </w:pPr>
            <w:r>
              <w:rPr>
                <w:rFonts w:ascii="宋体" w:hAnsi="宋体" w:eastAsia="宋体"/>
                <w:sz w:val="16"/>
              </w:rPr>
              <w:t>18</w:t>
            </w:r>
          </w:p>
        </w:tc>
      </w:tr>
      <w:tr w14:paraId="408DB7C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8E20F6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E626E0">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F96999">
            <w:pPr>
              <w:jc w:val="center"/>
            </w:pPr>
            <w:r>
              <w:rPr>
                <w:rFonts w:ascii="宋体" w:hAnsi="宋体" w:eastAsia="宋体"/>
                <w:sz w:val="16"/>
              </w:rPr>
              <w:t>九年义务教育巩固率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790EFB">
            <w:pPr>
              <w:jc w:val="center"/>
            </w:pPr>
            <w:r>
              <w:rPr>
                <w:rFonts w:ascii="宋体" w:hAnsi="宋体" w:eastAsia="宋体"/>
                <w:sz w:val="16"/>
              </w:rPr>
              <w:t>&gt;=98%</w:t>
            </w:r>
          </w:p>
        </w:tc>
        <w:tc>
          <w:tcPr>
            <w:tcW w:w="803" w:type="dxa"/>
            <w:tcBorders>
              <w:top w:val="single" w:color="auto" w:sz="10" w:space="0"/>
              <w:left w:val="single" w:color="auto" w:sz="10" w:space="0"/>
              <w:bottom w:val="single" w:color="auto" w:sz="10" w:space="0"/>
              <w:right w:val="single" w:color="auto" w:sz="10" w:space="0"/>
              <w:insideV w:val="single" w:sz="10" w:space="0"/>
            </w:tcBorders>
            <w:vAlign w:val="center"/>
          </w:tcPr>
          <w:p w14:paraId="1C00D2D1">
            <w:pPr>
              <w:jc w:val="center"/>
            </w:pPr>
            <w:r>
              <w:rPr>
                <w:rFonts w:ascii="宋体" w:hAnsi="宋体" w:eastAsia="宋体"/>
                <w:sz w:val="16"/>
              </w:rPr>
              <w:t>霍城县国民经济和社会发展第十四个五年规划纲要与2035年远景目标</w:t>
            </w:r>
          </w:p>
        </w:tc>
        <w:tc>
          <w:tcPr>
            <w:tcW w:w="1407" w:type="dxa"/>
            <w:tcBorders>
              <w:top w:val="single" w:color="auto" w:sz="10" w:space="0"/>
              <w:left w:val="single" w:color="auto" w:sz="10" w:space="0"/>
              <w:bottom w:val="single" w:color="auto" w:sz="10" w:space="0"/>
              <w:right w:val="single" w:color="auto" w:sz="10" w:space="0"/>
              <w:insideV w:val="single" w:sz="10" w:space="0"/>
            </w:tcBorders>
            <w:vAlign w:val="center"/>
          </w:tcPr>
          <w:p w14:paraId="02128D5A">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E75631">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E09A55">
            <w:pPr>
              <w:jc w:val="center"/>
            </w:pPr>
            <w:r>
              <w:rPr>
                <w:rFonts w:ascii="宋体" w:hAnsi="宋体" w:eastAsia="宋体"/>
                <w:sz w:val="16"/>
              </w:rPr>
              <w:t>18</w:t>
            </w:r>
          </w:p>
        </w:tc>
      </w:tr>
    </w:tbl>
    <w:p w14:paraId="2110CC31">
      <w:r>
        <w:br w:type="page"/>
      </w:r>
    </w:p>
    <w:tbl>
      <w:tblPr>
        <w:tblStyle w:val="9"/>
        <w:tblW w:w="0" w:type="auto"/>
        <w:tblInd w:w="0" w:type="dxa"/>
        <w:tblLayout w:type="fixed"/>
        <w:tblCellMar>
          <w:top w:w="0" w:type="dxa"/>
          <w:left w:w="108" w:type="dxa"/>
          <w:bottom w:w="0" w:type="dxa"/>
          <w:right w:w="108" w:type="dxa"/>
        </w:tblCellMar>
      </w:tblPr>
      <w:tblGrid>
        <w:gridCol w:w="702"/>
        <w:gridCol w:w="562"/>
        <w:gridCol w:w="571"/>
        <w:gridCol w:w="894"/>
        <w:gridCol w:w="560"/>
        <w:gridCol w:w="613"/>
        <w:gridCol w:w="640"/>
        <w:gridCol w:w="658"/>
        <w:gridCol w:w="632"/>
        <w:gridCol w:w="632"/>
        <w:gridCol w:w="491"/>
        <w:gridCol w:w="773"/>
        <w:gridCol w:w="523"/>
        <w:gridCol w:w="109"/>
        <w:gridCol w:w="632"/>
      </w:tblGrid>
      <w:tr w14:paraId="7CAF1B00">
        <w:tblPrEx>
          <w:tblCellMar>
            <w:top w:w="0" w:type="dxa"/>
            <w:left w:w="108" w:type="dxa"/>
            <w:bottom w:w="0" w:type="dxa"/>
            <w:right w:w="108" w:type="dxa"/>
          </w:tblCellMar>
        </w:tblPrEx>
        <w:tc>
          <w:tcPr>
            <w:tcW w:w="8992" w:type="dxa"/>
            <w:gridSpan w:val="15"/>
            <w:vAlign w:val="center"/>
          </w:tcPr>
          <w:p w14:paraId="4F92A5B7">
            <w:pPr>
              <w:jc w:val="center"/>
            </w:pPr>
            <w:r>
              <w:rPr>
                <w:rFonts w:ascii="宋体" w:hAnsi="宋体" w:eastAsia="宋体"/>
                <w:sz w:val="24"/>
              </w:rPr>
              <w:t>项目支出绩效自评表</w:t>
            </w:r>
          </w:p>
        </w:tc>
      </w:tr>
      <w:tr w14:paraId="758A59A8">
        <w:tblPrEx>
          <w:tblCellMar>
            <w:top w:w="0" w:type="dxa"/>
            <w:left w:w="108" w:type="dxa"/>
            <w:bottom w:w="0" w:type="dxa"/>
            <w:right w:w="108" w:type="dxa"/>
          </w:tblCellMar>
        </w:tblPrEx>
        <w:tc>
          <w:tcPr>
            <w:tcW w:w="8992" w:type="dxa"/>
            <w:gridSpan w:val="15"/>
            <w:vAlign w:val="center"/>
          </w:tcPr>
          <w:p w14:paraId="52658CD6">
            <w:pPr>
              <w:jc w:val="center"/>
            </w:pPr>
            <w:r>
              <w:rPr>
                <w:rFonts w:ascii="宋体" w:hAnsi="宋体" w:eastAsia="宋体"/>
                <w:sz w:val="24"/>
              </w:rPr>
              <w:t>(2024年度)</w:t>
            </w:r>
          </w:p>
        </w:tc>
      </w:tr>
      <w:tr w14:paraId="29827750">
        <w:tblPrEx>
          <w:tblCellMar>
            <w:top w:w="0" w:type="dxa"/>
            <w:left w:w="108" w:type="dxa"/>
            <w:bottom w:w="0" w:type="dxa"/>
            <w:right w:w="108" w:type="dxa"/>
          </w:tblCellMar>
        </w:tblPrEx>
        <w:tc>
          <w:tcPr>
            <w:tcW w:w="702" w:type="dxa"/>
            <w:tcBorders>
              <w:top w:val="single" w:color="auto" w:sz="10" w:space="0"/>
              <w:left w:val="single" w:color="auto" w:sz="10" w:space="0"/>
              <w:bottom w:val="single" w:color="auto" w:sz="10" w:space="0"/>
              <w:right w:val="single" w:color="auto" w:sz="10" w:space="0"/>
              <w:insideV w:val="single" w:sz="10" w:space="0"/>
            </w:tcBorders>
            <w:vAlign w:val="center"/>
          </w:tcPr>
          <w:p w14:paraId="2EFA1D2C">
            <w:pPr>
              <w:jc w:val="center"/>
            </w:pPr>
            <w:r>
              <w:rPr>
                <w:rFonts w:ascii="宋体" w:hAnsi="宋体" w:eastAsia="宋体"/>
                <w:sz w:val="16"/>
              </w:rPr>
              <w:t>项目名称</w:t>
            </w:r>
          </w:p>
        </w:tc>
        <w:tc>
          <w:tcPr>
            <w:tcW w:w="8290"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4DF7BECF">
            <w:pPr>
              <w:jc w:val="center"/>
            </w:pPr>
            <w:r>
              <w:rPr>
                <w:rFonts w:ascii="宋体" w:hAnsi="宋体" w:eastAsia="宋体"/>
                <w:sz w:val="16"/>
              </w:rPr>
              <w:t>特殊教育学校（特教班）生活补助项目</w:t>
            </w:r>
          </w:p>
        </w:tc>
      </w:tr>
      <w:tr w14:paraId="47AE6EDA">
        <w:tblPrEx>
          <w:tblCellMar>
            <w:top w:w="0" w:type="dxa"/>
            <w:left w:w="108" w:type="dxa"/>
            <w:bottom w:w="0" w:type="dxa"/>
            <w:right w:w="108" w:type="dxa"/>
          </w:tblCellMar>
        </w:tblPrEx>
        <w:tc>
          <w:tcPr>
            <w:tcW w:w="702" w:type="dxa"/>
            <w:tcBorders>
              <w:top w:val="single" w:color="auto" w:sz="10" w:space="0"/>
              <w:left w:val="single" w:color="auto" w:sz="10" w:space="0"/>
              <w:bottom w:val="single" w:color="auto" w:sz="10" w:space="0"/>
              <w:right w:val="single" w:color="auto" w:sz="10" w:space="0"/>
              <w:insideV w:val="single" w:sz="10" w:space="0"/>
            </w:tcBorders>
            <w:vAlign w:val="center"/>
          </w:tcPr>
          <w:p w14:paraId="134B2562">
            <w:pPr>
              <w:jc w:val="center"/>
            </w:pPr>
            <w:r>
              <w:rPr>
                <w:rFonts w:ascii="宋体" w:hAnsi="宋体" w:eastAsia="宋体"/>
                <w:sz w:val="16"/>
              </w:rPr>
              <w:t>主管部门</w:t>
            </w:r>
          </w:p>
        </w:tc>
        <w:tc>
          <w:tcPr>
            <w:tcW w:w="449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88D823">
            <w:pPr>
              <w:jc w:val="center"/>
            </w:pPr>
            <w:r>
              <w:rPr>
                <w:rFonts w:ascii="宋体" w:hAnsi="宋体" w:eastAsia="宋体"/>
                <w:sz w:val="16"/>
              </w:rPr>
              <w:t>霍城县特殊教育学校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42F78">
            <w:pPr>
              <w:jc w:val="center"/>
            </w:pPr>
            <w:r>
              <w:rPr>
                <w:rFonts w:ascii="宋体" w:hAnsi="宋体" w:eastAsia="宋体"/>
                <w:sz w:val="16"/>
              </w:rPr>
              <w:t>实施单位</w:t>
            </w:r>
          </w:p>
        </w:tc>
        <w:tc>
          <w:tcPr>
            <w:tcW w:w="316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F469FD4">
            <w:pPr>
              <w:jc w:val="center"/>
            </w:pPr>
            <w:r>
              <w:rPr>
                <w:rFonts w:ascii="宋体" w:hAnsi="宋体" w:eastAsia="宋体"/>
                <w:sz w:val="16"/>
              </w:rPr>
              <w:t>霍城县特殊教育学校</w:t>
            </w:r>
          </w:p>
        </w:tc>
      </w:tr>
      <w:tr w14:paraId="083772A8">
        <w:tblPrEx>
          <w:tblCellMar>
            <w:top w:w="0" w:type="dxa"/>
            <w:left w:w="108" w:type="dxa"/>
            <w:bottom w:w="0" w:type="dxa"/>
            <w:right w:w="108" w:type="dxa"/>
          </w:tblCellMar>
        </w:tblPrEx>
        <w:tc>
          <w:tcPr>
            <w:tcW w:w="70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97E8EA">
            <w:pPr>
              <w:jc w:val="center"/>
            </w:pPr>
            <w:r>
              <w:rPr>
                <w:rFonts w:ascii="宋体" w:hAnsi="宋体" w:eastAsia="宋体"/>
                <w:sz w:val="16"/>
              </w:rPr>
              <w:t>项目资金（万元）</w:t>
            </w:r>
          </w:p>
        </w:tc>
        <w:tc>
          <w:tcPr>
            <w:tcW w:w="113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599243">
            <w:pPr>
              <w:jc w:val="center"/>
            </w:pPr>
          </w:p>
        </w:tc>
        <w:tc>
          <w:tcPr>
            <w:tcW w:w="14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FC7A5A">
            <w:pPr>
              <w:jc w:val="center"/>
            </w:pPr>
            <w:r>
              <w:rPr>
                <w:rFonts w:ascii="宋体" w:hAnsi="宋体" w:eastAsia="宋体"/>
                <w:sz w:val="16"/>
              </w:rPr>
              <w:t>年初预算数</w:t>
            </w:r>
          </w:p>
        </w:tc>
        <w:tc>
          <w:tcPr>
            <w:tcW w:w="12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F077AB">
            <w:pPr>
              <w:jc w:val="center"/>
            </w:pPr>
            <w:r>
              <w:rPr>
                <w:rFonts w:ascii="宋体" w:hAnsi="宋体" w:eastAsia="宋体"/>
                <w:sz w:val="16"/>
              </w:rPr>
              <w:t>全年预算数</w:t>
            </w:r>
          </w:p>
        </w:tc>
        <w:tc>
          <w:tcPr>
            <w:tcW w:w="12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1F5D32">
            <w:pPr>
              <w:jc w:val="center"/>
            </w:pPr>
            <w:r>
              <w:rPr>
                <w:rFonts w:ascii="宋体" w:hAnsi="宋体" w:eastAsia="宋体"/>
                <w:sz w:val="16"/>
              </w:rPr>
              <w:t>全年执行数</w:t>
            </w:r>
          </w:p>
        </w:tc>
        <w:tc>
          <w:tcPr>
            <w:tcW w:w="11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C81BE3">
            <w:pPr>
              <w:jc w:val="center"/>
            </w:pPr>
            <w:r>
              <w:rPr>
                <w:rFonts w:ascii="宋体" w:hAnsi="宋体" w:eastAsia="宋体"/>
                <w:sz w:val="16"/>
              </w:rPr>
              <w:t>分值</w:t>
            </w:r>
          </w:p>
        </w:tc>
        <w:tc>
          <w:tcPr>
            <w:tcW w:w="140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D920C0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9C843">
            <w:pPr>
              <w:jc w:val="center"/>
            </w:pPr>
            <w:r>
              <w:rPr>
                <w:rFonts w:ascii="宋体" w:hAnsi="宋体" w:eastAsia="宋体"/>
                <w:sz w:val="16"/>
              </w:rPr>
              <w:t>得分</w:t>
            </w:r>
          </w:p>
        </w:tc>
      </w:tr>
      <w:tr w14:paraId="1E4D30AE">
        <w:tblPrEx>
          <w:tblCellMar>
            <w:top w:w="0" w:type="dxa"/>
            <w:left w:w="108" w:type="dxa"/>
            <w:bottom w:w="0" w:type="dxa"/>
            <w:right w:w="108" w:type="dxa"/>
          </w:tblCellMar>
        </w:tblPrEx>
        <w:tc>
          <w:tcPr>
            <w:tcW w:w="702" w:type="dxa"/>
            <w:vMerge w:val="continue"/>
            <w:tcBorders>
              <w:top w:val="single" w:color="auto" w:sz="10" w:space="0"/>
              <w:left w:val="single" w:color="auto" w:sz="10" w:space="0"/>
              <w:bottom w:val="single" w:color="auto" w:sz="10" w:space="0"/>
              <w:right w:val="single" w:color="auto" w:sz="10" w:space="0"/>
              <w:insideV w:val="single" w:sz="10" w:space="0"/>
            </w:tcBorders>
          </w:tcPr>
          <w:p w14:paraId="294F61E7"/>
        </w:tc>
        <w:tc>
          <w:tcPr>
            <w:tcW w:w="113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D74044">
            <w:pPr>
              <w:jc w:val="center"/>
            </w:pPr>
            <w:r>
              <w:rPr>
                <w:rFonts w:ascii="宋体" w:hAnsi="宋体" w:eastAsia="宋体"/>
                <w:sz w:val="16"/>
              </w:rPr>
              <w:t>年度资金总额</w:t>
            </w:r>
          </w:p>
        </w:tc>
        <w:tc>
          <w:tcPr>
            <w:tcW w:w="14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D6F396">
            <w:pPr>
              <w:jc w:val="center"/>
            </w:pPr>
            <w:r>
              <w:rPr>
                <w:rFonts w:ascii="宋体" w:hAnsi="宋体" w:eastAsia="宋体"/>
                <w:sz w:val="16"/>
              </w:rPr>
              <w:t>8.60</w:t>
            </w:r>
          </w:p>
        </w:tc>
        <w:tc>
          <w:tcPr>
            <w:tcW w:w="12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EC7FB3">
            <w:pPr>
              <w:jc w:val="center"/>
            </w:pPr>
            <w:r>
              <w:rPr>
                <w:rFonts w:ascii="宋体" w:hAnsi="宋体" w:eastAsia="宋体"/>
                <w:sz w:val="16"/>
              </w:rPr>
              <w:t>8.60</w:t>
            </w:r>
          </w:p>
        </w:tc>
        <w:tc>
          <w:tcPr>
            <w:tcW w:w="12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554550">
            <w:pPr>
              <w:jc w:val="center"/>
            </w:pPr>
            <w:r>
              <w:rPr>
                <w:rFonts w:ascii="宋体" w:hAnsi="宋体" w:eastAsia="宋体"/>
                <w:sz w:val="16"/>
              </w:rPr>
              <w:t>8.60</w:t>
            </w:r>
          </w:p>
        </w:tc>
        <w:tc>
          <w:tcPr>
            <w:tcW w:w="11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4BA7EE">
            <w:pPr>
              <w:jc w:val="center"/>
            </w:pPr>
            <w:r>
              <w:rPr>
                <w:rFonts w:ascii="宋体" w:hAnsi="宋体" w:eastAsia="宋体"/>
                <w:sz w:val="16"/>
              </w:rPr>
              <w:t>10</w:t>
            </w:r>
          </w:p>
        </w:tc>
        <w:tc>
          <w:tcPr>
            <w:tcW w:w="140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17261A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471D1">
            <w:pPr>
              <w:jc w:val="center"/>
            </w:pPr>
            <w:r>
              <w:rPr>
                <w:rFonts w:ascii="宋体" w:hAnsi="宋体" w:eastAsia="宋体"/>
                <w:sz w:val="16"/>
              </w:rPr>
              <w:t>10.00</w:t>
            </w:r>
          </w:p>
        </w:tc>
      </w:tr>
      <w:tr w14:paraId="7AD46700">
        <w:tblPrEx>
          <w:tblCellMar>
            <w:top w:w="0" w:type="dxa"/>
            <w:left w:w="108" w:type="dxa"/>
            <w:bottom w:w="0" w:type="dxa"/>
            <w:right w:w="108" w:type="dxa"/>
          </w:tblCellMar>
        </w:tblPrEx>
        <w:tc>
          <w:tcPr>
            <w:tcW w:w="702" w:type="dxa"/>
            <w:vMerge w:val="continue"/>
            <w:tcBorders>
              <w:top w:val="single" w:color="auto" w:sz="10" w:space="0"/>
              <w:left w:val="single" w:color="auto" w:sz="10" w:space="0"/>
              <w:bottom w:val="single" w:color="auto" w:sz="10" w:space="0"/>
              <w:right w:val="single" w:color="auto" w:sz="10" w:space="0"/>
              <w:insideV w:val="single" w:sz="10" w:space="0"/>
            </w:tcBorders>
          </w:tcPr>
          <w:p w14:paraId="2C424B74"/>
        </w:tc>
        <w:tc>
          <w:tcPr>
            <w:tcW w:w="113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2F84D7">
            <w:pPr>
              <w:jc w:val="center"/>
            </w:pPr>
            <w:r>
              <w:rPr>
                <w:rFonts w:ascii="宋体" w:hAnsi="宋体" w:eastAsia="宋体"/>
                <w:sz w:val="16"/>
              </w:rPr>
              <w:t>其中：当年财政拨款</w:t>
            </w:r>
          </w:p>
        </w:tc>
        <w:tc>
          <w:tcPr>
            <w:tcW w:w="14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1B1EBE">
            <w:pPr>
              <w:jc w:val="center"/>
            </w:pPr>
            <w:r>
              <w:rPr>
                <w:rFonts w:ascii="宋体" w:hAnsi="宋体" w:eastAsia="宋体"/>
                <w:sz w:val="16"/>
              </w:rPr>
              <w:t>8.60</w:t>
            </w:r>
          </w:p>
        </w:tc>
        <w:tc>
          <w:tcPr>
            <w:tcW w:w="12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569463">
            <w:pPr>
              <w:jc w:val="center"/>
            </w:pPr>
            <w:r>
              <w:rPr>
                <w:rFonts w:ascii="宋体" w:hAnsi="宋体" w:eastAsia="宋体"/>
                <w:sz w:val="16"/>
              </w:rPr>
              <w:t>8.60</w:t>
            </w:r>
          </w:p>
        </w:tc>
        <w:tc>
          <w:tcPr>
            <w:tcW w:w="12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407131">
            <w:pPr>
              <w:jc w:val="center"/>
            </w:pPr>
            <w:r>
              <w:rPr>
                <w:rFonts w:ascii="宋体" w:hAnsi="宋体" w:eastAsia="宋体"/>
                <w:sz w:val="16"/>
              </w:rPr>
              <w:t>8.60</w:t>
            </w:r>
          </w:p>
        </w:tc>
        <w:tc>
          <w:tcPr>
            <w:tcW w:w="11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5F53FE">
            <w:pPr>
              <w:jc w:val="center"/>
            </w:pPr>
            <w:r>
              <w:rPr>
                <w:rFonts w:ascii="宋体" w:hAnsi="宋体" w:eastAsia="宋体"/>
                <w:sz w:val="16"/>
              </w:rPr>
              <w:t>—</w:t>
            </w:r>
          </w:p>
        </w:tc>
        <w:tc>
          <w:tcPr>
            <w:tcW w:w="140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27B115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258E3">
            <w:pPr>
              <w:jc w:val="center"/>
            </w:pPr>
            <w:r>
              <w:rPr>
                <w:rFonts w:ascii="宋体" w:hAnsi="宋体" w:eastAsia="宋体"/>
                <w:sz w:val="16"/>
              </w:rPr>
              <w:t>—</w:t>
            </w:r>
          </w:p>
        </w:tc>
      </w:tr>
      <w:tr w14:paraId="6D63C96A">
        <w:tblPrEx>
          <w:tblCellMar>
            <w:top w:w="0" w:type="dxa"/>
            <w:left w:w="108" w:type="dxa"/>
            <w:bottom w:w="0" w:type="dxa"/>
            <w:right w:w="108" w:type="dxa"/>
          </w:tblCellMar>
        </w:tblPrEx>
        <w:tc>
          <w:tcPr>
            <w:tcW w:w="702" w:type="dxa"/>
            <w:vMerge w:val="continue"/>
            <w:tcBorders>
              <w:top w:val="single" w:color="auto" w:sz="10" w:space="0"/>
              <w:left w:val="single" w:color="auto" w:sz="10" w:space="0"/>
              <w:bottom w:val="single" w:color="auto" w:sz="10" w:space="0"/>
              <w:right w:val="single" w:color="auto" w:sz="10" w:space="0"/>
              <w:insideV w:val="single" w:sz="10" w:space="0"/>
            </w:tcBorders>
          </w:tcPr>
          <w:p w14:paraId="309221C3"/>
        </w:tc>
        <w:tc>
          <w:tcPr>
            <w:tcW w:w="113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E76A69">
            <w:pPr>
              <w:jc w:val="center"/>
            </w:pPr>
            <w:r>
              <w:rPr>
                <w:rFonts w:ascii="宋体" w:hAnsi="宋体" w:eastAsia="宋体"/>
                <w:sz w:val="16"/>
              </w:rPr>
              <w:t xml:space="preserve">  其他资金</w:t>
            </w:r>
          </w:p>
        </w:tc>
        <w:tc>
          <w:tcPr>
            <w:tcW w:w="14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B5B0D3">
            <w:pPr>
              <w:jc w:val="center"/>
            </w:pPr>
            <w:r>
              <w:rPr>
                <w:rFonts w:ascii="宋体" w:hAnsi="宋体" w:eastAsia="宋体"/>
                <w:sz w:val="16"/>
              </w:rPr>
              <w:t>0.00</w:t>
            </w:r>
          </w:p>
        </w:tc>
        <w:tc>
          <w:tcPr>
            <w:tcW w:w="12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EAAA64">
            <w:pPr>
              <w:jc w:val="center"/>
            </w:pPr>
            <w:r>
              <w:rPr>
                <w:rFonts w:ascii="宋体" w:hAnsi="宋体" w:eastAsia="宋体"/>
                <w:sz w:val="16"/>
              </w:rPr>
              <w:t>0.00</w:t>
            </w:r>
          </w:p>
        </w:tc>
        <w:tc>
          <w:tcPr>
            <w:tcW w:w="12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D4EDCE">
            <w:pPr>
              <w:jc w:val="center"/>
            </w:pPr>
            <w:r>
              <w:rPr>
                <w:rFonts w:ascii="宋体" w:hAnsi="宋体" w:eastAsia="宋体"/>
                <w:sz w:val="16"/>
              </w:rPr>
              <w:t>0.00</w:t>
            </w:r>
          </w:p>
        </w:tc>
        <w:tc>
          <w:tcPr>
            <w:tcW w:w="11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9C3469">
            <w:pPr>
              <w:jc w:val="center"/>
            </w:pPr>
            <w:r>
              <w:rPr>
                <w:rFonts w:ascii="宋体" w:hAnsi="宋体" w:eastAsia="宋体"/>
                <w:sz w:val="16"/>
              </w:rPr>
              <w:t>—</w:t>
            </w:r>
          </w:p>
        </w:tc>
        <w:tc>
          <w:tcPr>
            <w:tcW w:w="140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CB2861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0EB22">
            <w:pPr>
              <w:jc w:val="center"/>
            </w:pPr>
            <w:r>
              <w:rPr>
                <w:rFonts w:ascii="宋体" w:hAnsi="宋体" w:eastAsia="宋体"/>
                <w:sz w:val="16"/>
              </w:rPr>
              <w:t>—</w:t>
            </w:r>
          </w:p>
        </w:tc>
      </w:tr>
      <w:tr w14:paraId="6CEAD97E">
        <w:tblPrEx>
          <w:tblCellMar>
            <w:top w:w="0" w:type="dxa"/>
            <w:left w:w="108" w:type="dxa"/>
            <w:bottom w:w="0" w:type="dxa"/>
            <w:right w:w="108" w:type="dxa"/>
          </w:tblCellMar>
        </w:tblPrEx>
        <w:tc>
          <w:tcPr>
            <w:tcW w:w="70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37D9F5">
            <w:pPr>
              <w:jc w:val="center"/>
            </w:pPr>
            <w:r>
              <w:rPr>
                <w:rFonts w:ascii="宋体" w:hAnsi="宋体" w:eastAsia="宋体"/>
                <w:sz w:val="16"/>
              </w:rPr>
              <w:t>年度总体目标</w:t>
            </w:r>
          </w:p>
        </w:tc>
        <w:tc>
          <w:tcPr>
            <w:tcW w:w="449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AFA503">
            <w:pPr>
              <w:jc w:val="center"/>
            </w:pPr>
            <w:r>
              <w:rPr>
                <w:rFonts w:ascii="宋体" w:hAnsi="宋体" w:eastAsia="宋体"/>
                <w:sz w:val="16"/>
              </w:rPr>
              <w:t>预期目标</w:t>
            </w:r>
          </w:p>
        </w:tc>
        <w:tc>
          <w:tcPr>
            <w:tcW w:w="379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EB6783">
            <w:pPr>
              <w:jc w:val="center"/>
            </w:pPr>
            <w:r>
              <w:rPr>
                <w:rFonts w:ascii="宋体" w:hAnsi="宋体" w:eastAsia="宋体"/>
                <w:sz w:val="16"/>
              </w:rPr>
              <w:t>实际完成情况</w:t>
            </w:r>
          </w:p>
        </w:tc>
      </w:tr>
      <w:tr w14:paraId="73AB574E">
        <w:tblPrEx>
          <w:tblCellMar>
            <w:top w:w="0" w:type="dxa"/>
            <w:left w:w="108" w:type="dxa"/>
            <w:bottom w:w="0" w:type="dxa"/>
            <w:right w:w="108" w:type="dxa"/>
          </w:tblCellMar>
        </w:tblPrEx>
        <w:tc>
          <w:tcPr>
            <w:tcW w:w="702" w:type="dxa"/>
            <w:vMerge w:val="continue"/>
            <w:tcBorders>
              <w:top w:val="single" w:color="auto" w:sz="10" w:space="0"/>
              <w:left w:val="single" w:color="auto" w:sz="10" w:space="0"/>
              <w:bottom w:val="single" w:color="auto" w:sz="10" w:space="0"/>
              <w:right w:val="single" w:color="auto" w:sz="10" w:space="0"/>
              <w:insideV w:val="single" w:sz="10" w:space="0"/>
            </w:tcBorders>
          </w:tcPr>
          <w:p w14:paraId="44186FF0"/>
        </w:tc>
        <w:tc>
          <w:tcPr>
            <w:tcW w:w="449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32BF3F">
            <w:pPr>
              <w:jc w:val="both"/>
            </w:pPr>
            <w:r>
              <w:rPr>
                <w:rFonts w:ascii="宋体" w:hAnsi="宋体" w:eastAsia="宋体"/>
                <w:sz w:val="16"/>
              </w:rPr>
              <w:t>2024年底，进一步改善寄宿生营养状况，提高寄宿生健康水平，减轻家庭经济困难学生的经济负担。 以实际在校学生人数为依据，按月按不同类别的标准核定并拨付彩票公益金，彩票公益金1000元/生。确保特殊教育学校彩票公益金补助资金能够有效保障学校正常运转；保证残疾学生入学率逐步提高。</w:t>
            </w:r>
          </w:p>
        </w:tc>
        <w:tc>
          <w:tcPr>
            <w:tcW w:w="379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C6B30E">
            <w:pPr>
              <w:jc w:val="both"/>
            </w:pPr>
            <w:r>
              <w:rPr>
                <w:rFonts w:hint="eastAsia" w:ascii="宋体" w:hAnsi="宋体"/>
                <w:sz w:val="16"/>
                <w:lang w:eastAsia="zh-CN"/>
              </w:rPr>
              <w:t>截至</w:t>
            </w:r>
            <w:r>
              <w:rPr>
                <w:rFonts w:ascii="宋体" w:hAnsi="宋体" w:eastAsia="宋体"/>
                <w:sz w:val="16"/>
              </w:rPr>
              <w:t>2024年底，按照1000元/生标准，学生人数96人。实际到位资金86000元。全部用于学生的伙食费补助，确保专款专用。保障了学生的正常用餐需求。学生的营养状况得到明显改善，身体素质有所提高，学校的社会声誉得到提升，吸引了更多学生就读，同时也减轻了学生家庭经济负担，有助于学生更好</w:t>
            </w:r>
            <w:r>
              <w:rPr>
                <w:rFonts w:hint="eastAsia" w:ascii="宋体" w:hAnsi="宋体"/>
                <w:sz w:val="16"/>
                <w:lang w:eastAsia="zh-CN"/>
              </w:rPr>
              <w:t>地</w:t>
            </w:r>
            <w:r>
              <w:rPr>
                <w:rFonts w:ascii="宋体" w:hAnsi="宋体" w:eastAsia="宋体"/>
                <w:sz w:val="16"/>
              </w:rPr>
              <w:t>投入学习。</w:t>
            </w:r>
          </w:p>
        </w:tc>
      </w:tr>
      <w:tr w14:paraId="4805C55F">
        <w:tblPrEx>
          <w:tblCellMar>
            <w:top w:w="0" w:type="dxa"/>
            <w:left w:w="108" w:type="dxa"/>
            <w:bottom w:w="0" w:type="dxa"/>
            <w:right w:w="108" w:type="dxa"/>
          </w:tblCellMar>
        </w:tblPrEx>
        <w:tc>
          <w:tcPr>
            <w:tcW w:w="702" w:type="dxa"/>
            <w:tcBorders>
              <w:top w:val="single" w:color="auto" w:sz="10" w:space="0"/>
              <w:left w:val="single" w:color="auto" w:sz="10" w:space="0"/>
              <w:bottom w:val="single" w:color="auto" w:sz="10" w:space="0"/>
              <w:right w:val="single" w:color="auto" w:sz="10" w:space="0"/>
              <w:insideV w:val="single" w:sz="10" w:space="0"/>
            </w:tcBorders>
          </w:tcPr>
          <w:p w14:paraId="196911D8"/>
        </w:tc>
        <w:tc>
          <w:tcPr>
            <w:tcW w:w="562" w:type="dxa"/>
            <w:tcBorders>
              <w:top w:val="single" w:color="auto" w:sz="10" w:space="0"/>
              <w:left w:val="single" w:color="auto" w:sz="10" w:space="0"/>
              <w:bottom w:val="single" w:color="auto" w:sz="10" w:space="0"/>
              <w:right w:val="single" w:color="auto" w:sz="10" w:space="0"/>
              <w:insideV w:val="single" w:sz="10" w:space="0"/>
            </w:tcBorders>
            <w:vAlign w:val="center"/>
          </w:tcPr>
          <w:p w14:paraId="15BB897A">
            <w:pPr>
              <w:jc w:val="center"/>
            </w:pPr>
            <w:r>
              <w:rPr>
                <w:rFonts w:ascii="宋体" w:hAnsi="宋体" w:eastAsia="宋体"/>
                <w:sz w:val="16"/>
              </w:rPr>
              <w:t>一级指标</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623BF85E">
            <w:pPr>
              <w:jc w:val="center"/>
            </w:pPr>
            <w:r>
              <w:rPr>
                <w:rFonts w:ascii="宋体" w:hAnsi="宋体" w:eastAsia="宋体"/>
                <w:sz w:val="16"/>
              </w:rPr>
              <w:t>二级指标</w:t>
            </w:r>
          </w:p>
        </w:tc>
        <w:tc>
          <w:tcPr>
            <w:tcW w:w="894" w:type="dxa"/>
            <w:tcBorders>
              <w:top w:val="single" w:color="auto" w:sz="10" w:space="0"/>
              <w:left w:val="single" w:color="auto" w:sz="10" w:space="0"/>
              <w:bottom w:val="single" w:color="auto" w:sz="10" w:space="0"/>
              <w:right w:val="single" w:color="auto" w:sz="10" w:space="0"/>
              <w:insideV w:val="single" w:sz="10" w:space="0"/>
            </w:tcBorders>
            <w:vAlign w:val="center"/>
          </w:tcPr>
          <w:p w14:paraId="772411E3">
            <w:pPr>
              <w:jc w:val="center"/>
            </w:pPr>
            <w:r>
              <w:rPr>
                <w:rFonts w:ascii="宋体" w:hAnsi="宋体" w:eastAsia="宋体"/>
                <w:sz w:val="16"/>
              </w:rPr>
              <w:t>三级指标</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3EF4585B">
            <w:pPr>
              <w:jc w:val="center"/>
            </w:pPr>
            <w:r>
              <w:rPr>
                <w:rFonts w:ascii="宋体" w:hAnsi="宋体" w:eastAsia="宋体"/>
                <w:sz w:val="16"/>
              </w:rPr>
              <w:t>权重</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32E53730">
            <w:pPr>
              <w:jc w:val="center"/>
            </w:pPr>
            <w:r>
              <w:rPr>
                <w:rFonts w:ascii="宋体" w:hAnsi="宋体" w:eastAsia="宋体"/>
                <w:sz w:val="16"/>
              </w:rPr>
              <w:t>目标值</w:t>
            </w:r>
          </w:p>
        </w:tc>
        <w:tc>
          <w:tcPr>
            <w:tcW w:w="640" w:type="dxa"/>
            <w:tcBorders>
              <w:top w:val="single" w:color="auto" w:sz="10" w:space="0"/>
              <w:left w:val="single" w:color="auto" w:sz="10" w:space="0"/>
              <w:bottom w:val="single" w:color="auto" w:sz="10" w:space="0"/>
              <w:right w:val="single" w:color="auto" w:sz="10" w:space="0"/>
              <w:insideV w:val="single" w:sz="10" w:space="0"/>
            </w:tcBorders>
            <w:vAlign w:val="center"/>
          </w:tcPr>
          <w:p w14:paraId="044C38A0">
            <w:pPr>
              <w:jc w:val="center"/>
            </w:pPr>
            <w:r>
              <w:rPr>
                <w:rFonts w:ascii="宋体" w:hAnsi="宋体" w:eastAsia="宋体"/>
                <w:sz w:val="16"/>
              </w:rPr>
              <w:t>业绩值</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509A7A60">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A4536">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D29D0">
            <w:pPr>
              <w:jc w:val="center"/>
            </w:pPr>
            <w:r>
              <w:rPr>
                <w:rFonts w:ascii="宋体" w:hAnsi="宋体" w:eastAsia="宋体"/>
                <w:sz w:val="16"/>
              </w:rPr>
              <w:t>指标值设定依据</w:t>
            </w:r>
          </w:p>
        </w:tc>
        <w:tc>
          <w:tcPr>
            <w:tcW w:w="491" w:type="dxa"/>
            <w:tcBorders>
              <w:top w:val="single" w:color="auto" w:sz="10" w:space="0"/>
              <w:left w:val="single" w:color="auto" w:sz="10" w:space="0"/>
              <w:bottom w:val="single" w:color="auto" w:sz="10" w:space="0"/>
              <w:right w:val="single" w:color="auto" w:sz="10" w:space="0"/>
              <w:insideV w:val="single" w:sz="10" w:space="0"/>
            </w:tcBorders>
            <w:vAlign w:val="center"/>
          </w:tcPr>
          <w:p w14:paraId="188A878C">
            <w:pPr>
              <w:jc w:val="center"/>
            </w:pPr>
            <w:r>
              <w:rPr>
                <w:rFonts w:ascii="宋体" w:hAnsi="宋体" w:eastAsia="宋体"/>
                <w:sz w:val="16"/>
              </w:rPr>
              <w:t>上年完成情况</w:t>
            </w:r>
          </w:p>
        </w:tc>
        <w:tc>
          <w:tcPr>
            <w:tcW w:w="773" w:type="dxa"/>
            <w:tcBorders>
              <w:top w:val="single" w:color="auto" w:sz="10" w:space="0"/>
              <w:left w:val="single" w:color="auto" w:sz="10" w:space="0"/>
              <w:bottom w:val="single" w:color="auto" w:sz="10" w:space="0"/>
              <w:right w:val="single" w:color="auto" w:sz="10" w:space="0"/>
              <w:insideV w:val="single" w:sz="10" w:space="0"/>
            </w:tcBorders>
            <w:vAlign w:val="center"/>
          </w:tcPr>
          <w:p w14:paraId="70DAEF2E">
            <w:pPr>
              <w:jc w:val="center"/>
            </w:pPr>
            <w:r>
              <w:rPr>
                <w:rFonts w:ascii="宋体" w:hAnsi="宋体" w:eastAsia="宋体"/>
                <w:sz w:val="16"/>
              </w:rPr>
              <w:t>赋分规则</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8B1DB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40CA8">
            <w:pPr>
              <w:jc w:val="center"/>
            </w:pPr>
            <w:r>
              <w:rPr>
                <w:rFonts w:ascii="宋体" w:hAnsi="宋体" w:eastAsia="宋体"/>
                <w:sz w:val="16"/>
              </w:rPr>
              <w:t>偏差原因分析及改进措施</w:t>
            </w:r>
          </w:p>
        </w:tc>
      </w:tr>
      <w:tr w14:paraId="35FD1BDA">
        <w:tblPrEx>
          <w:tblCellMar>
            <w:top w:w="0" w:type="dxa"/>
            <w:left w:w="108" w:type="dxa"/>
            <w:bottom w:w="0" w:type="dxa"/>
            <w:right w:w="108" w:type="dxa"/>
          </w:tblCellMar>
        </w:tblPrEx>
        <w:tc>
          <w:tcPr>
            <w:tcW w:w="70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752F4E">
            <w:pPr>
              <w:jc w:val="center"/>
            </w:pPr>
            <w:r>
              <w:rPr>
                <w:rFonts w:ascii="宋体" w:hAnsi="宋体" w:eastAsia="宋体"/>
                <w:sz w:val="16"/>
              </w:rPr>
              <w:t>年度绩效指标完成情况</w:t>
            </w:r>
          </w:p>
        </w:tc>
        <w:tc>
          <w:tcPr>
            <w:tcW w:w="56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F01AAC">
            <w:pPr>
              <w:jc w:val="center"/>
            </w:pPr>
            <w:r>
              <w:rPr>
                <w:rFonts w:ascii="宋体" w:hAnsi="宋体" w:eastAsia="宋体"/>
                <w:sz w:val="16"/>
              </w:rPr>
              <w:t>产出指标</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2C0D980C">
            <w:pPr>
              <w:jc w:val="center"/>
            </w:pPr>
            <w:r>
              <w:rPr>
                <w:rFonts w:ascii="宋体" w:hAnsi="宋体" w:eastAsia="宋体"/>
                <w:sz w:val="16"/>
              </w:rPr>
              <w:t>数量指标</w:t>
            </w:r>
          </w:p>
        </w:tc>
        <w:tc>
          <w:tcPr>
            <w:tcW w:w="894" w:type="dxa"/>
            <w:tcBorders>
              <w:top w:val="single" w:color="auto" w:sz="10" w:space="0"/>
              <w:left w:val="single" w:color="auto" w:sz="10" w:space="0"/>
              <w:bottom w:val="single" w:color="auto" w:sz="10" w:space="0"/>
              <w:right w:val="single" w:color="auto" w:sz="10" w:space="0"/>
              <w:insideV w:val="single" w:sz="10" w:space="0"/>
            </w:tcBorders>
            <w:vAlign w:val="center"/>
          </w:tcPr>
          <w:p w14:paraId="5577F968">
            <w:pPr>
              <w:jc w:val="center"/>
            </w:pPr>
            <w:r>
              <w:rPr>
                <w:rFonts w:ascii="宋体" w:hAnsi="宋体" w:eastAsia="宋体"/>
                <w:sz w:val="16"/>
              </w:rPr>
              <w:t>特殊教育学校（特教班）学生享受生活补助</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5A786E06">
            <w:pPr>
              <w:jc w:val="center"/>
            </w:pPr>
            <w:r>
              <w:rPr>
                <w:rFonts w:ascii="宋体" w:hAnsi="宋体" w:eastAsia="宋体"/>
                <w:sz w:val="16"/>
              </w:rPr>
              <w:t>15</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010CB35F">
            <w:pPr>
              <w:jc w:val="center"/>
            </w:pPr>
            <w:r>
              <w:rPr>
                <w:rFonts w:ascii="宋体" w:hAnsi="宋体" w:eastAsia="宋体"/>
                <w:sz w:val="16"/>
              </w:rPr>
              <w:t>=96人</w:t>
            </w:r>
          </w:p>
        </w:tc>
        <w:tc>
          <w:tcPr>
            <w:tcW w:w="640" w:type="dxa"/>
            <w:tcBorders>
              <w:top w:val="single" w:color="auto" w:sz="10" w:space="0"/>
              <w:left w:val="single" w:color="auto" w:sz="10" w:space="0"/>
              <w:bottom w:val="single" w:color="auto" w:sz="10" w:space="0"/>
              <w:right w:val="single" w:color="auto" w:sz="10" w:space="0"/>
              <w:insideV w:val="single" w:sz="10" w:space="0"/>
            </w:tcBorders>
            <w:vAlign w:val="center"/>
          </w:tcPr>
          <w:p w14:paraId="36D5C382">
            <w:pPr>
              <w:jc w:val="center"/>
            </w:pPr>
            <w:r>
              <w:rPr>
                <w:rFonts w:ascii="宋体" w:hAnsi="宋体" w:eastAsia="宋体"/>
                <w:sz w:val="16"/>
              </w:rPr>
              <w:t>96人</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3AD5B1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6D46E">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3FB23">
            <w:pPr>
              <w:jc w:val="center"/>
            </w:pPr>
            <w:r>
              <w:rPr>
                <w:rFonts w:ascii="宋体" w:hAnsi="宋体" w:eastAsia="宋体"/>
                <w:sz w:val="16"/>
              </w:rPr>
              <w:t>计划标准</w:t>
            </w:r>
          </w:p>
        </w:tc>
        <w:tc>
          <w:tcPr>
            <w:tcW w:w="491" w:type="dxa"/>
            <w:tcBorders>
              <w:top w:val="single" w:color="auto" w:sz="10" w:space="0"/>
              <w:left w:val="single" w:color="auto" w:sz="10" w:space="0"/>
              <w:bottom w:val="single" w:color="auto" w:sz="10" w:space="0"/>
              <w:right w:val="single" w:color="auto" w:sz="10" w:space="0"/>
              <w:insideV w:val="single" w:sz="10" w:space="0"/>
            </w:tcBorders>
            <w:vAlign w:val="center"/>
          </w:tcPr>
          <w:p w14:paraId="07DAA84A">
            <w:pPr>
              <w:jc w:val="center"/>
            </w:pPr>
            <w:r>
              <w:rPr>
                <w:rFonts w:ascii="宋体" w:hAnsi="宋体" w:eastAsia="宋体"/>
                <w:sz w:val="16"/>
              </w:rPr>
              <w:t>-</w:t>
            </w:r>
          </w:p>
        </w:tc>
        <w:tc>
          <w:tcPr>
            <w:tcW w:w="773" w:type="dxa"/>
            <w:tcBorders>
              <w:top w:val="single" w:color="auto" w:sz="10" w:space="0"/>
              <w:left w:val="single" w:color="auto" w:sz="10" w:space="0"/>
              <w:bottom w:val="single" w:color="auto" w:sz="10" w:space="0"/>
              <w:right w:val="single" w:color="auto" w:sz="10" w:space="0"/>
              <w:insideV w:val="single" w:sz="10" w:space="0"/>
            </w:tcBorders>
            <w:vAlign w:val="center"/>
          </w:tcPr>
          <w:p w14:paraId="6E76F4D9">
            <w:pPr>
              <w:jc w:val="center"/>
            </w:pPr>
            <w:r>
              <w:rPr>
                <w:rFonts w:ascii="宋体" w:hAnsi="宋体" w:eastAsia="宋体"/>
                <w:sz w:val="16"/>
              </w:rPr>
              <w:t>按照完成比例赋分</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FF251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1DE6F">
            <w:pPr>
              <w:jc w:val="center"/>
            </w:pPr>
          </w:p>
        </w:tc>
      </w:tr>
      <w:tr w14:paraId="542E7A99">
        <w:tblPrEx>
          <w:tblCellMar>
            <w:top w:w="0" w:type="dxa"/>
            <w:left w:w="108" w:type="dxa"/>
            <w:bottom w:w="0" w:type="dxa"/>
            <w:right w:w="108" w:type="dxa"/>
          </w:tblCellMar>
        </w:tblPrEx>
        <w:tc>
          <w:tcPr>
            <w:tcW w:w="702" w:type="dxa"/>
            <w:vMerge w:val="continue"/>
            <w:tcBorders>
              <w:top w:val="single" w:color="auto" w:sz="10" w:space="0"/>
              <w:left w:val="single" w:color="auto" w:sz="10" w:space="0"/>
              <w:bottom w:val="single" w:color="auto" w:sz="10" w:space="0"/>
              <w:right w:val="single" w:color="auto" w:sz="10" w:space="0"/>
              <w:insideV w:val="single" w:sz="10" w:space="0"/>
            </w:tcBorders>
          </w:tcPr>
          <w:p w14:paraId="6479031B"/>
        </w:tc>
        <w:tc>
          <w:tcPr>
            <w:tcW w:w="562" w:type="dxa"/>
            <w:vMerge w:val="continue"/>
            <w:tcBorders>
              <w:top w:val="single" w:color="auto" w:sz="10" w:space="0"/>
              <w:left w:val="single" w:color="auto" w:sz="10" w:space="0"/>
              <w:bottom w:val="single" w:color="auto" w:sz="10" w:space="0"/>
              <w:right w:val="single" w:color="auto" w:sz="10" w:space="0"/>
              <w:insideV w:val="single" w:sz="10" w:space="0"/>
            </w:tcBorders>
          </w:tcPr>
          <w:p w14:paraId="4B03294B"/>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52739F14">
            <w:pPr>
              <w:jc w:val="center"/>
            </w:pPr>
            <w:r>
              <w:rPr>
                <w:rFonts w:ascii="宋体" w:hAnsi="宋体" w:eastAsia="宋体"/>
                <w:sz w:val="16"/>
              </w:rPr>
              <w:t>质量指标</w:t>
            </w:r>
          </w:p>
        </w:tc>
        <w:tc>
          <w:tcPr>
            <w:tcW w:w="894" w:type="dxa"/>
            <w:tcBorders>
              <w:top w:val="single" w:color="auto" w:sz="10" w:space="0"/>
              <w:left w:val="single" w:color="auto" w:sz="10" w:space="0"/>
              <w:bottom w:val="single" w:color="auto" w:sz="10" w:space="0"/>
              <w:right w:val="single" w:color="auto" w:sz="10" w:space="0"/>
              <w:insideV w:val="single" w:sz="10" w:space="0"/>
            </w:tcBorders>
            <w:vAlign w:val="center"/>
          </w:tcPr>
          <w:p w14:paraId="160E2AC0">
            <w:pPr>
              <w:jc w:val="center"/>
            </w:pPr>
            <w:r>
              <w:rPr>
                <w:rFonts w:ascii="宋体" w:hAnsi="宋体" w:eastAsia="宋体"/>
                <w:sz w:val="16"/>
              </w:rPr>
              <w:t>特殊教育学校（特教班）学生生活经费保障覆盖率</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53F38320">
            <w:pPr>
              <w:jc w:val="center"/>
            </w:pPr>
            <w:r>
              <w:rPr>
                <w:rFonts w:ascii="宋体" w:hAnsi="宋体" w:eastAsia="宋体"/>
                <w:sz w:val="16"/>
              </w:rPr>
              <w:t>15</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0D50AD45">
            <w:pPr>
              <w:jc w:val="center"/>
            </w:pPr>
            <w:r>
              <w:rPr>
                <w:rFonts w:ascii="宋体" w:hAnsi="宋体" w:eastAsia="宋体"/>
                <w:sz w:val="16"/>
              </w:rPr>
              <w:t>=100%</w:t>
            </w:r>
          </w:p>
        </w:tc>
        <w:tc>
          <w:tcPr>
            <w:tcW w:w="640" w:type="dxa"/>
            <w:tcBorders>
              <w:top w:val="single" w:color="auto" w:sz="10" w:space="0"/>
              <w:left w:val="single" w:color="auto" w:sz="10" w:space="0"/>
              <w:bottom w:val="single" w:color="auto" w:sz="10" w:space="0"/>
              <w:right w:val="single" w:color="auto" w:sz="10" w:space="0"/>
              <w:insideV w:val="single" w:sz="10" w:space="0"/>
            </w:tcBorders>
            <w:vAlign w:val="center"/>
          </w:tcPr>
          <w:p w14:paraId="550A8BA0">
            <w:pPr>
              <w:jc w:val="center"/>
            </w:pPr>
            <w:r>
              <w:rPr>
                <w:rFonts w:ascii="宋体" w:hAnsi="宋体" w:eastAsia="宋体"/>
                <w:sz w:val="16"/>
              </w:rPr>
              <w:t>100%</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31907B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77FC7">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9788D">
            <w:pPr>
              <w:jc w:val="center"/>
            </w:pPr>
            <w:r>
              <w:rPr>
                <w:rFonts w:ascii="宋体" w:hAnsi="宋体" w:eastAsia="宋体"/>
                <w:sz w:val="16"/>
              </w:rPr>
              <w:t>计划标准</w:t>
            </w:r>
          </w:p>
        </w:tc>
        <w:tc>
          <w:tcPr>
            <w:tcW w:w="491" w:type="dxa"/>
            <w:tcBorders>
              <w:top w:val="single" w:color="auto" w:sz="10" w:space="0"/>
              <w:left w:val="single" w:color="auto" w:sz="10" w:space="0"/>
              <w:bottom w:val="single" w:color="auto" w:sz="10" w:space="0"/>
              <w:right w:val="single" w:color="auto" w:sz="10" w:space="0"/>
              <w:insideV w:val="single" w:sz="10" w:space="0"/>
            </w:tcBorders>
            <w:vAlign w:val="center"/>
          </w:tcPr>
          <w:p w14:paraId="74CE9BA4">
            <w:pPr>
              <w:jc w:val="center"/>
            </w:pPr>
            <w:r>
              <w:rPr>
                <w:rFonts w:ascii="宋体" w:hAnsi="宋体" w:eastAsia="宋体"/>
                <w:sz w:val="16"/>
              </w:rPr>
              <w:t>-</w:t>
            </w:r>
          </w:p>
        </w:tc>
        <w:tc>
          <w:tcPr>
            <w:tcW w:w="773" w:type="dxa"/>
            <w:tcBorders>
              <w:top w:val="single" w:color="auto" w:sz="10" w:space="0"/>
              <w:left w:val="single" w:color="auto" w:sz="10" w:space="0"/>
              <w:bottom w:val="single" w:color="auto" w:sz="10" w:space="0"/>
              <w:right w:val="single" w:color="auto" w:sz="10" w:space="0"/>
              <w:insideV w:val="single" w:sz="10" w:space="0"/>
            </w:tcBorders>
            <w:vAlign w:val="center"/>
          </w:tcPr>
          <w:p w14:paraId="1618CF4B">
            <w:pPr>
              <w:jc w:val="center"/>
            </w:pPr>
            <w:r>
              <w:rPr>
                <w:rFonts w:ascii="宋体" w:hAnsi="宋体" w:eastAsia="宋体"/>
                <w:sz w:val="16"/>
              </w:rPr>
              <w:t>按照完成比例赋分</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622B1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10674">
            <w:pPr>
              <w:jc w:val="center"/>
            </w:pPr>
          </w:p>
        </w:tc>
      </w:tr>
      <w:tr w14:paraId="09486C01">
        <w:tblPrEx>
          <w:tblCellMar>
            <w:top w:w="0" w:type="dxa"/>
            <w:left w:w="108" w:type="dxa"/>
            <w:bottom w:w="0" w:type="dxa"/>
            <w:right w:w="108" w:type="dxa"/>
          </w:tblCellMar>
        </w:tblPrEx>
        <w:tc>
          <w:tcPr>
            <w:tcW w:w="702" w:type="dxa"/>
            <w:vMerge w:val="continue"/>
            <w:tcBorders>
              <w:top w:val="single" w:color="auto" w:sz="10" w:space="0"/>
              <w:left w:val="single" w:color="auto" w:sz="10" w:space="0"/>
              <w:bottom w:val="single" w:color="auto" w:sz="10" w:space="0"/>
              <w:right w:val="single" w:color="auto" w:sz="10" w:space="0"/>
              <w:insideV w:val="single" w:sz="10" w:space="0"/>
            </w:tcBorders>
          </w:tcPr>
          <w:p w14:paraId="78376C24"/>
        </w:tc>
        <w:tc>
          <w:tcPr>
            <w:tcW w:w="562" w:type="dxa"/>
            <w:vMerge w:val="continue"/>
            <w:tcBorders>
              <w:top w:val="single" w:color="auto" w:sz="10" w:space="0"/>
              <w:left w:val="single" w:color="auto" w:sz="10" w:space="0"/>
              <w:bottom w:val="single" w:color="auto" w:sz="10" w:space="0"/>
              <w:right w:val="single" w:color="auto" w:sz="10" w:space="0"/>
              <w:insideV w:val="single" w:sz="10" w:space="0"/>
            </w:tcBorders>
          </w:tcPr>
          <w:p w14:paraId="66F25704"/>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0AF61A57">
            <w:pPr>
              <w:jc w:val="center"/>
            </w:pPr>
            <w:r>
              <w:rPr>
                <w:rFonts w:ascii="宋体" w:hAnsi="宋体" w:eastAsia="宋体"/>
                <w:sz w:val="16"/>
              </w:rPr>
              <w:t>时效指标</w:t>
            </w:r>
          </w:p>
        </w:tc>
        <w:tc>
          <w:tcPr>
            <w:tcW w:w="894" w:type="dxa"/>
            <w:tcBorders>
              <w:top w:val="single" w:color="auto" w:sz="10" w:space="0"/>
              <w:left w:val="single" w:color="auto" w:sz="10" w:space="0"/>
              <w:bottom w:val="single" w:color="auto" w:sz="10" w:space="0"/>
              <w:right w:val="single" w:color="auto" w:sz="10" w:space="0"/>
              <w:insideV w:val="single" w:sz="10" w:space="0"/>
            </w:tcBorders>
            <w:vAlign w:val="center"/>
          </w:tcPr>
          <w:p w14:paraId="54C27682">
            <w:pPr>
              <w:jc w:val="center"/>
            </w:pPr>
            <w:r>
              <w:rPr>
                <w:rFonts w:ascii="宋体" w:hAnsi="宋体" w:eastAsia="宋体"/>
                <w:sz w:val="16"/>
              </w:rPr>
              <w:t>资金支出及时性</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408CE69B">
            <w:pPr>
              <w:jc w:val="center"/>
            </w:pPr>
            <w:r>
              <w:rPr>
                <w:rFonts w:ascii="宋体" w:hAnsi="宋体" w:eastAsia="宋体"/>
                <w:sz w:val="16"/>
              </w:rPr>
              <w:t>10</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4A59123F">
            <w:pPr>
              <w:jc w:val="center"/>
            </w:pPr>
            <w:r>
              <w:rPr>
                <w:rFonts w:ascii="宋体" w:hAnsi="宋体" w:eastAsia="宋体"/>
                <w:sz w:val="16"/>
              </w:rPr>
              <w:t>=100%</w:t>
            </w:r>
          </w:p>
        </w:tc>
        <w:tc>
          <w:tcPr>
            <w:tcW w:w="640" w:type="dxa"/>
            <w:tcBorders>
              <w:top w:val="single" w:color="auto" w:sz="10" w:space="0"/>
              <w:left w:val="single" w:color="auto" w:sz="10" w:space="0"/>
              <w:bottom w:val="single" w:color="auto" w:sz="10" w:space="0"/>
              <w:right w:val="single" w:color="auto" w:sz="10" w:space="0"/>
              <w:insideV w:val="single" w:sz="10" w:space="0"/>
            </w:tcBorders>
            <w:vAlign w:val="center"/>
          </w:tcPr>
          <w:p w14:paraId="5DD956D5">
            <w:pPr>
              <w:jc w:val="center"/>
            </w:pPr>
            <w:r>
              <w:rPr>
                <w:rFonts w:ascii="宋体" w:hAnsi="宋体" w:eastAsia="宋体"/>
                <w:sz w:val="16"/>
              </w:rPr>
              <w:t>100%</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249349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7D4B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CA740">
            <w:pPr>
              <w:jc w:val="center"/>
            </w:pPr>
            <w:r>
              <w:rPr>
                <w:rFonts w:ascii="宋体" w:hAnsi="宋体" w:eastAsia="宋体"/>
                <w:sz w:val="16"/>
              </w:rPr>
              <w:t>计划标准</w:t>
            </w:r>
          </w:p>
        </w:tc>
        <w:tc>
          <w:tcPr>
            <w:tcW w:w="491" w:type="dxa"/>
            <w:tcBorders>
              <w:top w:val="single" w:color="auto" w:sz="10" w:space="0"/>
              <w:left w:val="single" w:color="auto" w:sz="10" w:space="0"/>
              <w:bottom w:val="single" w:color="auto" w:sz="10" w:space="0"/>
              <w:right w:val="single" w:color="auto" w:sz="10" w:space="0"/>
              <w:insideV w:val="single" w:sz="10" w:space="0"/>
            </w:tcBorders>
            <w:vAlign w:val="center"/>
          </w:tcPr>
          <w:p w14:paraId="2D523980">
            <w:pPr>
              <w:jc w:val="center"/>
            </w:pPr>
            <w:r>
              <w:rPr>
                <w:rFonts w:ascii="宋体" w:hAnsi="宋体" w:eastAsia="宋体"/>
                <w:sz w:val="16"/>
              </w:rPr>
              <w:t>-</w:t>
            </w:r>
          </w:p>
        </w:tc>
        <w:tc>
          <w:tcPr>
            <w:tcW w:w="773" w:type="dxa"/>
            <w:tcBorders>
              <w:top w:val="single" w:color="auto" w:sz="10" w:space="0"/>
              <w:left w:val="single" w:color="auto" w:sz="10" w:space="0"/>
              <w:bottom w:val="single" w:color="auto" w:sz="10" w:space="0"/>
              <w:right w:val="single" w:color="auto" w:sz="10" w:space="0"/>
              <w:insideV w:val="single" w:sz="10" w:space="0"/>
            </w:tcBorders>
            <w:vAlign w:val="center"/>
          </w:tcPr>
          <w:p w14:paraId="7B220EFC">
            <w:pPr>
              <w:jc w:val="center"/>
            </w:pPr>
            <w:r>
              <w:rPr>
                <w:rFonts w:ascii="宋体" w:hAnsi="宋体" w:eastAsia="宋体"/>
                <w:sz w:val="16"/>
              </w:rPr>
              <w:t>按照完成比例赋分</w:t>
            </w:r>
          </w:p>
        </w:tc>
        <w:tc>
          <w:tcPr>
            <w:tcW w:w="523" w:type="dxa"/>
            <w:tcBorders>
              <w:top w:val="single" w:color="auto" w:sz="10" w:space="0"/>
              <w:left w:val="single" w:color="auto" w:sz="10" w:space="0"/>
              <w:bottom w:val="single" w:color="auto" w:sz="10" w:space="0"/>
              <w:right w:val="single" w:color="auto" w:sz="10" w:space="0"/>
              <w:insideV w:val="single" w:sz="10" w:space="0"/>
            </w:tcBorders>
            <w:vAlign w:val="center"/>
          </w:tcPr>
          <w:p w14:paraId="64651CC8">
            <w:pPr>
              <w:jc w:val="center"/>
            </w:pPr>
            <w:r>
              <w:rPr>
                <w:rFonts w:ascii="宋体" w:hAnsi="宋体" w:eastAsia="宋体"/>
                <w:sz w:val="16"/>
              </w:rPr>
              <w:t>工作资料</w:t>
            </w:r>
          </w:p>
        </w:tc>
        <w:tc>
          <w:tcPr>
            <w:tcW w:w="74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4E6CAD">
            <w:pPr>
              <w:jc w:val="center"/>
            </w:pPr>
          </w:p>
        </w:tc>
      </w:tr>
      <w:tr w14:paraId="2D553DF8">
        <w:tblPrEx>
          <w:tblCellMar>
            <w:top w:w="0" w:type="dxa"/>
            <w:left w:w="108" w:type="dxa"/>
            <w:bottom w:w="0" w:type="dxa"/>
            <w:right w:w="108" w:type="dxa"/>
          </w:tblCellMar>
        </w:tblPrEx>
        <w:tc>
          <w:tcPr>
            <w:tcW w:w="702" w:type="dxa"/>
            <w:vMerge w:val="continue"/>
            <w:tcBorders>
              <w:top w:val="single" w:color="auto" w:sz="10" w:space="0"/>
              <w:left w:val="single" w:color="auto" w:sz="10" w:space="0"/>
              <w:bottom w:val="single" w:color="auto" w:sz="10" w:space="0"/>
              <w:right w:val="single" w:color="auto" w:sz="10" w:space="0"/>
              <w:insideV w:val="single" w:sz="10" w:space="0"/>
            </w:tcBorders>
          </w:tcPr>
          <w:p w14:paraId="0D385B35"/>
        </w:tc>
        <w:tc>
          <w:tcPr>
            <w:tcW w:w="562" w:type="dxa"/>
            <w:tcBorders>
              <w:top w:val="single" w:color="auto" w:sz="10" w:space="0"/>
              <w:left w:val="single" w:color="auto" w:sz="10" w:space="0"/>
              <w:bottom w:val="single" w:color="auto" w:sz="10" w:space="0"/>
              <w:right w:val="single" w:color="auto" w:sz="10" w:space="0"/>
              <w:insideV w:val="single" w:sz="10" w:space="0"/>
            </w:tcBorders>
            <w:vAlign w:val="center"/>
          </w:tcPr>
          <w:p w14:paraId="616D4604">
            <w:pPr>
              <w:jc w:val="center"/>
            </w:pPr>
            <w:r>
              <w:rPr>
                <w:rFonts w:ascii="宋体" w:hAnsi="宋体" w:eastAsia="宋体"/>
                <w:sz w:val="16"/>
              </w:rPr>
              <w:t>成本指标</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6CE50F97">
            <w:pPr>
              <w:jc w:val="center"/>
            </w:pPr>
            <w:r>
              <w:rPr>
                <w:rFonts w:ascii="宋体" w:hAnsi="宋体" w:eastAsia="宋体"/>
                <w:sz w:val="16"/>
              </w:rPr>
              <w:t>经济成本指标</w:t>
            </w:r>
          </w:p>
        </w:tc>
        <w:tc>
          <w:tcPr>
            <w:tcW w:w="894" w:type="dxa"/>
            <w:tcBorders>
              <w:top w:val="single" w:color="auto" w:sz="10" w:space="0"/>
              <w:left w:val="single" w:color="auto" w:sz="10" w:space="0"/>
              <w:bottom w:val="single" w:color="auto" w:sz="10" w:space="0"/>
              <w:right w:val="single" w:color="auto" w:sz="10" w:space="0"/>
              <w:insideV w:val="single" w:sz="10" w:space="0"/>
            </w:tcBorders>
            <w:vAlign w:val="center"/>
          </w:tcPr>
          <w:p w14:paraId="47AA1349">
            <w:pPr>
              <w:jc w:val="center"/>
            </w:pPr>
            <w:r>
              <w:rPr>
                <w:rFonts w:ascii="宋体" w:hAnsi="宋体" w:eastAsia="宋体"/>
                <w:sz w:val="16"/>
              </w:rPr>
              <w:t>生均标准</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6C7F8FF8">
            <w:pPr>
              <w:jc w:val="center"/>
            </w:pPr>
            <w:r>
              <w:rPr>
                <w:rFonts w:ascii="宋体" w:hAnsi="宋体" w:eastAsia="宋体"/>
                <w:sz w:val="16"/>
              </w:rPr>
              <w:t>20</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179356A2">
            <w:pPr>
              <w:jc w:val="center"/>
            </w:pPr>
            <w:r>
              <w:rPr>
                <w:rFonts w:ascii="宋体" w:hAnsi="宋体" w:eastAsia="宋体"/>
                <w:sz w:val="16"/>
              </w:rPr>
              <w:t>1000元</w:t>
            </w:r>
          </w:p>
        </w:tc>
        <w:tc>
          <w:tcPr>
            <w:tcW w:w="640" w:type="dxa"/>
            <w:tcBorders>
              <w:top w:val="single" w:color="auto" w:sz="10" w:space="0"/>
              <w:left w:val="single" w:color="auto" w:sz="10" w:space="0"/>
              <w:bottom w:val="single" w:color="auto" w:sz="10" w:space="0"/>
              <w:right w:val="single" w:color="auto" w:sz="10" w:space="0"/>
              <w:insideV w:val="single" w:sz="10" w:space="0"/>
            </w:tcBorders>
            <w:vAlign w:val="center"/>
          </w:tcPr>
          <w:p w14:paraId="5188FD47">
            <w:pPr>
              <w:jc w:val="center"/>
            </w:pPr>
            <w:r>
              <w:rPr>
                <w:rFonts w:ascii="宋体" w:hAnsi="宋体" w:eastAsia="宋体"/>
                <w:sz w:val="16"/>
              </w:rPr>
              <w:t>1000元</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4B7B24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E666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31B0A">
            <w:pPr>
              <w:jc w:val="center"/>
            </w:pPr>
            <w:r>
              <w:rPr>
                <w:rFonts w:ascii="宋体" w:hAnsi="宋体" w:eastAsia="宋体"/>
                <w:sz w:val="16"/>
              </w:rPr>
              <w:t>预算支出标准</w:t>
            </w:r>
          </w:p>
        </w:tc>
        <w:tc>
          <w:tcPr>
            <w:tcW w:w="491" w:type="dxa"/>
            <w:tcBorders>
              <w:top w:val="single" w:color="auto" w:sz="10" w:space="0"/>
              <w:left w:val="single" w:color="auto" w:sz="10" w:space="0"/>
              <w:bottom w:val="single" w:color="auto" w:sz="10" w:space="0"/>
              <w:right w:val="single" w:color="auto" w:sz="10" w:space="0"/>
              <w:insideV w:val="single" w:sz="10" w:space="0"/>
            </w:tcBorders>
            <w:vAlign w:val="center"/>
          </w:tcPr>
          <w:p w14:paraId="361510B0">
            <w:pPr>
              <w:jc w:val="center"/>
            </w:pPr>
            <w:r>
              <w:rPr>
                <w:rFonts w:ascii="宋体" w:hAnsi="宋体" w:eastAsia="宋体"/>
                <w:sz w:val="16"/>
              </w:rPr>
              <w:t>-</w:t>
            </w:r>
          </w:p>
        </w:tc>
        <w:tc>
          <w:tcPr>
            <w:tcW w:w="773" w:type="dxa"/>
            <w:tcBorders>
              <w:top w:val="single" w:color="auto" w:sz="10" w:space="0"/>
              <w:left w:val="single" w:color="auto" w:sz="10" w:space="0"/>
              <w:bottom w:val="single" w:color="auto" w:sz="10" w:space="0"/>
              <w:right w:val="single" w:color="auto" w:sz="10" w:space="0"/>
              <w:insideV w:val="single" w:sz="10" w:space="0"/>
            </w:tcBorders>
            <w:vAlign w:val="center"/>
          </w:tcPr>
          <w:p w14:paraId="03C89E99">
            <w:pPr>
              <w:jc w:val="center"/>
            </w:pPr>
            <w:r>
              <w:rPr>
                <w:rFonts w:ascii="宋体" w:hAnsi="宋体" w:eastAsia="宋体"/>
                <w:sz w:val="16"/>
              </w:rPr>
              <w:t>按照完成比例赋分</w:t>
            </w:r>
          </w:p>
        </w:tc>
        <w:tc>
          <w:tcPr>
            <w:tcW w:w="523" w:type="dxa"/>
            <w:tcBorders>
              <w:top w:val="single" w:color="auto" w:sz="10" w:space="0"/>
              <w:left w:val="single" w:color="auto" w:sz="10" w:space="0"/>
              <w:bottom w:val="single" w:color="auto" w:sz="10" w:space="0"/>
              <w:right w:val="single" w:color="auto" w:sz="10" w:space="0"/>
              <w:insideV w:val="single" w:sz="10" w:space="0"/>
            </w:tcBorders>
            <w:vAlign w:val="center"/>
          </w:tcPr>
          <w:p w14:paraId="211935BA">
            <w:pPr>
              <w:jc w:val="center"/>
            </w:pPr>
            <w:r>
              <w:rPr>
                <w:rFonts w:ascii="宋体" w:hAnsi="宋体" w:eastAsia="宋体"/>
                <w:sz w:val="16"/>
              </w:rPr>
              <w:t>原始凭证</w:t>
            </w:r>
          </w:p>
        </w:tc>
        <w:tc>
          <w:tcPr>
            <w:tcW w:w="74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12A367">
            <w:pPr>
              <w:jc w:val="center"/>
            </w:pPr>
          </w:p>
        </w:tc>
      </w:tr>
      <w:tr w14:paraId="554093DE">
        <w:tblPrEx>
          <w:tblCellMar>
            <w:top w:w="0" w:type="dxa"/>
            <w:left w:w="108" w:type="dxa"/>
            <w:bottom w:w="0" w:type="dxa"/>
            <w:right w:w="108" w:type="dxa"/>
          </w:tblCellMar>
        </w:tblPrEx>
        <w:tc>
          <w:tcPr>
            <w:tcW w:w="702" w:type="dxa"/>
            <w:vMerge w:val="continue"/>
            <w:tcBorders>
              <w:top w:val="single" w:color="auto" w:sz="10" w:space="0"/>
              <w:left w:val="single" w:color="auto" w:sz="10" w:space="0"/>
              <w:bottom w:val="single" w:color="auto" w:sz="10" w:space="0"/>
              <w:right w:val="single" w:color="auto" w:sz="10" w:space="0"/>
              <w:insideV w:val="single" w:sz="10" w:space="0"/>
            </w:tcBorders>
          </w:tcPr>
          <w:p w14:paraId="4733FD00"/>
        </w:tc>
        <w:tc>
          <w:tcPr>
            <w:tcW w:w="562" w:type="dxa"/>
            <w:tcBorders>
              <w:top w:val="single" w:color="auto" w:sz="10" w:space="0"/>
              <w:left w:val="single" w:color="auto" w:sz="10" w:space="0"/>
              <w:bottom w:val="single" w:color="auto" w:sz="10" w:space="0"/>
              <w:right w:val="single" w:color="auto" w:sz="10" w:space="0"/>
              <w:insideV w:val="single" w:sz="10" w:space="0"/>
            </w:tcBorders>
            <w:vAlign w:val="center"/>
          </w:tcPr>
          <w:p w14:paraId="011C1A32">
            <w:pPr>
              <w:jc w:val="center"/>
            </w:pPr>
            <w:r>
              <w:rPr>
                <w:rFonts w:ascii="宋体" w:hAnsi="宋体" w:eastAsia="宋体"/>
                <w:sz w:val="16"/>
              </w:rPr>
              <w:t>效益指标</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7EBC1FBC">
            <w:pPr>
              <w:jc w:val="center"/>
            </w:pPr>
            <w:r>
              <w:rPr>
                <w:rFonts w:ascii="宋体" w:hAnsi="宋体" w:eastAsia="宋体"/>
                <w:sz w:val="16"/>
              </w:rPr>
              <w:t>社会效益指标</w:t>
            </w:r>
          </w:p>
        </w:tc>
        <w:tc>
          <w:tcPr>
            <w:tcW w:w="894" w:type="dxa"/>
            <w:tcBorders>
              <w:top w:val="single" w:color="auto" w:sz="10" w:space="0"/>
              <w:left w:val="single" w:color="auto" w:sz="10" w:space="0"/>
              <w:bottom w:val="single" w:color="auto" w:sz="10" w:space="0"/>
              <w:right w:val="single" w:color="auto" w:sz="10" w:space="0"/>
              <w:insideV w:val="single" w:sz="10" w:space="0"/>
            </w:tcBorders>
            <w:vAlign w:val="center"/>
          </w:tcPr>
          <w:p w14:paraId="64D07B83">
            <w:pPr>
              <w:jc w:val="center"/>
            </w:pPr>
            <w:r>
              <w:rPr>
                <w:rFonts w:ascii="宋体" w:hAnsi="宋体" w:eastAsia="宋体"/>
                <w:sz w:val="16"/>
              </w:rPr>
              <w:t>适龄残疾儿童义务教育入学率</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2B3FC673">
            <w:pPr>
              <w:jc w:val="center"/>
            </w:pPr>
            <w:r>
              <w:rPr>
                <w:rFonts w:ascii="宋体" w:hAnsi="宋体" w:eastAsia="宋体"/>
                <w:sz w:val="16"/>
              </w:rPr>
              <w:t>20</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064A2CA2">
            <w:pPr>
              <w:jc w:val="center"/>
            </w:pPr>
            <w:r>
              <w:rPr>
                <w:rFonts w:ascii="宋体" w:hAnsi="宋体" w:eastAsia="宋体"/>
                <w:sz w:val="16"/>
              </w:rPr>
              <w:t>&gt;=95%</w:t>
            </w:r>
          </w:p>
        </w:tc>
        <w:tc>
          <w:tcPr>
            <w:tcW w:w="640" w:type="dxa"/>
            <w:tcBorders>
              <w:top w:val="single" w:color="auto" w:sz="10" w:space="0"/>
              <w:left w:val="single" w:color="auto" w:sz="10" w:space="0"/>
              <w:bottom w:val="single" w:color="auto" w:sz="10" w:space="0"/>
              <w:right w:val="single" w:color="auto" w:sz="10" w:space="0"/>
              <w:insideV w:val="single" w:sz="10" w:space="0"/>
            </w:tcBorders>
            <w:vAlign w:val="center"/>
          </w:tcPr>
          <w:p w14:paraId="0D924392">
            <w:pPr>
              <w:jc w:val="center"/>
            </w:pPr>
            <w:r>
              <w:rPr>
                <w:rFonts w:ascii="宋体" w:hAnsi="宋体" w:eastAsia="宋体"/>
                <w:sz w:val="16"/>
              </w:rPr>
              <w:t>100%</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6AE5E4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F29C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1E071">
            <w:pPr>
              <w:jc w:val="center"/>
            </w:pPr>
            <w:r>
              <w:rPr>
                <w:rFonts w:ascii="宋体" w:hAnsi="宋体" w:eastAsia="宋体"/>
                <w:sz w:val="16"/>
              </w:rPr>
              <w:t>计划标准</w:t>
            </w:r>
          </w:p>
        </w:tc>
        <w:tc>
          <w:tcPr>
            <w:tcW w:w="491" w:type="dxa"/>
            <w:tcBorders>
              <w:top w:val="single" w:color="auto" w:sz="10" w:space="0"/>
              <w:left w:val="single" w:color="auto" w:sz="10" w:space="0"/>
              <w:bottom w:val="single" w:color="auto" w:sz="10" w:space="0"/>
              <w:right w:val="single" w:color="auto" w:sz="10" w:space="0"/>
              <w:insideV w:val="single" w:sz="10" w:space="0"/>
            </w:tcBorders>
            <w:vAlign w:val="center"/>
          </w:tcPr>
          <w:p w14:paraId="0FB933C8">
            <w:pPr>
              <w:jc w:val="center"/>
            </w:pPr>
            <w:r>
              <w:rPr>
                <w:rFonts w:ascii="宋体" w:hAnsi="宋体" w:eastAsia="宋体"/>
                <w:sz w:val="16"/>
              </w:rPr>
              <w:t>-</w:t>
            </w:r>
          </w:p>
        </w:tc>
        <w:tc>
          <w:tcPr>
            <w:tcW w:w="773" w:type="dxa"/>
            <w:tcBorders>
              <w:top w:val="single" w:color="auto" w:sz="10" w:space="0"/>
              <w:left w:val="single" w:color="auto" w:sz="10" w:space="0"/>
              <w:bottom w:val="single" w:color="auto" w:sz="10" w:space="0"/>
              <w:right w:val="single" w:color="auto" w:sz="10" w:space="0"/>
              <w:insideV w:val="single" w:sz="10" w:space="0"/>
            </w:tcBorders>
            <w:vAlign w:val="center"/>
          </w:tcPr>
          <w:p w14:paraId="4F2B08B5">
            <w:pPr>
              <w:jc w:val="center"/>
            </w:pPr>
            <w:r>
              <w:rPr>
                <w:rFonts w:ascii="宋体" w:hAnsi="宋体" w:eastAsia="宋体"/>
                <w:sz w:val="16"/>
              </w:rPr>
              <w:t>按照完成比例赋分</w:t>
            </w:r>
          </w:p>
        </w:tc>
        <w:tc>
          <w:tcPr>
            <w:tcW w:w="523" w:type="dxa"/>
            <w:tcBorders>
              <w:top w:val="single" w:color="auto" w:sz="10" w:space="0"/>
              <w:left w:val="single" w:color="auto" w:sz="10" w:space="0"/>
              <w:bottom w:val="single" w:color="auto" w:sz="10" w:space="0"/>
              <w:right w:val="single" w:color="auto" w:sz="10" w:space="0"/>
              <w:insideV w:val="single" w:sz="10" w:space="0"/>
            </w:tcBorders>
            <w:vAlign w:val="center"/>
          </w:tcPr>
          <w:p w14:paraId="308E31D5">
            <w:pPr>
              <w:jc w:val="center"/>
            </w:pPr>
            <w:r>
              <w:rPr>
                <w:rFonts w:ascii="宋体" w:hAnsi="宋体" w:eastAsia="宋体"/>
                <w:sz w:val="16"/>
              </w:rPr>
              <w:t>工作资料</w:t>
            </w:r>
          </w:p>
        </w:tc>
        <w:tc>
          <w:tcPr>
            <w:tcW w:w="74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4B469B">
            <w:pPr>
              <w:jc w:val="center"/>
            </w:pPr>
          </w:p>
        </w:tc>
      </w:tr>
      <w:tr w14:paraId="15BA1EEC">
        <w:tblPrEx>
          <w:tblCellMar>
            <w:top w:w="0" w:type="dxa"/>
            <w:left w:w="108" w:type="dxa"/>
            <w:bottom w:w="0" w:type="dxa"/>
            <w:right w:w="108" w:type="dxa"/>
          </w:tblCellMar>
        </w:tblPrEx>
        <w:trPr>
          <w:trHeight w:val="4553" w:hRule="atLeast"/>
        </w:trPr>
        <w:tc>
          <w:tcPr>
            <w:tcW w:w="702" w:type="dxa"/>
            <w:vMerge w:val="continue"/>
            <w:tcBorders>
              <w:top w:val="single" w:color="auto" w:sz="10" w:space="0"/>
              <w:left w:val="single" w:color="auto" w:sz="10" w:space="0"/>
              <w:bottom w:val="single" w:color="auto" w:sz="10" w:space="0"/>
              <w:right w:val="single" w:color="auto" w:sz="10" w:space="0"/>
              <w:insideV w:val="single" w:sz="10" w:space="0"/>
            </w:tcBorders>
          </w:tcPr>
          <w:p w14:paraId="312EFFC2"/>
        </w:tc>
        <w:tc>
          <w:tcPr>
            <w:tcW w:w="56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6F3575">
            <w:pPr>
              <w:jc w:val="center"/>
            </w:pPr>
            <w:r>
              <w:rPr>
                <w:rFonts w:ascii="宋体" w:hAnsi="宋体" w:eastAsia="宋体"/>
                <w:sz w:val="16"/>
              </w:rPr>
              <w:t>满意度指标</w:t>
            </w:r>
          </w:p>
        </w:tc>
        <w:tc>
          <w:tcPr>
            <w:tcW w:w="57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EE306B">
            <w:pPr>
              <w:jc w:val="center"/>
            </w:pPr>
            <w:r>
              <w:rPr>
                <w:rFonts w:ascii="宋体" w:hAnsi="宋体" w:eastAsia="宋体"/>
                <w:sz w:val="16"/>
              </w:rPr>
              <w:t>满意度指标</w:t>
            </w:r>
          </w:p>
        </w:tc>
        <w:tc>
          <w:tcPr>
            <w:tcW w:w="894" w:type="dxa"/>
            <w:tcBorders>
              <w:top w:val="single" w:color="auto" w:sz="10" w:space="0"/>
              <w:left w:val="single" w:color="auto" w:sz="10" w:space="0"/>
              <w:bottom w:val="single" w:color="auto" w:sz="10" w:space="0"/>
              <w:right w:val="single" w:color="auto" w:sz="10" w:space="0"/>
              <w:insideV w:val="single" w:sz="10" w:space="0"/>
            </w:tcBorders>
            <w:vAlign w:val="center"/>
          </w:tcPr>
          <w:p w14:paraId="66CA925C">
            <w:pPr>
              <w:jc w:val="center"/>
            </w:pPr>
            <w:r>
              <w:rPr>
                <w:rFonts w:ascii="宋体" w:hAnsi="宋体" w:eastAsia="宋体"/>
                <w:sz w:val="16"/>
              </w:rPr>
              <w:t>学校和老师满意度</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6998F147">
            <w:pPr>
              <w:jc w:val="center"/>
            </w:pPr>
            <w:r>
              <w:rPr>
                <w:rFonts w:ascii="宋体" w:hAnsi="宋体" w:eastAsia="宋体"/>
                <w:sz w:val="16"/>
              </w:rPr>
              <w:t>5</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6B2ECBD8">
            <w:pPr>
              <w:jc w:val="center"/>
            </w:pPr>
            <w:r>
              <w:rPr>
                <w:rFonts w:ascii="宋体" w:hAnsi="宋体" w:eastAsia="宋体"/>
                <w:sz w:val="16"/>
              </w:rPr>
              <w:t>&gt;=90%</w:t>
            </w:r>
          </w:p>
        </w:tc>
        <w:tc>
          <w:tcPr>
            <w:tcW w:w="640" w:type="dxa"/>
            <w:tcBorders>
              <w:top w:val="single" w:color="auto" w:sz="10" w:space="0"/>
              <w:left w:val="single" w:color="auto" w:sz="10" w:space="0"/>
              <w:bottom w:val="single" w:color="auto" w:sz="10" w:space="0"/>
              <w:right w:val="single" w:color="auto" w:sz="10" w:space="0"/>
              <w:insideV w:val="single" w:sz="10" w:space="0"/>
            </w:tcBorders>
            <w:vAlign w:val="center"/>
          </w:tcPr>
          <w:p w14:paraId="30AD7813">
            <w:pPr>
              <w:jc w:val="center"/>
            </w:pPr>
            <w:r>
              <w:rPr>
                <w:rFonts w:ascii="宋体" w:hAnsi="宋体" w:eastAsia="宋体"/>
                <w:sz w:val="16"/>
              </w:rPr>
              <w:t>100%</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4DBE8DC8">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4995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5EE24">
            <w:pPr>
              <w:jc w:val="center"/>
            </w:pPr>
            <w:r>
              <w:rPr>
                <w:rFonts w:ascii="宋体" w:hAnsi="宋体" w:eastAsia="宋体"/>
                <w:sz w:val="16"/>
              </w:rPr>
              <w:t>计划标准</w:t>
            </w:r>
          </w:p>
        </w:tc>
        <w:tc>
          <w:tcPr>
            <w:tcW w:w="491" w:type="dxa"/>
            <w:tcBorders>
              <w:top w:val="single" w:color="auto" w:sz="10" w:space="0"/>
              <w:left w:val="single" w:color="auto" w:sz="10" w:space="0"/>
              <w:bottom w:val="single" w:color="auto" w:sz="10" w:space="0"/>
              <w:right w:val="single" w:color="auto" w:sz="10" w:space="0"/>
              <w:insideV w:val="single" w:sz="10" w:space="0"/>
            </w:tcBorders>
            <w:vAlign w:val="center"/>
          </w:tcPr>
          <w:p w14:paraId="240C4FB2">
            <w:pPr>
              <w:jc w:val="center"/>
            </w:pPr>
            <w:r>
              <w:rPr>
                <w:rFonts w:ascii="宋体" w:hAnsi="宋体" w:eastAsia="宋体"/>
                <w:sz w:val="16"/>
              </w:rPr>
              <w:t>-</w:t>
            </w:r>
          </w:p>
        </w:tc>
        <w:tc>
          <w:tcPr>
            <w:tcW w:w="773" w:type="dxa"/>
            <w:tcBorders>
              <w:top w:val="single" w:color="auto" w:sz="10" w:space="0"/>
              <w:left w:val="single" w:color="auto" w:sz="10" w:space="0"/>
              <w:bottom w:val="single" w:color="auto" w:sz="10" w:space="0"/>
              <w:right w:val="single" w:color="auto" w:sz="10" w:space="0"/>
              <w:insideV w:val="single" w:sz="10" w:space="0"/>
            </w:tcBorders>
            <w:vAlign w:val="center"/>
          </w:tcPr>
          <w:p w14:paraId="64D949E4">
            <w:pPr>
              <w:jc w:val="center"/>
            </w:pPr>
            <w:r>
              <w:rPr>
                <w:rFonts w:ascii="宋体" w:hAnsi="宋体" w:eastAsia="宋体"/>
                <w:sz w:val="16"/>
              </w:rPr>
              <w:t>满意度赋分</w:t>
            </w:r>
          </w:p>
        </w:tc>
        <w:tc>
          <w:tcPr>
            <w:tcW w:w="523" w:type="dxa"/>
            <w:tcBorders>
              <w:top w:val="single" w:color="auto" w:sz="10" w:space="0"/>
              <w:left w:val="single" w:color="auto" w:sz="10" w:space="0"/>
              <w:bottom w:val="single" w:color="auto" w:sz="10" w:space="0"/>
              <w:right w:val="single" w:color="auto" w:sz="10" w:space="0"/>
              <w:insideV w:val="single" w:sz="10" w:space="0"/>
            </w:tcBorders>
            <w:vAlign w:val="center"/>
          </w:tcPr>
          <w:p w14:paraId="275BA304">
            <w:pPr>
              <w:jc w:val="center"/>
            </w:pPr>
            <w:r>
              <w:rPr>
                <w:rFonts w:ascii="宋体" w:hAnsi="宋体" w:eastAsia="宋体"/>
                <w:sz w:val="16"/>
              </w:rPr>
              <w:t>工作资料</w:t>
            </w:r>
          </w:p>
        </w:tc>
        <w:tc>
          <w:tcPr>
            <w:tcW w:w="74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008C55">
            <w:pPr>
              <w:jc w:val="center"/>
            </w:pPr>
            <w:r>
              <w:rPr>
                <w:rFonts w:ascii="宋体" w:hAnsi="宋体" w:eastAsia="宋体"/>
                <w:sz w:val="16"/>
              </w:rPr>
              <w:t>学校的管理与支持，教学资源改善、同事关系和谐，福利完善，教师满意度较高。</w:t>
            </w:r>
          </w:p>
        </w:tc>
      </w:tr>
      <w:tr w14:paraId="622D6DEA">
        <w:tblPrEx>
          <w:tblCellMar>
            <w:top w:w="0" w:type="dxa"/>
            <w:left w:w="108" w:type="dxa"/>
            <w:bottom w:w="0" w:type="dxa"/>
            <w:right w:w="108" w:type="dxa"/>
          </w:tblCellMar>
        </w:tblPrEx>
        <w:tc>
          <w:tcPr>
            <w:tcW w:w="702" w:type="dxa"/>
            <w:vMerge w:val="continue"/>
            <w:tcBorders>
              <w:top w:val="single" w:color="auto" w:sz="10" w:space="0"/>
              <w:left w:val="single" w:color="auto" w:sz="10" w:space="0"/>
              <w:bottom w:val="single" w:color="auto" w:sz="10" w:space="0"/>
              <w:right w:val="single" w:color="auto" w:sz="10" w:space="0"/>
              <w:insideV w:val="single" w:sz="10" w:space="0"/>
            </w:tcBorders>
          </w:tcPr>
          <w:p w14:paraId="7789BE9F"/>
        </w:tc>
        <w:tc>
          <w:tcPr>
            <w:tcW w:w="562" w:type="dxa"/>
            <w:vMerge w:val="continue"/>
            <w:tcBorders>
              <w:top w:val="single" w:color="auto" w:sz="10" w:space="0"/>
              <w:left w:val="single" w:color="auto" w:sz="10" w:space="0"/>
              <w:bottom w:val="single" w:color="auto" w:sz="10" w:space="0"/>
              <w:right w:val="single" w:color="auto" w:sz="10" w:space="0"/>
              <w:insideV w:val="single" w:sz="10" w:space="0"/>
            </w:tcBorders>
          </w:tcPr>
          <w:p w14:paraId="49621D60"/>
        </w:tc>
        <w:tc>
          <w:tcPr>
            <w:tcW w:w="571" w:type="dxa"/>
            <w:vMerge w:val="continue"/>
            <w:tcBorders>
              <w:top w:val="single" w:color="auto" w:sz="10" w:space="0"/>
              <w:left w:val="single" w:color="auto" w:sz="10" w:space="0"/>
              <w:bottom w:val="single" w:color="auto" w:sz="10" w:space="0"/>
              <w:right w:val="single" w:color="auto" w:sz="10" w:space="0"/>
              <w:insideV w:val="single" w:sz="10" w:space="0"/>
            </w:tcBorders>
          </w:tcPr>
          <w:p w14:paraId="35F32025"/>
        </w:tc>
        <w:tc>
          <w:tcPr>
            <w:tcW w:w="894" w:type="dxa"/>
            <w:tcBorders>
              <w:top w:val="single" w:color="auto" w:sz="10" w:space="0"/>
              <w:left w:val="single" w:color="auto" w:sz="10" w:space="0"/>
              <w:bottom w:val="single" w:color="auto" w:sz="10" w:space="0"/>
              <w:right w:val="single" w:color="auto" w:sz="10" w:space="0"/>
              <w:insideV w:val="single" w:sz="10" w:space="0"/>
            </w:tcBorders>
            <w:vAlign w:val="center"/>
          </w:tcPr>
          <w:p w14:paraId="1170B0AB">
            <w:pPr>
              <w:jc w:val="center"/>
            </w:pPr>
            <w:r>
              <w:rPr>
                <w:rFonts w:ascii="宋体" w:hAnsi="宋体" w:eastAsia="宋体"/>
                <w:sz w:val="16"/>
              </w:rPr>
              <w:t>家长和学生满意度</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084206C7">
            <w:pPr>
              <w:jc w:val="center"/>
            </w:pPr>
            <w:r>
              <w:rPr>
                <w:rFonts w:ascii="宋体" w:hAnsi="宋体" w:eastAsia="宋体"/>
                <w:sz w:val="16"/>
              </w:rPr>
              <w:t>5</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2A8816A2">
            <w:pPr>
              <w:jc w:val="center"/>
            </w:pPr>
            <w:r>
              <w:rPr>
                <w:rFonts w:ascii="宋体" w:hAnsi="宋体" w:eastAsia="宋体"/>
                <w:sz w:val="16"/>
              </w:rPr>
              <w:t>&gt;=90%</w:t>
            </w:r>
          </w:p>
        </w:tc>
        <w:tc>
          <w:tcPr>
            <w:tcW w:w="640" w:type="dxa"/>
            <w:tcBorders>
              <w:top w:val="single" w:color="auto" w:sz="10" w:space="0"/>
              <w:left w:val="single" w:color="auto" w:sz="10" w:space="0"/>
              <w:bottom w:val="single" w:color="auto" w:sz="10" w:space="0"/>
              <w:right w:val="single" w:color="auto" w:sz="10" w:space="0"/>
              <w:insideV w:val="single" w:sz="10" w:space="0"/>
            </w:tcBorders>
            <w:vAlign w:val="center"/>
          </w:tcPr>
          <w:p w14:paraId="7D7BF772">
            <w:pPr>
              <w:jc w:val="center"/>
            </w:pPr>
            <w:r>
              <w:rPr>
                <w:rFonts w:ascii="宋体" w:hAnsi="宋体" w:eastAsia="宋体"/>
                <w:sz w:val="16"/>
              </w:rPr>
              <w:t>100%</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3EB7553B">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B86F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2D1FD">
            <w:pPr>
              <w:jc w:val="center"/>
            </w:pPr>
            <w:r>
              <w:rPr>
                <w:rFonts w:ascii="宋体" w:hAnsi="宋体" w:eastAsia="宋体"/>
                <w:sz w:val="16"/>
              </w:rPr>
              <w:t>计划标准</w:t>
            </w:r>
          </w:p>
        </w:tc>
        <w:tc>
          <w:tcPr>
            <w:tcW w:w="491" w:type="dxa"/>
            <w:tcBorders>
              <w:top w:val="single" w:color="auto" w:sz="10" w:space="0"/>
              <w:left w:val="single" w:color="auto" w:sz="10" w:space="0"/>
              <w:bottom w:val="single" w:color="auto" w:sz="10" w:space="0"/>
              <w:right w:val="single" w:color="auto" w:sz="10" w:space="0"/>
              <w:insideV w:val="single" w:sz="10" w:space="0"/>
            </w:tcBorders>
            <w:vAlign w:val="center"/>
          </w:tcPr>
          <w:p w14:paraId="33036C4F">
            <w:pPr>
              <w:jc w:val="center"/>
            </w:pPr>
            <w:r>
              <w:rPr>
                <w:rFonts w:ascii="宋体" w:hAnsi="宋体" w:eastAsia="宋体"/>
                <w:sz w:val="16"/>
              </w:rPr>
              <w:t>-</w:t>
            </w:r>
          </w:p>
        </w:tc>
        <w:tc>
          <w:tcPr>
            <w:tcW w:w="773" w:type="dxa"/>
            <w:tcBorders>
              <w:top w:val="single" w:color="auto" w:sz="10" w:space="0"/>
              <w:left w:val="single" w:color="auto" w:sz="10" w:space="0"/>
              <w:bottom w:val="single" w:color="auto" w:sz="10" w:space="0"/>
              <w:right w:val="single" w:color="auto" w:sz="10" w:space="0"/>
              <w:insideV w:val="single" w:sz="10" w:space="0"/>
            </w:tcBorders>
            <w:vAlign w:val="center"/>
          </w:tcPr>
          <w:p w14:paraId="77A4E4A1">
            <w:pPr>
              <w:jc w:val="center"/>
            </w:pPr>
            <w:r>
              <w:rPr>
                <w:rFonts w:ascii="宋体" w:hAnsi="宋体" w:eastAsia="宋体"/>
                <w:sz w:val="16"/>
              </w:rPr>
              <w:t>满意度赋分</w:t>
            </w:r>
          </w:p>
        </w:tc>
        <w:tc>
          <w:tcPr>
            <w:tcW w:w="523" w:type="dxa"/>
            <w:tcBorders>
              <w:top w:val="single" w:color="auto" w:sz="10" w:space="0"/>
              <w:left w:val="single" w:color="auto" w:sz="10" w:space="0"/>
              <w:bottom w:val="single" w:color="auto" w:sz="10" w:space="0"/>
              <w:right w:val="single" w:color="auto" w:sz="10" w:space="0"/>
              <w:insideV w:val="single" w:sz="10" w:space="0"/>
            </w:tcBorders>
            <w:vAlign w:val="center"/>
          </w:tcPr>
          <w:p w14:paraId="70E2573F">
            <w:pPr>
              <w:jc w:val="center"/>
            </w:pPr>
            <w:r>
              <w:rPr>
                <w:rFonts w:ascii="宋体" w:hAnsi="宋体" w:eastAsia="宋体"/>
                <w:sz w:val="16"/>
              </w:rPr>
              <w:t>工作资料</w:t>
            </w:r>
          </w:p>
        </w:tc>
        <w:tc>
          <w:tcPr>
            <w:tcW w:w="74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3F34EF">
            <w:pPr>
              <w:jc w:val="center"/>
            </w:pPr>
            <w:r>
              <w:rPr>
                <w:rFonts w:ascii="宋体" w:hAnsi="宋体" w:eastAsia="宋体"/>
                <w:sz w:val="16"/>
              </w:rPr>
              <w:t>学校硬件设施升级，教师水平较高，校园文化建设加强学生满意度较高。</w:t>
            </w:r>
          </w:p>
        </w:tc>
      </w:tr>
      <w:tr w14:paraId="7B15A3F2">
        <w:tblPrEx>
          <w:tblCellMar>
            <w:top w:w="0" w:type="dxa"/>
            <w:left w:w="108" w:type="dxa"/>
            <w:bottom w:w="0" w:type="dxa"/>
            <w:right w:w="108" w:type="dxa"/>
          </w:tblCellMar>
        </w:tblPrEx>
        <w:tc>
          <w:tcPr>
            <w:tcW w:w="2729"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CEF10A6">
            <w:pPr>
              <w:jc w:val="center"/>
            </w:pPr>
            <w:r>
              <w:rPr>
                <w:rFonts w:ascii="宋体" w:hAnsi="宋体" w:eastAsia="宋体"/>
                <w:sz w:val="16"/>
              </w:rPr>
              <w:t>总分</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3B45F86B">
            <w:pPr>
              <w:jc w:val="center"/>
            </w:pPr>
            <w:r>
              <w:rPr>
                <w:rFonts w:ascii="宋体" w:hAnsi="宋体" w:eastAsia="宋体"/>
                <w:sz w:val="16"/>
              </w:rPr>
              <w:t>100</w:t>
            </w:r>
          </w:p>
        </w:tc>
        <w:tc>
          <w:tcPr>
            <w:tcW w:w="613" w:type="dxa"/>
            <w:tcBorders>
              <w:top w:val="single" w:color="auto" w:sz="10" w:space="0"/>
              <w:left w:val="single" w:color="auto" w:sz="10" w:space="0"/>
              <w:bottom w:val="single" w:color="auto" w:sz="10" w:space="0"/>
              <w:right w:val="single" w:color="auto" w:sz="10" w:space="0"/>
              <w:insideV w:val="single" w:sz="10" w:space="0"/>
            </w:tcBorders>
          </w:tcPr>
          <w:p w14:paraId="2C772BED"/>
        </w:tc>
        <w:tc>
          <w:tcPr>
            <w:tcW w:w="640" w:type="dxa"/>
            <w:tcBorders>
              <w:top w:val="single" w:color="auto" w:sz="10" w:space="0"/>
              <w:left w:val="single" w:color="auto" w:sz="10" w:space="0"/>
              <w:bottom w:val="single" w:color="auto" w:sz="10" w:space="0"/>
              <w:right w:val="single" w:color="auto" w:sz="10" w:space="0"/>
              <w:insideV w:val="single" w:sz="10" w:space="0"/>
            </w:tcBorders>
          </w:tcPr>
          <w:p w14:paraId="30A1F318"/>
        </w:tc>
        <w:tc>
          <w:tcPr>
            <w:tcW w:w="658" w:type="dxa"/>
            <w:tcBorders>
              <w:top w:val="single" w:color="auto" w:sz="10" w:space="0"/>
              <w:left w:val="single" w:color="auto" w:sz="10" w:space="0"/>
              <w:bottom w:val="single" w:color="auto" w:sz="10" w:space="0"/>
              <w:right w:val="single" w:color="auto" w:sz="10" w:space="0"/>
              <w:insideV w:val="single" w:sz="10" w:space="0"/>
            </w:tcBorders>
          </w:tcPr>
          <w:p w14:paraId="3104CF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0A72A">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CF3A976"/>
        </w:tc>
        <w:tc>
          <w:tcPr>
            <w:tcW w:w="491" w:type="dxa"/>
            <w:tcBorders>
              <w:top w:val="single" w:color="auto" w:sz="10" w:space="0"/>
              <w:left w:val="single" w:color="auto" w:sz="10" w:space="0"/>
              <w:bottom w:val="single" w:color="auto" w:sz="10" w:space="0"/>
              <w:right w:val="single" w:color="auto" w:sz="10" w:space="0"/>
              <w:insideV w:val="single" w:sz="10" w:space="0"/>
            </w:tcBorders>
          </w:tcPr>
          <w:p w14:paraId="30040762"/>
        </w:tc>
        <w:tc>
          <w:tcPr>
            <w:tcW w:w="773" w:type="dxa"/>
            <w:tcBorders>
              <w:top w:val="single" w:color="auto" w:sz="10" w:space="0"/>
              <w:left w:val="single" w:color="auto" w:sz="10" w:space="0"/>
              <w:bottom w:val="single" w:color="auto" w:sz="10" w:space="0"/>
              <w:right w:val="single" w:color="auto" w:sz="10" w:space="0"/>
              <w:insideV w:val="single" w:sz="10" w:space="0"/>
            </w:tcBorders>
          </w:tcPr>
          <w:p w14:paraId="1706E8B3"/>
        </w:tc>
        <w:tc>
          <w:tcPr>
            <w:tcW w:w="523" w:type="dxa"/>
            <w:tcBorders>
              <w:top w:val="single" w:color="auto" w:sz="10" w:space="0"/>
              <w:left w:val="single" w:color="auto" w:sz="10" w:space="0"/>
              <w:bottom w:val="single" w:color="auto" w:sz="10" w:space="0"/>
              <w:right w:val="single" w:color="auto" w:sz="10" w:space="0"/>
              <w:insideV w:val="single" w:sz="10" w:space="0"/>
            </w:tcBorders>
          </w:tcPr>
          <w:p w14:paraId="3ED0B0A3"/>
        </w:tc>
        <w:tc>
          <w:tcPr>
            <w:tcW w:w="741" w:type="dxa"/>
            <w:gridSpan w:val="2"/>
            <w:tcBorders>
              <w:top w:val="single" w:color="auto" w:sz="10" w:space="0"/>
              <w:left w:val="single" w:color="auto" w:sz="10" w:space="0"/>
              <w:bottom w:val="single" w:color="auto" w:sz="10" w:space="0"/>
              <w:right w:val="single" w:color="auto" w:sz="10" w:space="0"/>
              <w:insideV w:val="single" w:sz="10" w:space="0"/>
            </w:tcBorders>
          </w:tcPr>
          <w:p w14:paraId="76CAC1E6"/>
        </w:tc>
      </w:tr>
    </w:tbl>
    <w:p w14:paraId="4CDCE859">
      <w:r>
        <w:br w:type="page"/>
      </w:r>
    </w:p>
    <w:p w14:paraId="13AFF2B8">
      <w:pPr>
        <w:spacing w:line="640" w:lineRule="exact"/>
        <w:ind w:firstLine="640"/>
        <w:jc w:val="both"/>
        <w:outlineLvl w:val="2"/>
      </w:pPr>
      <w:r>
        <w:rPr>
          <w:rFonts w:ascii="黑体" w:hAnsi="黑体" w:eastAsia="黑体"/>
          <w:sz w:val="32"/>
        </w:rPr>
        <w:t>十二、其他需说明的事项</w:t>
      </w:r>
    </w:p>
    <w:p w14:paraId="156C3187">
      <w:pPr>
        <w:spacing w:line="580" w:lineRule="exact"/>
        <w:ind w:firstLine="640"/>
        <w:jc w:val="both"/>
      </w:pPr>
      <w:r>
        <w:rPr>
          <w:rFonts w:ascii="仿宋_GB2312" w:hAnsi="仿宋_GB2312" w:eastAsia="仿宋_GB2312"/>
          <w:b w:val="0"/>
          <w:sz w:val="32"/>
        </w:rPr>
        <w:t>本单位无其他需说明的事项。</w:t>
      </w:r>
    </w:p>
    <w:p w14:paraId="1BD5795D">
      <w:r>
        <w:br w:type="page"/>
      </w:r>
    </w:p>
    <w:p w14:paraId="6D789816">
      <w:pPr>
        <w:spacing w:line="240" w:lineRule="auto"/>
        <w:jc w:val="center"/>
        <w:outlineLvl w:val="1"/>
      </w:pPr>
      <w:r>
        <w:rPr>
          <w:rFonts w:ascii="黑体" w:hAnsi="黑体" w:eastAsia="黑体"/>
          <w:sz w:val="32"/>
        </w:rPr>
        <w:t>第三部分 专业名词解释</w:t>
      </w:r>
    </w:p>
    <w:p w14:paraId="77CB0989">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7363F44">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41CA0AF">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8F9E13B">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942F65F">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713EAFF">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1B28CC3">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A1F575B">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0DC81DE">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19D1A9B">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3A8020D">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472BE35">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B550A2D">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EB63021">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16B8A00">
      <w:r>
        <w:br w:type="page"/>
      </w:r>
    </w:p>
    <w:p w14:paraId="7E0BCBCF">
      <w:pPr>
        <w:spacing w:line="240" w:lineRule="auto"/>
        <w:jc w:val="center"/>
        <w:outlineLvl w:val="1"/>
      </w:pPr>
      <w:r>
        <w:rPr>
          <w:rFonts w:ascii="黑体" w:hAnsi="黑体" w:eastAsia="黑体"/>
          <w:sz w:val="32"/>
        </w:rPr>
        <w:t>第四部分 部门决算报表（见附表）</w:t>
      </w:r>
    </w:p>
    <w:p w14:paraId="1EA29251">
      <w:pPr>
        <w:spacing w:line="240" w:lineRule="auto"/>
        <w:ind w:firstLine="640"/>
        <w:jc w:val="both"/>
      </w:pPr>
      <w:r>
        <w:rPr>
          <w:rFonts w:ascii="仿宋_GB2312" w:hAnsi="仿宋_GB2312" w:eastAsia="仿宋_GB2312"/>
          <w:b w:val="0"/>
          <w:sz w:val="32"/>
        </w:rPr>
        <w:t>一、《收入支出决算总表》</w:t>
      </w:r>
    </w:p>
    <w:p w14:paraId="4775E904">
      <w:pPr>
        <w:spacing w:line="240" w:lineRule="auto"/>
        <w:ind w:firstLine="640"/>
        <w:jc w:val="both"/>
      </w:pPr>
      <w:r>
        <w:rPr>
          <w:rFonts w:ascii="仿宋_GB2312" w:hAnsi="仿宋_GB2312" w:eastAsia="仿宋_GB2312"/>
          <w:b w:val="0"/>
          <w:sz w:val="32"/>
        </w:rPr>
        <w:t>二、《收入决算表》</w:t>
      </w:r>
    </w:p>
    <w:p w14:paraId="0541C9A2">
      <w:pPr>
        <w:spacing w:line="240" w:lineRule="auto"/>
        <w:ind w:firstLine="640"/>
        <w:jc w:val="both"/>
      </w:pPr>
      <w:r>
        <w:rPr>
          <w:rFonts w:ascii="仿宋_GB2312" w:hAnsi="仿宋_GB2312" w:eastAsia="仿宋_GB2312"/>
          <w:b w:val="0"/>
          <w:sz w:val="32"/>
        </w:rPr>
        <w:t>三、《支出决算表》</w:t>
      </w:r>
    </w:p>
    <w:p w14:paraId="37EF5243">
      <w:pPr>
        <w:spacing w:line="240" w:lineRule="auto"/>
        <w:ind w:firstLine="640"/>
        <w:jc w:val="both"/>
      </w:pPr>
      <w:r>
        <w:rPr>
          <w:rFonts w:ascii="仿宋_GB2312" w:hAnsi="仿宋_GB2312" w:eastAsia="仿宋_GB2312"/>
          <w:b w:val="0"/>
          <w:sz w:val="32"/>
        </w:rPr>
        <w:t>四、《财政拨款收入支出决算总表》</w:t>
      </w:r>
    </w:p>
    <w:p w14:paraId="639F1596">
      <w:pPr>
        <w:spacing w:line="240" w:lineRule="auto"/>
        <w:ind w:firstLine="640"/>
        <w:jc w:val="both"/>
      </w:pPr>
      <w:r>
        <w:rPr>
          <w:rFonts w:ascii="仿宋_GB2312" w:hAnsi="仿宋_GB2312" w:eastAsia="仿宋_GB2312"/>
          <w:b w:val="0"/>
          <w:sz w:val="32"/>
        </w:rPr>
        <w:t>五、《一般公共预算财政拨款支出决算表》</w:t>
      </w:r>
    </w:p>
    <w:p w14:paraId="505E8E04">
      <w:pPr>
        <w:spacing w:line="240" w:lineRule="auto"/>
        <w:ind w:firstLine="640"/>
        <w:jc w:val="both"/>
      </w:pPr>
      <w:r>
        <w:rPr>
          <w:rFonts w:ascii="仿宋_GB2312" w:hAnsi="仿宋_GB2312" w:eastAsia="仿宋_GB2312"/>
          <w:b w:val="0"/>
          <w:sz w:val="32"/>
        </w:rPr>
        <w:t>六、《一般公共预算财政拨款基本支出决算表》</w:t>
      </w:r>
    </w:p>
    <w:p w14:paraId="0803D73D">
      <w:pPr>
        <w:spacing w:line="240" w:lineRule="auto"/>
        <w:ind w:firstLine="640"/>
        <w:jc w:val="both"/>
      </w:pPr>
      <w:r>
        <w:rPr>
          <w:rFonts w:ascii="仿宋_GB2312" w:hAnsi="仿宋_GB2312" w:eastAsia="仿宋_GB2312"/>
          <w:b w:val="0"/>
          <w:sz w:val="32"/>
        </w:rPr>
        <w:t>七、《政府性基金预算财政拨款收入支出决算表》</w:t>
      </w:r>
    </w:p>
    <w:p w14:paraId="02103079">
      <w:pPr>
        <w:spacing w:line="240" w:lineRule="auto"/>
        <w:ind w:firstLine="640"/>
        <w:jc w:val="both"/>
      </w:pPr>
      <w:r>
        <w:rPr>
          <w:rFonts w:ascii="仿宋_GB2312" w:hAnsi="仿宋_GB2312" w:eastAsia="仿宋_GB2312"/>
          <w:b w:val="0"/>
          <w:sz w:val="32"/>
        </w:rPr>
        <w:t>八、《国有资本经营预算财政拨款收入支出决算表》</w:t>
      </w:r>
    </w:p>
    <w:p w14:paraId="2E6D4996">
      <w:pPr>
        <w:spacing w:line="240" w:lineRule="auto"/>
        <w:ind w:firstLine="640"/>
        <w:jc w:val="both"/>
      </w:pPr>
      <w:r>
        <w:rPr>
          <w:rFonts w:ascii="仿宋_GB2312" w:hAnsi="仿宋_GB2312" w:eastAsia="仿宋_GB2312"/>
          <w:b w:val="0"/>
          <w:sz w:val="32"/>
        </w:rPr>
        <w:t>九、《财政拨款“三公”经费支出决算表》</w:t>
      </w:r>
    </w:p>
    <w:p w14:paraId="3ED3A9FA">
      <w:pPr>
        <w:spacing w:line="240" w:lineRule="auto"/>
        <w:ind w:firstLine="640"/>
        <w:jc w:val="both"/>
      </w:pPr>
    </w:p>
    <w:p w14:paraId="195F7A90">
      <w:pPr>
        <w:spacing w:line="240" w:lineRule="auto"/>
        <w:ind w:firstLine="640"/>
        <w:jc w:val="both"/>
      </w:pPr>
    </w:p>
    <w:p w14:paraId="6DCFED01">
      <w:pPr>
        <w:spacing w:line="240" w:lineRule="auto"/>
        <w:ind w:firstLine="640"/>
        <w:jc w:val="both"/>
      </w:pPr>
    </w:p>
    <w:p w14:paraId="4FD09CA9">
      <w:pPr>
        <w:spacing w:line="240" w:lineRule="auto"/>
        <w:ind w:firstLine="640"/>
        <w:jc w:val="both"/>
      </w:pPr>
    </w:p>
    <w:p w14:paraId="65380DEB">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1A0FAB"/>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29425C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5955</Words>
  <Characters>6797</Characters>
  <Lines>0</Lines>
  <Paragraphs>0</Paragraphs>
  <TotalTime>9</TotalTime>
  <ScaleCrop>false</ScaleCrop>
  <LinksUpToDate>false</LinksUpToDate>
  <CharactersWithSpaces>6805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2025-09-25T05:13:31Z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