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霍城县江阴小学2024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C31749">
      <w:r>
        <w:br w:type="page"/>
      </w:r>
    </w:p>
    <w:p w14:paraId="66D05421">
      <w:pPr>
        <w:spacing w:line="640" w:lineRule="exact"/>
        <w:jc w:val="center"/>
        <w:outlineLvl w:val="1"/>
      </w:pPr>
      <w:r>
        <w:rPr>
          <w:rFonts w:ascii="黑体" w:hAnsi="黑体" w:eastAsia="黑体"/>
          <w:sz w:val="32"/>
        </w:rPr>
        <w:t>第一部分 单位概况</w:t>
      </w:r>
    </w:p>
    <w:p w14:paraId="3712DCD5">
      <w:pPr>
        <w:spacing w:line="640" w:lineRule="exact"/>
        <w:ind w:firstLine="640"/>
        <w:jc w:val="both"/>
        <w:outlineLvl w:val="2"/>
      </w:pPr>
      <w:r>
        <w:rPr>
          <w:rFonts w:ascii="黑体" w:hAnsi="黑体" w:eastAsia="黑体"/>
          <w:sz w:val="32"/>
        </w:rPr>
        <w:t>一、主要职能</w:t>
      </w:r>
    </w:p>
    <w:p w14:paraId="75884F95">
      <w:pPr>
        <w:spacing w:line="580" w:lineRule="exact"/>
        <w:ind w:firstLine="640"/>
        <w:jc w:val="both"/>
      </w:pPr>
      <w:r>
        <w:rPr>
          <w:rFonts w:ascii="仿宋_GB2312" w:hAnsi="仿宋_GB2312" w:eastAsia="仿宋_GB2312"/>
          <w:sz w:val="32"/>
        </w:rPr>
        <w:t>实施小学教育，促进基础教育发展。宣传贯彻执行党和国家的教育方针、政策、法律法规等，坚持依法治教、依法治学，贯彻执行县教体局的行政规章制度。负责对本校教育教学业务的具体管理，负责教育教学管理及教研教改工作，全力推进素质教育实施。指导、管理、检查、评价本校的教育教学工作，提高办学质量和办学效益。按照义务教育课程计划，开齐课程，开足课时，认真实施小学的教育教学管理，全面推进素质教育，全面提高教育教学质量。</w:t>
      </w:r>
    </w:p>
    <w:p w14:paraId="28B6D3AC">
      <w:pPr>
        <w:spacing w:line="640" w:lineRule="exact"/>
        <w:ind w:firstLine="640"/>
        <w:jc w:val="both"/>
        <w:outlineLvl w:val="2"/>
      </w:pPr>
      <w:r>
        <w:rPr>
          <w:rFonts w:ascii="黑体" w:hAnsi="黑体" w:eastAsia="黑体"/>
          <w:sz w:val="32"/>
        </w:rPr>
        <w:t>二、机构设置及人员情况</w:t>
      </w:r>
    </w:p>
    <w:p w14:paraId="2B5355BA">
      <w:pPr>
        <w:spacing w:line="580" w:lineRule="exact"/>
        <w:ind w:firstLine="640"/>
        <w:jc w:val="both"/>
      </w:pPr>
      <w:r>
        <w:rPr>
          <w:rFonts w:ascii="仿宋_GB2312" w:hAnsi="仿宋_GB2312" w:eastAsia="仿宋_GB2312"/>
          <w:sz w:val="32"/>
        </w:rPr>
        <w:t>霍城县江阴小学2024年度，实有人数83人，其中：在职人员76人，减少13人；离休人员0人，增加0人；退休人员7人,增加2人。</w:t>
      </w:r>
    </w:p>
    <w:p w14:paraId="7BD1CFD5">
      <w:pPr>
        <w:spacing w:line="580" w:lineRule="exact"/>
        <w:ind w:firstLine="640"/>
        <w:jc w:val="both"/>
      </w:pPr>
      <w:r>
        <w:rPr>
          <w:rFonts w:ascii="仿宋_GB2312" w:hAnsi="仿宋_GB2312" w:eastAsia="仿宋_GB2312"/>
          <w:sz w:val="32"/>
        </w:rPr>
        <w:t>霍城县江阴小学无下属预算单位，下设8个科室，分别是：办公室、财务室、总务处、政教处、教务处、党建办、德育处、教研室。</w:t>
      </w:r>
    </w:p>
    <w:p w14:paraId="0AE3C293">
      <w:r>
        <w:br w:type="page"/>
      </w:r>
    </w:p>
    <w:p w14:paraId="735A708D">
      <w:pPr>
        <w:spacing w:line="240" w:lineRule="auto"/>
        <w:jc w:val="center"/>
        <w:outlineLvl w:val="1"/>
      </w:pPr>
      <w:r>
        <w:rPr>
          <w:rFonts w:ascii="黑体" w:hAnsi="黑体" w:eastAsia="黑体"/>
          <w:sz w:val="32"/>
        </w:rPr>
        <w:t>第二部分 部门决算情况说明</w:t>
      </w:r>
    </w:p>
    <w:p w14:paraId="6D106F08">
      <w:pPr>
        <w:spacing w:line="640" w:lineRule="exact"/>
        <w:ind w:firstLine="640"/>
        <w:jc w:val="both"/>
        <w:outlineLvl w:val="2"/>
      </w:pPr>
      <w:r>
        <w:rPr>
          <w:rFonts w:ascii="黑体" w:hAnsi="黑体" w:eastAsia="黑体"/>
          <w:sz w:val="32"/>
        </w:rPr>
        <w:t>一、收入支出决算总体情况说明</w:t>
      </w:r>
    </w:p>
    <w:p w14:paraId="20B88E06">
      <w:pPr>
        <w:spacing w:line="580" w:lineRule="exact"/>
        <w:ind w:firstLine="640"/>
        <w:jc w:val="both"/>
      </w:pPr>
      <w:r>
        <w:rPr>
          <w:rFonts w:ascii="仿宋_GB2312" w:hAnsi="仿宋_GB2312" w:eastAsia="仿宋_GB2312"/>
          <w:b/>
          <w:sz w:val="32"/>
        </w:rPr>
        <w:t>2024年度收入总计1,528.12万元，</w:t>
      </w:r>
      <w:r>
        <w:rPr>
          <w:rFonts w:ascii="仿宋_GB2312" w:hAnsi="仿宋_GB2312" w:eastAsia="仿宋_GB2312"/>
          <w:b w:val="0"/>
          <w:sz w:val="32"/>
        </w:rPr>
        <w:t>其中：本年收入合计1,528.12万元，使用非财政拨款结余（含专用结余）0.00万元，年初结转和结余0.00万元。</w:t>
      </w:r>
    </w:p>
    <w:p w14:paraId="13C7DE08">
      <w:pPr>
        <w:spacing w:line="580" w:lineRule="exact"/>
        <w:ind w:firstLine="640"/>
        <w:jc w:val="both"/>
      </w:pPr>
      <w:r>
        <w:rPr>
          <w:rFonts w:ascii="仿宋_GB2312" w:hAnsi="仿宋_GB2312" w:eastAsia="仿宋_GB2312"/>
          <w:b/>
          <w:sz w:val="32"/>
        </w:rPr>
        <w:t>2024年度支出总计1,528.12万元，</w:t>
      </w:r>
      <w:r>
        <w:rPr>
          <w:rFonts w:ascii="仿宋_GB2312" w:hAnsi="仿宋_GB2312" w:eastAsia="仿宋_GB2312"/>
          <w:b w:val="0"/>
          <w:sz w:val="32"/>
        </w:rPr>
        <w:t>其中：本年支出合计1,528.12万元，结余分配0.00万元，年末结转和结余0.00万元。</w:t>
      </w:r>
    </w:p>
    <w:p w14:paraId="43913859">
      <w:pPr>
        <w:spacing w:line="580" w:lineRule="exact"/>
        <w:ind w:firstLine="640"/>
        <w:jc w:val="both"/>
      </w:pPr>
      <w:r>
        <w:rPr>
          <w:rFonts w:ascii="仿宋_GB2312" w:hAnsi="仿宋_GB2312" w:eastAsia="仿宋_GB2312"/>
          <w:b w:val="0"/>
          <w:sz w:val="32"/>
        </w:rPr>
        <w:t>收入支出总体与上年相比，减少285.99万元，下降15.76%，主要原因是：本年减少义务教育学校薄弱环节改造及提升项目，导致经费较上年减少。</w:t>
      </w:r>
    </w:p>
    <w:p w14:paraId="38D6D7A3">
      <w:pPr>
        <w:spacing w:line="640" w:lineRule="exact"/>
        <w:ind w:firstLine="640"/>
        <w:jc w:val="both"/>
        <w:outlineLvl w:val="2"/>
      </w:pPr>
      <w:r>
        <w:rPr>
          <w:rFonts w:ascii="黑体" w:hAnsi="黑体" w:eastAsia="黑体"/>
          <w:sz w:val="32"/>
        </w:rPr>
        <w:t>二、收入决算情况说明</w:t>
      </w:r>
    </w:p>
    <w:p w14:paraId="59EC2323">
      <w:pPr>
        <w:spacing w:line="580" w:lineRule="exact"/>
        <w:ind w:firstLine="640"/>
        <w:jc w:val="both"/>
      </w:pPr>
      <w:r>
        <w:rPr>
          <w:rFonts w:ascii="仿宋_GB2312" w:hAnsi="仿宋_GB2312" w:eastAsia="仿宋_GB2312"/>
          <w:b/>
          <w:sz w:val="32"/>
        </w:rPr>
        <w:t>本年收入1,528.12万元，</w:t>
      </w:r>
      <w:r>
        <w:rPr>
          <w:rFonts w:ascii="仿宋_GB2312" w:hAnsi="仿宋_GB2312" w:eastAsia="仿宋_GB2312"/>
          <w:b w:val="0"/>
          <w:sz w:val="32"/>
        </w:rPr>
        <w:t>其中：财政拨款收入1,528.12万元，占100.00%；上级补助收入0.00万元，占0.00%；事业收入0.00万元，占0.00%；经营收入0.00万元，占0.00%；附属单位上缴收入0.00万元，占0.00%；其他收入0.00万元，占0.00%。</w:t>
      </w:r>
    </w:p>
    <w:p w14:paraId="51392A1A">
      <w:pPr>
        <w:spacing w:line="640" w:lineRule="exact"/>
        <w:ind w:firstLine="640"/>
        <w:jc w:val="both"/>
        <w:outlineLvl w:val="2"/>
      </w:pPr>
      <w:r>
        <w:rPr>
          <w:rFonts w:ascii="黑体" w:hAnsi="黑体" w:eastAsia="黑体"/>
          <w:sz w:val="32"/>
        </w:rPr>
        <w:t>三、支出决算情况说明</w:t>
      </w:r>
    </w:p>
    <w:p w14:paraId="1CCB812F">
      <w:pPr>
        <w:spacing w:line="580" w:lineRule="exact"/>
        <w:ind w:firstLine="640"/>
        <w:jc w:val="both"/>
      </w:pPr>
      <w:r>
        <w:rPr>
          <w:rFonts w:ascii="仿宋_GB2312" w:hAnsi="仿宋_GB2312" w:eastAsia="仿宋_GB2312"/>
          <w:b/>
          <w:sz w:val="32"/>
        </w:rPr>
        <w:t>本年支出1,528.12万元，</w:t>
      </w:r>
      <w:r>
        <w:rPr>
          <w:rFonts w:ascii="仿宋_GB2312" w:hAnsi="仿宋_GB2312" w:eastAsia="仿宋_GB2312"/>
          <w:b w:val="0"/>
          <w:sz w:val="32"/>
        </w:rPr>
        <w:t>其中：基本支出1,528.12万元，占100.00%；项目支出0.00万元，占0.00%；上缴上级支出0.00万元，占0.00%；经营支出0.00万元，占0.00%；对附属单位补助支出0.00万元，占0.00%。</w:t>
      </w:r>
    </w:p>
    <w:p w14:paraId="456EA3D7">
      <w:pPr>
        <w:spacing w:line="640" w:lineRule="exact"/>
        <w:ind w:firstLine="640"/>
        <w:jc w:val="both"/>
        <w:outlineLvl w:val="2"/>
      </w:pPr>
      <w:r>
        <w:rPr>
          <w:rFonts w:ascii="黑体" w:hAnsi="黑体" w:eastAsia="黑体"/>
          <w:sz w:val="32"/>
        </w:rPr>
        <w:t>四、财政拨款收入支出决算总体情况说明</w:t>
      </w:r>
    </w:p>
    <w:p w14:paraId="68360F82">
      <w:pPr>
        <w:spacing w:line="580" w:lineRule="exact"/>
        <w:ind w:firstLine="640"/>
        <w:jc w:val="both"/>
      </w:pPr>
      <w:r>
        <w:rPr>
          <w:rFonts w:ascii="仿宋_GB2312" w:hAnsi="仿宋_GB2312" w:eastAsia="仿宋_GB2312"/>
          <w:b/>
          <w:sz w:val="32"/>
        </w:rPr>
        <w:t>2024年度财政拨款收入总计1,528.12万元，</w:t>
      </w:r>
      <w:r>
        <w:rPr>
          <w:rFonts w:ascii="仿宋_GB2312" w:hAnsi="仿宋_GB2312" w:eastAsia="仿宋_GB2312"/>
          <w:b w:val="0"/>
          <w:sz w:val="32"/>
        </w:rPr>
        <w:t>其中：年初财政拨款结转和结余0.00万元，本年财政拨款收入1,528.12万元。</w:t>
      </w:r>
      <w:r>
        <w:rPr>
          <w:rFonts w:ascii="仿宋_GB2312" w:hAnsi="仿宋_GB2312" w:eastAsia="仿宋_GB2312"/>
          <w:b/>
          <w:sz w:val="32"/>
        </w:rPr>
        <w:t>财政拨款支出总计1,528.12万元，</w:t>
      </w:r>
      <w:r>
        <w:rPr>
          <w:rFonts w:ascii="仿宋_GB2312" w:hAnsi="仿宋_GB2312" w:eastAsia="仿宋_GB2312"/>
          <w:b w:val="0"/>
          <w:sz w:val="32"/>
        </w:rPr>
        <w:t>其中：年末财政拨款结转和结余0.00万元，本年财政拨款支出1,528.12万元。</w:t>
      </w:r>
    </w:p>
    <w:p w14:paraId="7A3AC24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减少285.99万元，下降15.76%，主要原因是：本年减少义务教育学校薄弱环节改造及提升项目，导致经费较上年减少。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年初预算数1,415.67万元，决算数1,528.12万元，预决算差异率7.94%，主要原因是：年中追加人员工资、社保、公积金基数调增部分资金，导致预决算存在差异。</w:t>
      </w:r>
    </w:p>
    <w:p w14:paraId="538F941D">
      <w:pPr>
        <w:spacing w:line="640" w:lineRule="exact"/>
        <w:ind w:firstLine="640"/>
        <w:jc w:val="both"/>
        <w:outlineLvl w:val="2"/>
      </w:pPr>
      <w:r>
        <w:rPr>
          <w:rFonts w:ascii="黑体" w:hAnsi="黑体" w:eastAsia="黑体"/>
          <w:sz w:val="32"/>
        </w:rPr>
        <w:t>五、一般公共预算财政拨款支出决算情况说明</w:t>
      </w:r>
    </w:p>
    <w:p w14:paraId="41FE39E8">
      <w:pPr>
        <w:spacing w:line="640" w:lineRule="exact"/>
        <w:ind w:firstLine="640"/>
        <w:jc w:val="both"/>
        <w:outlineLvl w:val="3"/>
      </w:pPr>
      <w:r>
        <w:rPr>
          <w:rFonts w:ascii="楷体_GB2312" w:hAnsi="楷体_GB2312" w:eastAsia="楷体_GB2312"/>
          <w:b/>
          <w:sz w:val="32"/>
        </w:rPr>
        <w:t>（一）一般公共预算财政拨款支出决算总体情况</w:t>
      </w:r>
    </w:p>
    <w:p w14:paraId="68ECC454">
      <w:pPr>
        <w:spacing w:line="580" w:lineRule="exact"/>
        <w:ind w:firstLine="640"/>
        <w:jc w:val="both"/>
      </w:pPr>
      <w:r>
        <w:rPr>
          <w:rFonts w:ascii="仿宋_GB2312" w:hAnsi="仿宋_GB2312" w:eastAsia="仿宋_GB2312"/>
          <w:b/>
          <w:sz w:val="32"/>
        </w:rPr>
        <w:t>2024年度一般公共预算财政拨款支出1,528.12万元，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减少285.99万元，下降15.76%，主要原因是：本年减少义务教育学校薄弱环节改造及提升项目，导致经费较上年减少。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年初预算数1,415.67万元，决算数1,528.12万元，预决算差异率7.94%，主要原因是：年中追加人员工资、社保、公积金基数调增部分资金，导致预决算存在差异。</w:t>
      </w:r>
    </w:p>
    <w:p w14:paraId="5B49C8FA">
      <w:pPr>
        <w:spacing w:line="640" w:lineRule="exact"/>
        <w:ind w:firstLine="640"/>
        <w:jc w:val="both"/>
        <w:outlineLvl w:val="3"/>
      </w:pPr>
      <w:r>
        <w:rPr>
          <w:rFonts w:ascii="楷体_GB2312" w:hAnsi="楷体_GB2312" w:eastAsia="楷体_GB2312"/>
          <w:b/>
          <w:sz w:val="32"/>
        </w:rPr>
        <w:t>（二）一般公共预算财政拨款支出决算结构情况</w:t>
      </w:r>
    </w:p>
    <w:p w14:paraId="58F858CC">
      <w:pPr>
        <w:spacing w:line="580" w:lineRule="exact"/>
        <w:ind w:firstLine="640"/>
        <w:jc w:val="both"/>
      </w:pPr>
      <w:r>
        <w:rPr>
          <w:rFonts w:ascii="仿宋_GB2312" w:hAnsi="仿宋_GB2312" w:eastAsia="仿宋_GB2312"/>
          <w:b w:val="0"/>
          <w:sz w:val="32"/>
        </w:rPr>
        <w:t>1.教育支出(类)1,304.11万元,占85.34%。</w:t>
      </w:r>
    </w:p>
    <w:p w14:paraId="09A1E4D0">
      <w:pPr>
        <w:spacing w:line="580" w:lineRule="exact"/>
        <w:ind w:firstLine="640"/>
        <w:jc w:val="both"/>
      </w:pPr>
      <w:r>
        <w:rPr>
          <w:rFonts w:ascii="仿宋_GB2312" w:hAnsi="仿宋_GB2312" w:eastAsia="仿宋_GB2312"/>
          <w:b w:val="0"/>
          <w:sz w:val="32"/>
        </w:rPr>
        <w:t>2.社会保障和就业支出(类)154.29万元,占10.10%。</w:t>
      </w:r>
    </w:p>
    <w:p w14:paraId="4E74C810">
      <w:pPr>
        <w:spacing w:line="580" w:lineRule="exact"/>
        <w:ind w:firstLine="640"/>
        <w:jc w:val="both"/>
      </w:pPr>
      <w:r>
        <w:rPr>
          <w:rFonts w:ascii="仿宋_GB2312" w:hAnsi="仿宋_GB2312" w:eastAsia="仿宋_GB2312"/>
          <w:b w:val="0"/>
          <w:sz w:val="32"/>
        </w:rPr>
        <w:t>3.卫生健康支出(类)69.72万元,占4.56%。</w:t>
      </w:r>
    </w:p>
    <w:p w14:paraId="607602DF">
      <w:pPr>
        <w:spacing w:line="640" w:lineRule="exact"/>
        <w:ind w:firstLine="640"/>
        <w:jc w:val="both"/>
        <w:outlineLvl w:val="3"/>
      </w:pPr>
      <w:r>
        <w:rPr>
          <w:rFonts w:ascii="楷体_GB2312" w:hAnsi="楷体_GB2312" w:eastAsia="楷体_GB2312"/>
          <w:b/>
          <w:sz w:val="32"/>
        </w:rPr>
        <w:t>（三）一般公共预算财政拨款支出决算具体情况</w:t>
      </w:r>
    </w:p>
    <w:p w14:paraId="624DD678">
      <w:pPr>
        <w:spacing w:line="580" w:lineRule="exact"/>
        <w:ind w:firstLine="640"/>
        <w:jc w:val="both"/>
      </w:pPr>
      <w:r>
        <w:rPr>
          <w:rFonts w:ascii="仿宋_GB2312" w:hAnsi="仿宋_GB2312" w:eastAsia="仿宋_GB2312"/>
          <w:b w:val="0"/>
          <w:sz w:val="32"/>
        </w:rPr>
        <w:t>1.教育支出(类)普通教育(款)小学教育(项):支出决算数为1,218.30万元，比上年决算增加77.67万元，增长6.81%,主要原因是：本年在职人员工资调增，相关人员经费增加，功能科目调整，班主任津贴上年在其他教育支出(项)科目列支，本年调整至小学教育(项)列支，住房公积金上年度单独列支，本年调整至此科目列支，导致经费较上年增加。</w:t>
      </w:r>
    </w:p>
    <w:p w14:paraId="57CD5E1D">
      <w:pPr>
        <w:spacing w:line="580" w:lineRule="exact"/>
        <w:ind w:firstLine="640"/>
        <w:jc w:val="both"/>
      </w:pPr>
      <w:r>
        <w:rPr>
          <w:rFonts w:ascii="仿宋_GB2312" w:hAnsi="仿宋_GB2312" w:eastAsia="仿宋_GB2312"/>
          <w:b w:val="0"/>
          <w:sz w:val="32"/>
        </w:rPr>
        <w:t>2.教育支出(类)普通教育(款)其他普通教育支出(项):支出决算数为40.90万元，比上年决算减少314.77万元，下降88.50%,主要原因是：本年度减少薄弱学校改造项目支出，导致经费较上年减少。</w:t>
      </w:r>
    </w:p>
    <w:p w14:paraId="117CCD72">
      <w:pPr>
        <w:spacing w:line="580" w:lineRule="exact"/>
        <w:ind w:firstLine="640"/>
        <w:jc w:val="both"/>
      </w:pPr>
      <w:r>
        <w:rPr>
          <w:rFonts w:ascii="仿宋_GB2312" w:hAnsi="仿宋_GB2312" w:eastAsia="仿宋_GB2312"/>
          <w:b w:val="0"/>
          <w:sz w:val="32"/>
        </w:rPr>
        <w:t>3.教育支出(类)教育费附加安排的支出(款)农村中小学教学设施(项):支出决算数为44.91万元，比上年决算增加44.91万元，增长100.00%,主要原因是：本年度新增教学楼建设项目，导致经费较上年增加。</w:t>
      </w:r>
    </w:p>
    <w:p w14:paraId="28E23CB8">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4.教育支出(类)教育费附加安排的支出(款)其他教育费附加安排的支出(项):支出决算数为0.00万元，比上年决算减少0.40万元，下降100.00%,主要原因是：本年度未安排继续教育项目经费支出，导致经费较上年减少。</w:t>
      </w:r>
    </w:p>
    <w:p w14:paraId="0EAE165E">
      <w:pPr>
        <w:spacing w:line="580" w:lineRule="exact"/>
        <w:ind w:firstLine="640"/>
        <w:jc w:val="both"/>
      </w:pPr>
      <w:r>
        <w:rPr>
          <w:rFonts w:ascii="仿宋_GB2312" w:hAnsi="仿宋_GB2312" w:eastAsia="仿宋_GB2312"/>
          <w:b w:val="0"/>
          <w:sz w:val="32"/>
        </w:rPr>
        <w:t>5.教育支出(类)其他教育支出(款)其他教育支出(项):支出决算数为0.00万元，比上年决算减少2.60万元，下降100.00%,主要原因是：本年功能科目调整，班主任津贴上年在其他教育支出(项)科目列支，本年调整至小学教育(项)列支，导致经费较上年减少。</w:t>
      </w:r>
    </w:p>
    <w:p w14:paraId="75F3CF0B">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6.社会保障和就业支出(类)行政事业单位养老支出(款)事业单位离退休(项):支出决算数为5.57万元，比上年决算增加3.64万元，增长188.60%,主要原因是：本年增加退休人员基础绩效奖，退休费支出增加。</w:t>
      </w:r>
    </w:p>
    <w:p w14:paraId="6D28C96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139.45万元，比上年决算增加16.15万元，增长13.10%,主要原因是：本年在职人员工资基数调增，养老缴费基数上涨，相应支出增加。</w:t>
      </w:r>
    </w:p>
    <w:p w14:paraId="500F2E64">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9.28万元，比上年决算减少13.48万元，下降59.23%,主要原因是：本年新增退休人员、辞职调出人员较上年减少，职业年金缴费较上年减少。</w:t>
      </w:r>
    </w:p>
    <w:p w14:paraId="47E8DE2B">
      <w:pPr>
        <w:spacing w:line="580" w:lineRule="exact"/>
        <w:ind w:firstLine="640"/>
        <w:jc w:val="both"/>
      </w:pPr>
      <w:r>
        <w:rPr>
          <w:rFonts w:ascii="仿宋_GB2312" w:hAnsi="仿宋_GB2312" w:eastAsia="仿宋_GB2312"/>
          <w:b w:val="0"/>
          <w:sz w:val="32"/>
        </w:rPr>
        <w:t>9.卫生健康支出(类)行政事业单位医疗(款)事业单位医疗(项):支出决算数为69.72万元，比上年决算增加4.82万元，增长7.43%,主要原因是：本年在职人员工资基数调增，医疗缴费基数上涨，相应支出增加。</w:t>
      </w:r>
    </w:p>
    <w:p w14:paraId="38F8F964">
      <w:pPr>
        <w:spacing w:line="580" w:lineRule="exact"/>
        <w:ind w:firstLine="640"/>
        <w:jc w:val="both"/>
      </w:pPr>
      <w:r>
        <w:rPr>
          <w:rFonts w:ascii="仿宋_GB2312" w:hAnsi="仿宋_GB2312" w:eastAsia="仿宋_GB2312"/>
          <w:b w:val="0"/>
          <w:sz w:val="32"/>
        </w:rPr>
        <w:t>10.住房保障支出(类)住房改革支出(款)住房公积金(项):支出决算数为0.00万元，比上年决算减少101.91万元，下降100.00%,主要原因是：本年功能科目调整，住房公积金上年度单独列支，本年调整至主科目列支，导致经费较上年减少。</w:t>
      </w:r>
    </w:p>
    <w:p w14:paraId="60CDBF0E">
      <w:pPr>
        <w:spacing w:line="640" w:lineRule="exact"/>
        <w:ind w:firstLine="640"/>
        <w:jc w:val="both"/>
        <w:outlineLvl w:val="2"/>
      </w:pPr>
      <w:r>
        <w:rPr>
          <w:rFonts w:ascii="黑体" w:hAnsi="黑体" w:eastAsia="黑体"/>
          <w:sz w:val="32"/>
        </w:rPr>
        <w:t>六、一般公共预算财政拨款基本支出决算情况说明</w:t>
      </w:r>
    </w:p>
    <w:p w14:paraId="49EA20A4">
      <w:pPr>
        <w:spacing w:line="580" w:lineRule="exact"/>
        <w:ind w:firstLine="640"/>
        <w:jc w:val="both"/>
      </w:pPr>
      <w:r>
        <w:rPr>
          <w:rFonts w:ascii="仿宋_GB2312" w:hAnsi="仿宋_GB2312" w:eastAsia="仿宋_GB2312"/>
          <w:b w:val="0"/>
          <w:sz w:val="32"/>
        </w:rPr>
        <w:t>2024年度一般公共预算财政拨款基本支出1,528.12万元，其中：</w:t>
      </w:r>
      <w:r>
        <w:rPr>
          <w:rFonts w:ascii="仿宋_GB2312" w:hAnsi="仿宋_GB2312" w:eastAsia="仿宋_GB2312"/>
          <w:b/>
          <w:sz w:val="32"/>
        </w:rPr>
        <w:t>人员经费1,375.61万元，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14:paraId="716E6CF7">
      <w:pPr>
        <w:spacing w:line="580" w:lineRule="exact"/>
        <w:ind w:firstLine="640"/>
        <w:jc w:val="both"/>
      </w:pPr>
      <w:r>
        <w:rPr>
          <w:rFonts w:ascii="仿宋_GB2312" w:hAnsi="仿宋_GB2312" w:eastAsia="仿宋_GB2312"/>
          <w:b/>
          <w:sz w:val="32"/>
        </w:rPr>
        <w:t>公用经费152.51万元，</w:t>
      </w:r>
      <w:r>
        <w:rPr>
          <w:rFonts w:ascii="仿宋_GB2312" w:hAnsi="仿宋_GB2312" w:eastAsia="仿宋_GB2312"/>
          <w:b w:val="0"/>
          <w:sz w:val="32"/>
        </w:rPr>
        <w:t>包括：办公费、水费、电费、邮电费、取暖费、物业管理费、差旅费、维修（护）费、培训费、劳务费、工会经费、福利费、办公设备购置。</w:t>
      </w:r>
    </w:p>
    <w:p w14:paraId="645EDC92">
      <w:pPr>
        <w:spacing w:line="640" w:lineRule="exact"/>
        <w:ind w:firstLine="640"/>
        <w:jc w:val="both"/>
        <w:outlineLvl w:val="2"/>
      </w:pPr>
      <w:r>
        <w:rPr>
          <w:rFonts w:ascii="黑体" w:hAnsi="黑体" w:eastAsia="黑体"/>
          <w:sz w:val="32"/>
        </w:rPr>
        <w:t>七、政府性基金预算财政拨款收入支出决算情况说明</w:t>
      </w:r>
    </w:p>
    <w:p w14:paraId="27F49E4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343EEC">
      <w:pPr>
        <w:spacing w:line="640" w:lineRule="exact"/>
        <w:ind w:firstLine="640"/>
        <w:jc w:val="both"/>
        <w:outlineLvl w:val="2"/>
      </w:pPr>
      <w:r>
        <w:rPr>
          <w:rFonts w:ascii="黑体" w:hAnsi="黑体" w:eastAsia="黑体"/>
          <w:sz w:val="32"/>
        </w:rPr>
        <w:t>八、国有资本经营预算财政拨款收入支出决算情况说明</w:t>
      </w:r>
    </w:p>
    <w:p w14:paraId="3A458A1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68B11BE">
      <w:pPr>
        <w:spacing w:line="640" w:lineRule="exact"/>
        <w:ind w:firstLine="640"/>
        <w:jc w:val="both"/>
        <w:outlineLvl w:val="2"/>
      </w:pPr>
      <w:r>
        <w:rPr>
          <w:rFonts w:ascii="黑体" w:hAnsi="黑体" w:eastAsia="黑体"/>
          <w:sz w:val="32"/>
        </w:rPr>
        <w:t>九、财政拨款“三公”经费支出决算情况说明</w:t>
      </w:r>
    </w:p>
    <w:p w14:paraId="5514A05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FD16FC0">
      <w:pPr>
        <w:spacing w:line="580" w:lineRule="exact"/>
        <w:ind w:firstLine="640"/>
        <w:jc w:val="both"/>
      </w:pPr>
      <w:r>
        <w:rPr>
          <w:rFonts w:ascii="仿宋_GB2312" w:hAnsi="仿宋_GB2312" w:eastAsia="仿宋_GB2312"/>
          <w:b/>
          <w:sz w:val="32"/>
        </w:rPr>
        <w:t>具体情况如下：</w:t>
      </w:r>
    </w:p>
    <w:p w14:paraId="50222A3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2EBEB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F66455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C3C12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85CC3D">
      <w:pPr>
        <w:spacing w:line="640" w:lineRule="exact"/>
        <w:ind w:firstLine="640"/>
        <w:jc w:val="both"/>
        <w:outlineLvl w:val="2"/>
      </w:pPr>
      <w:r>
        <w:rPr>
          <w:rFonts w:ascii="黑体" w:hAnsi="黑体" w:eastAsia="黑体"/>
          <w:sz w:val="32"/>
        </w:rPr>
        <w:t>十、其他重要事项的情况说明</w:t>
      </w:r>
    </w:p>
    <w:p w14:paraId="077E97FB">
      <w:pPr>
        <w:spacing w:line="640" w:lineRule="exact"/>
        <w:ind w:firstLine="640"/>
        <w:jc w:val="both"/>
        <w:outlineLvl w:val="3"/>
      </w:pPr>
      <w:r>
        <w:rPr>
          <w:rFonts w:ascii="楷体_GB2312" w:hAnsi="楷体_GB2312" w:eastAsia="楷体_GB2312"/>
          <w:b/>
          <w:sz w:val="32"/>
        </w:rPr>
        <w:t>（一）机关运行经费及公用经费支出情况</w:t>
      </w:r>
    </w:p>
    <w:p w14:paraId="4EA43135">
      <w:pPr>
        <w:spacing w:line="580" w:lineRule="exact"/>
        <w:ind w:firstLine="640"/>
        <w:jc w:val="both"/>
      </w:pPr>
      <w:r>
        <w:rPr>
          <w:rFonts w:ascii="仿宋_GB2312" w:hAnsi="仿宋_GB2312" w:eastAsia="仿宋_GB2312"/>
          <w:b w:val="0"/>
          <w:sz w:val="32"/>
        </w:rPr>
        <w:t>2024年度霍城县江阴小学（事业单位）公用经费支出152.51万元，比上年增加26.89万元，增长21.41%，主要原因是：本年更新、维护补充办公用品，办公费增加，导致公用经费较上年增加。</w:t>
      </w:r>
    </w:p>
    <w:p w14:paraId="44FDAAEF">
      <w:pPr>
        <w:spacing w:line="640" w:lineRule="exact"/>
        <w:ind w:firstLine="640"/>
        <w:jc w:val="both"/>
        <w:outlineLvl w:val="3"/>
      </w:pPr>
      <w:r>
        <w:rPr>
          <w:rFonts w:ascii="楷体_GB2312" w:hAnsi="楷体_GB2312" w:eastAsia="楷体_GB2312"/>
          <w:b/>
          <w:sz w:val="32"/>
        </w:rPr>
        <w:t>（二）政府采购情况</w:t>
      </w:r>
    </w:p>
    <w:p w14:paraId="3DC7E9F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7CEA930B">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82EF7DB">
      <w:pPr>
        <w:spacing w:line="640" w:lineRule="exact"/>
        <w:ind w:firstLine="640"/>
        <w:jc w:val="both"/>
        <w:outlineLvl w:val="3"/>
      </w:pPr>
      <w:r>
        <w:rPr>
          <w:rFonts w:ascii="楷体_GB2312" w:hAnsi="楷体_GB2312" w:eastAsia="楷体_GB2312"/>
          <w:b/>
          <w:sz w:val="32"/>
        </w:rPr>
        <w:t>（三）国有资产占用情况说明</w:t>
      </w:r>
    </w:p>
    <w:p w14:paraId="4850DCF0">
      <w:pPr>
        <w:spacing w:line="580" w:lineRule="exact"/>
        <w:ind w:firstLine="640"/>
        <w:jc w:val="both"/>
      </w:pPr>
      <w:r>
        <w:rPr>
          <w:rFonts w:ascii="仿宋_GB2312" w:hAnsi="仿宋_GB2312" w:eastAsia="仿宋_GB2312"/>
          <w:b w:val="0"/>
          <w:sz w:val="32"/>
        </w:rPr>
        <w:t>截至2024年12月31日，房屋15,854.23平方米，价值3,559.69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6ACDEF79">
      <w:pPr>
        <w:spacing w:line="640" w:lineRule="exact"/>
        <w:ind w:firstLine="640"/>
        <w:jc w:val="both"/>
        <w:outlineLvl w:val="2"/>
      </w:pPr>
      <w:r>
        <w:rPr>
          <w:rFonts w:ascii="黑体" w:hAnsi="黑体" w:eastAsia="黑体"/>
          <w:sz w:val="32"/>
        </w:rPr>
        <w:t>十一、预算绩效的情况说明</w:t>
      </w:r>
    </w:p>
    <w:p w14:paraId="06F3110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1,528.12万元，实际执行总额1,528.12万元；预算绩效评价项目0个，全年预算数0.00万元，全年执行数0.00万元。预算绩效管理取得的成效：一是资源配置优化：通过科学的预算绩效管理，学校能够更精准地将资金分配到教学、科研、师资建设等关键领域，提高了资源的利用效率。一是目标达成率提高：明确的预算绩效目标和定期的评估机制，使得学校各项工作计划的目标达成率显著提升，如教学质量的改善、科研成果的增加等。发现的问题及原因：一是人员绩效意识薄弱：部分教职工对预算绩效管理的重要性认识不足，参与度不高，导致工作执行不到位。这可能是由于培训宣传不足，缺乏激励机制。二是预算调整机制不灵活：当外部环境变化或学校发展需求调整时，预算调整的流程繁琐，不够灵活，影响了工作的推进。原因在于预算管理制度的僵化，缺乏应对突发情况的弹性条款。下一步改进措施：一是强化培训与宣传：开展预算绩效管理的培训活动，提高教职工的绩效意识，建立相应的激励机制，鼓励积极参与。二是优化预算调整流程：制定灵活的预算调整规则，明确调整的条件和程序，提高预算对学校发展变化的适应性。具体附整体支出绩效自评表。</w:t>
      </w:r>
    </w:p>
    <w:p w14:paraId="7F4A5B6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D086565">
        <w:tblPrEx>
          <w:tblCellMar>
            <w:top w:w="0" w:type="dxa"/>
            <w:left w:w="108" w:type="dxa"/>
            <w:bottom w:w="0" w:type="dxa"/>
            <w:right w:w="108" w:type="dxa"/>
          </w:tblCellMar>
        </w:tblPrEx>
        <w:tc>
          <w:tcPr>
            <w:tcW w:w="8840" w:type="dxa"/>
            <w:gridSpan w:val="8"/>
            <w:vAlign w:val="center"/>
          </w:tcPr>
          <w:p w14:paraId="3D0C57A6">
            <w:pPr>
              <w:jc w:val="center"/>
            </w:pPr>
            <w:r>
              <w:rPr>
                <w:rFonts w:ascii="宋体" w:hAnsi="宋体" w:eastAsia="宋体"/>
                <w:sz w:val="24"/>
              </w:rPr>
              <w:t>单位整体支出绩效自评表</w:t>
            </w:r>
          </w:p>
        </w:tc>
      </w:tr>
      <w:tr w14:paraId="48DBEC47">
        <w:tblPrEx>
          <w:tblCellMar>
            <w:top w:w="0" w:type="dxa"/>
            <w:left w:w="108" w:type="dxa"/>
            <w:bottom w:w="0" w:type="dxa"/>
            <w:right w:w="108" w:type="dxa"/>
          </w:tblCellMar>
        </w:tblPrEx>
        <w:tc>
          <w:tcPr>
            <w:tcW w:w="8840" w:type="dxa"/>
            <w:gridSpan w:val="8"/>
            <w:vAlign w:val="center"/>
          </w:tcPr>
          <w:p w14:paraId="709D180B">
            <w:pPr>
              <w:jc w:val="center"/>
            </w:pPr>
            <w:r>
              <w:rPr>
                <w:rFonts w:ascii="宋体" w:hAnsi="宋体" w:eastAsia="宋体"/>
                <w:sz w:val="24"/>
              </w:rPr>
              <w:t>（2024年度）</w:t>
            </w:r>
          </w:p>
        </w:tc>
      </w:tr>
      <w:tr w14:paraId="4CAE0A9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55BB1">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0EE4B">
            <w:pPr>
              <w:jc w:val="center"/>
            </w:pPr>
            <w:r>
              <w:rPr>
                <w:rFonts w:ascii="宋体" w:hAnsi="宋体" w:eastAsia="宋体"/>
                <w:sz w:val="16"/>
              </w:rPr>
              <w:t>霍城县江阴小学</w:t>
            </w:r>
          </w:p>
        </w:tc>
      </w:tr>
      <w:tr w14:paraId="7FE0DCF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2004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1CCE1">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D1EA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FDD44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39DF7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BD3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4E09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CB8EB">
            <w:pPr>
              <w:jc w:val="center"/>
            </w:pPr>
            <w:r>
              <w:rPr>
                <w:rFonts w:ascii="宋体" w:hAnsi="宋体" w:eastAsia="宋体"/>
                <w:sz w:val="16"/>
              </w:rPr>
              <w:t>得分</w:t>
            </w:r>
          </w:p>
        </w:tc>
      </w:tr>
      <w:tr w14:paraId="6187A5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CAA8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DBA5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6E35C">
            <w:pPr>
              <w:jc w:val="center"/>
            </w:pPr>
            <w:r>
              <w:rPr>
                <w:rFonts w:ascii="宋体" w:hAnsi="宋体" w:eastAsia="宋体"/>
                <w:sz w:val="16"/>
              </w:rPr>
              <w:t>1,415.66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682DE">
            <w:pPr>
              <w:jc w:val="center"/>
            </w:pPr>
            <w:r>
              <w:rPr>
                <w:rFonts w:ascii="宋体" w:hAnsi="宋体" w:eastAsia="宋体"/>
                <w:sz w:val="16"/>
              </w:rPr>
              <w:t>1,528.12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1EEB3">
            <w:pPr>
              <w:jc w:val="center"/>
            </w:pPr>
            <w:r>
              <w:rPr>
                <w:rFonts w:ascii="宋体" w:hAnsi="宋体" w:eastAsia="宋体"/>
                <w:sz w:val="16"/>
              </w:rPr>
              <w:t>1,528.12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DB7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42C3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ACDF4">
            <w:pPr>
              <w:jc w:val="center"/>
            </w:pPr>
            <w:r>
              <w:rPr>
                <w:rFonts w:ascii="宋体" w:hAnsi="宋体" w:eastAsia="宋体"/>
                <w:sz w:val="16"/>
              </w:rPr>
              <w:t>10</w:t>
            </w:r>
          </w:p>
        </w:tc>
      </w:tr>
      <w:tr w14:paraId="64C8A2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95FD7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44800">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B38FD">
            <w:pPr>
              <w:jc w:val="center"/>
            </w:pPr>
            <w:r>
              <w:rPr>
                <w:rFonts w:ascii="宋体" w:hAnsi="宋体" w:eastAsia="宋体"/>
                <w:sz w:val="16"/>
              </w:rPr>
              <w:t>117.14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F334B">
            <w:pPr>
              <w:jc w:val="center"/>
            </w:pPr>
            <w:r>
              <w:rPr>
                <w:rFonts w:ascii="宋体" w:hAnsi="宋体" w:eastAsia="宋体"/>
                <w:sz w:val="16"/>
              </w:rPr>
              <w:t>117.14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F848D">
            <w:pPr>
              <w:jc w:val="center"/>
            </w:pPr>
            <w:r>
              <w:rPr>
                <w:rFonts w:ascii="宋体" w:hAnsi="宋体" w:eastAsia="宋体"/>
                <w:sz w:val="16"/>
              </w:rPr>
              <w:t>117.14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35E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A3F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013DD3">
            <w:pPr>
              <w:jc w:val="center"/>
            </w:pPr>
            <w:r>
              <w:rPr>
                <w:rFonts w:ascii="宋体" w:hAnsi="宋体" w:eastAsia="宋体"/>
                <w:sz w:val="16"/>
              </w:rPr>
              <w:t>-</w:t>
            </w:r>
          </w:p>
        </w:tc>
      </w:tr>
      <w:tr w14:paraId="765191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EA7D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85C7C">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766FF">
            <w:pPr>
              <w:jc w:val="center"/>
            </w:pPr>
            <w:r>
              <w:rPr>
                <w:rFonts w:ascii="宋体" w:hAnsi="宋体" w:eastAsia="宋体"/>
                <w:sz w:val="16"/>
              </w:rPr>
              <w:t>1,298.52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8E4BD">
            <w:pPr>
              <w:jc w:val="center"/>
            </w:pPr>
            <w:r>
              <w:rPr>
                <w:rFonts w:ascii="宋体" w:hAnsi="宋体" w:eastAsia="宋体"/>
                <w:sz w:val="16"/>
              </w:rPr>
              <w:t>1,410.98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62FFD">
            <w:pPr>
              <w:jc w:val="center"/>
            </w:pPr>
            <w:r>
              <w:rPr>
                <w:rFonts w:ascii="宋体" w:hAnsi="宋体" w:eastAsia="宋体"/>
                <w:sz w:val="16"/>
              </w:rPr>
              <w:t>1,410.98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18A6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09B3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21F00">
            <w:pPr>
              <w:jc w:val="center"/>
            </w:pPr>
            <w:r>
              <w:rPr>
                <w:rFonts w:ascii="宋体" w:hAnsi="宋体" w:eastAsia="宋体"/>
                <w:sz w:val="16"/>
              </w:rPr>
              <w:t>-</w:t>
            </w:r>
          </w:p>
        </w:tc>
      </w:tr>
      <w:tr w14:paraId="32DB35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C072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D353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1F1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AE01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3B4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8150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E18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1991E">
            <w:pPr>
              <w:jc w:val="center"/>
            </w:pPr>
            <w:r>
              <w:rPr>
                <w:rFonts w:ascii="宋体" w:hAnsi="宋体" w:eastAsia="宋体"/>
                <w:sz w:val="16"/>
              </w:rPr>
              <w:t>-</w:t>
            </w:r>
          </w:p>
        </w:tc>
      </w:tr>
      <w:tr w14:paraId="5B15E40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9233A">
            <w:pPr>
              <w:jc w:val="center"/>
            </w:pPr>
            <w:bookmarkStart w:id="0" w:name="_GoBack" w:colFirst="1" w:colLast="7"/>
            <w:r>
              <w:rPr>
                <w:rFonts w:ascii="宋体" w:hAnsi="宋体" w:eastAsia="宋体"/>
                <w:sz w:val="16"/>
              </w:rPr>
              <w:t>年度总体目标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B125C9">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B9582E">
            <w:pPr>
              <w:jc w:val="center"/>
            </w:pPr>
            <w:r>
              <w:rPr>
                <w:rFonts w:ascii="宋体" w:hAnsi="宋体" w:eastAsia="宋体"/>
                <w:sz w:val="16"/>
              </w:rPr>
              <w:t>实际完成情况</w:t>
            </w:r>
          </w:p>
        </w:tc>
      </w:tr>
      <w:tr w14:paraId="033983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B385EF"/>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1080EA">
            <w:pPr>
              <w:jc w:val="both"/>
            </w:pPr>
            <w:r>
              <w:rPr>
                <w:rFonts w:ascii="宋体" w:hAnsi="宋体" w:eastAsia="宋体"/>
                <w:sz w:val="16"/>
              </w:rPr>
              <w:t>高举习近平新时代中国特色社会主义思想，以质量兴教为根本，努力提高教育教学质量，办让家长放心、让人民满意的教育。管好用好国家的教育资金，改善和优化办学条件，力争使社会对江阴小学的教育满意度达到较高的水平。围绕2024年学校工作计划，健全师德建设长效机制，深化落实新时代教师职业行为十项准则，推动师德建设常态化、长效化，树立榜样和典型，加大优秀教师表彰力度，全面实施素质教育，完成各项教学任务。建设一支高素质的师资队伍，为学校可持续发展奠定基础，巩固、提高教学成果，普及义务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通过丰富多彩的体育与健康课堂教学内容和室外授课环境，开展环境教育，培养学生的环境素养，强化学生环保意识，培养良好的环保行为。充分利用校广播站、宣传栏等载体，进一步增强全校师生和家长的交通安全法治意识和文明交通意识。</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49BEA6">
            <w:pPr>
              <w:jc w:val="both"/>
            </w:pPr>
            <w:r>
              <w:rPr>
                <w:rFonts w:ascii="宋体" w:hAnsi="宋体" w:eastAsia="宋体"/>
                <w:sz w:val="16"/>
              </w:rPr>
              <w:t>一是在协同育人与学生素养培养上，构建了较为完善的学校、家庭、社会协同育人机制。通过家校互动活动、社区实践项目，有效增强了学生文明素养、责任意识与实践能力。同时，学校增设了心理健康课程和体育特色活动，青少年身心健康发展得到有力保障。二是师德师风建设方面，开展了多场专题培训与师德楷模评选活动，教师职业道德水平显著提升，为培养德智体美劳全面发展的学生奠定了坚实基础。三是教育经费使用上，严格贯彻中央及自治区党委要求，充分发挥经费政策引领作用。通过优化资源配置，深化教育改革项目，强化财务监管，将每一分钱都用在刀刃上，提升了经费使用效益，有力推动了教育公平与质量提升。</w:t>
            </w:r>
          </w:p>
        </w:tc>
      </w:tr>
      <w:bookmarkEnd w:id="0"/>
      <w:tr w14:paraId="4E4CF7F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D40B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20A0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46C8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C1ED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EF6CF">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0405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A4C2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5BDF2">
            <w:pPr>
              <w:jc w:val="center"/>
            </w:pPr>
            <w:r>
              <w:rPr>
                <w:rFonts w:ascii="宋体" w:hAnsi="宋体" w:eastAsia="宋体"/>
                <w:sz w:val="16"/>
              </w:rPr>
              <w:t>得分</w:t>
            </w:r>
          </w:p>
        </w:tc>
      </w:tr>
      <w:tr w14:paraId="29D303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F0E4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5A6F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A21F7">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5F7A28">
            <w:pPr>
              <w:jc w:val="center"/>
            </w:pPr>
            <w:r>
              <w:rPr>
                <w:rFonts w:ascii="宋体" w:hAnsi="宋体" w:eastAsia="宋体"/>
                <w:sz w:val="16"/>
              </w:rPr>
              <w:t>&gt;=1383人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4CB72">
            <w:pPr>
              <w:jc w:val="center"/>
            </w:pPr>
            <w:r>
              <w:rPr>
                <w:rFonts w:ascii="宋体" w:hAnsi="宋体" w:eastAsia="宋体"/>
                <w:sz w:val="16"/>
              </w:rPr>
              <w:t>教育事业综合统计调查表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729A1">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D2F8E">
            <w:pPr>
              <w:jc w:val="center"/>
            </w:pPr>
            <w:r>
              <w:rPr>
                <w:rFonts w:ascii="宋体" w:hAnsi="宋体" w:eastAsia="宋体"/>
                <w:sz w:val="16"/>
              </w:rPr>
              <w:t>1383人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ADD67">
            <w:pPr>
              <w:jc w:val="center"/>
            </w:pPr>
            <w:r>
              <w:rPr>
                <w:rFonts w:ascii="宋体" w:hAnsi="宋体" w:eastAsia="宋体"/>
                <w:sz w:val="16"/>
              </w:rPr>
              <w:t>22</w:t>
            </w:r>
          </w:p>
        </w:tc>
      </w:tr>
      <w:tr w14:paraId="1F13CB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DA6D9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4B7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154465">
            <w:pPr>
              <w:jc w:val="center"/>
            </w:pPr>
            <w:r>
              <w:rPr>
                <w:rFonts w:ascii="宋体" w:hAnsi="宋体" w:eastAsia="宋体"/>
                <w:sz w:val="16"/>
              </w:rPr>
              <w:t>义务教育家庭经济困难非寄宿生受助人数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0C079">
            <w:pPr>
              <w:jc w:val="center"/>
            </w:pPr>
            <w:r>
              <w:rPr>
                <w:rFonts w:ascii="宋体" w:hAnsi="宋体" w:eastAsia="宋体"/>
                <w:sz w:val="16"/>
              </w:rPr>
              <w:t>&gt;=93人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1BC90">
            <w:pPr>
              <w:jc w:val="center"/>
            </w:pPr>
            <w:r>
              <w:rPr>
                <w:rFonts w:ascii="宋体" w:hAnsi="宋体" w:eastAsia="宋体"/>
                <w:sz w:val="16"/>
              </w:rPr>
              <w:t>霍城县江阴小学2023-2024学年秋季学期七类困难家庭学生资助台账及汇总表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5D314">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685C1">
            <w:pPr>
              <w:jc w:val="center"/>
            </w:pPr>
            <w:r>
              <w:rPr>
                <w:rFonts w:ascii="宋体" w:hAnsi="宋体" w:eastAsia="宋体"/>
                <w:sz w:val="16"/>
              </w:rPr>
              <w:t>93人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FB98D">
            <w:pPr>
              <w:jc w:val="center"/>
            </w:pPr>
            <w:r>
              <w:rPr>
                <w:rFonts w:ascii="宋体" w:hAnsi="宋体" w:eastAsia="宋体"/>
                <w:sz w:val="16"/>
              </w:rPr>
              <w:t>22</w:t>
            </w:r>
          </w:p>
        </w:tc>
      </w:tr>
      <w:tr w14:paraId="6A10EA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263F1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D43FE">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EEBD5">
            <w:pPr>
              <w:jc w:val="center"/>
            </w:pPr>
            <w:r>
              <w:rPr>
                <w:rFonts w:ascii="宋体" w:hAnsi="宋体" w:eastAsia="宋体"/>
                <w:sz w:val="16"/>
              </w:rPr>
              <w:t>义务教育毛入学率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03D5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FD4FD">
            <w:pPr>
              <w:jc w:val="center"/>
            </w:pPr>
            <w:r>
              <w:rPr>
                <w:rFonts w:ascii="宋体" w:hAnsi="宋体" w:eastAsia="宋体"/>
                <w:sz w:val="16"/>
              </w:rPr>
              <w:t>霍城县江阴小学(小学)_教育事业综合统计调查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E66332">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F4008">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14025">
            <w:pPr>
              <w:jc w:val="center"/>
            </w:pPr>
            <w:r>
              <w:rPr>
                <w:rFonts w:ascii="宋体" w:hAnsi="宋体" w:eastAsia="宋体"/>
                <w:sz w:val="16"/>
              </w:rPr>
              <w:t>23</w:t>
            </w:r>
          </w:p>
        </w:tc>
      </w:tr>
      <w:tr w14:paraId="4837A97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EF2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224D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C0D6D">
            <w:pPr>
              <w:jc w:val="center"/>
            </w:pPr>
            <w:r>
              <w:rPr>
                <w:rFonts w:ascii="宋体" w:hAnsi="宋体" w:eastAsia="宋体"/>
                <w:sz w:val="16"/>
              </w:rPr>
              <w:t>教学考核合格率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BFC59">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23DB8">
            <w:pPr>
              <w:jc w:val="center"/>
            </w:pPr>
            <w:r>
              <w:rPr>
                <w:rFonts w:ascii="宋体" w:hAnsi="宋体" w:eastAsia="宋体"/>
                <w:sz w:val="16"/>
              </w:rPr>
              <w:t>霍城县江阴小学绩效考核方案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6D8F8">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709AA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547C0">
            <w:pPr>
              <w:jc w:val="center"/>
            </w:pPr>
            <w:r>
              <w:rPr>
                <w:rFonts w:ascii="宋体" w:hAnsi="宋体" w:eastAsia="宋体"/>
                <w:sz w:val="16"/>
              </w:rPr>
              <w:t>23</w:t>
            </w:r>
          </w:p>
        </w:tc>
      </w:tr>
    </w:tbl>
    <w:p w14:paraId="0B6DDCE0">
      <w:r>
        <w:br w:type="page"/>
      </w:r>
    </w:p>
    <w:p w14:paraId="7F749011">
      <w:pPr>
        <w:spacing w:line="640" w:lineRule="exact"/>
        <w:ind w:firstLine="640"/>
        <w:jc w:val="both"/>
        <w:outlineLvl w:val="2"/>
      </w:pPr>
      <w:r>
        <w:rPr>
          <w:rFonts w:ascii="黑体" w:hAnsi="黑体" w:eastAsia="黑体"/>
          <w:sz w:val="32"/>
        </w:rPr>
        <w:t>十二、其他需说明的事项</w:t>
      </w:r>
    </w:p>
    <w:p w14:paraId="664CF0B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B12C827">
      <w:r>
        <w:br w:type="page"/>
      </w:r>
    </w:p>
    <w:p w14:paraId="4FF52FE3">
      <w:pPr>
        <w:spacing w:line="240" w:lineRule="auto"/>
        <w:jc w:val="center"/>
        <w:outlineLvl w:val="1"/>
      </w:pPr>
      <w:r>
        <w:rPr>
          <w:rFonts w:ascii="黑体" w:hAnsi="黑体" w:eastAsia="黑体"/>
          <w:sz w:val="32"/>
        </w:rPr>
        <w:t>第三部分 专业名词解释</w:t>
      </w:r>
    </w:p>
    <w:p w14:paraId="5A9B9A1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B09D8C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E0848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154FCD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3667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B4B029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3E0902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414DA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9298A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B235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337B56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02594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F1842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A1750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1076CE">
      <w:r>
        <w:br w:type="page"/>
      </w:r>
    </w:p>
    <w:p w14:paraId="7D30351C">
      <w:pPr>
        <w:spacing w:line="240" w:lineRule="auto"/>
        <w:jc w:val="center"/>
        <w:outlineLvl w:val="1"/>
      </w:pPr>
      <w:r>
        <w:rPr>
          <w:rFonts w:ascii="黑体" w:hAnsi="黑体" w:eastAsia="黑体"/>
          <w:sz w:val="32"/>
        </w:rPr>
        <w:t>第四部分 部门决算报表（见附表）</w:t>
      </w:r>
    </w:p>
    <w:p w14:paraId="03B8F4B8">
      <w:pPr>
        <w:spacing w:line="240" w:lineRule="auto"/>
        <w:ind w:firstLine="640"/>
        <w:jc w:val="both"/>
      </w:pPr>
      <w:r>
        <w:rPr>
          <w:rFonts w:ascii="仿宋_GB2312" w:hAnsi="仿宋_GB2312" w:eastAsia="仿宋_GB2312"/>
          <w:b w:val="0"/>
          <w:sz w:val="32"/>
        </w:rPr>
        <w:t>一、《收入支出决算总表》</w:t>
      </w:r>
    </w:p>
    <w:p w14:paraId="49B03C09">
      <w:pPr>
        <w:spacing w:line="240" w:lineRule="auto"/>
        <w:ind w:firstLine="640"/>
        <w:jc w:val="both"/>
      </w:pPr>
      <w:r>
        <w:rPr>
          <w:rFonts w:ascii="仿宋_GB2312" w:hAnsi="仿宋_GB2312" w:eastAsia="仿宋_GB2312"/>
          <w:b w:val="0"/>
          <w:sz w:val="32"/>
        </w:rPr>
        <w:t>二、《收入决算表》</w:t>
      </w:r>
    </w:p>
    <w:p w14:paraId="7107F482">
      <w:pPr>
        <w:spacing w:line="240" w:lineRule="auto"/>
        <w:ind w:firstLine="640"/>
        <w:jc w:val="both"/>
      </w:pPr>
      <w:r>
        <w:rPr>
          <w:rFonts w:ascii="仿宋_GB2312" w:hAnsi="仿宋_GB2312" w:eastAsia="仿宋_GB2312"/>
          <w:b w:val="0"/>
          <w:sz w:val="32"/>
        </w:rPr>
        <w:t>三、《支出决算表》</w:t>
      </w:r>
    </w:p>
    <w:p w14:paraId="7F34E1FD">
      <w:pPr>
        <w:spacing w:line="240" w:lineRule="auto"/>
        <w:ind w:firstLine="640"/>
        <w:jc w:val="both"/>
      </w:pPr>
      <w:r>
        <w:rPr>
          <w:rFonts w:ascii="仿宋_GB2312" w:hAnsi="仿宋_GB2312" w:eastAsia="仿宋_GB2312"/>
          <w:b w:val="0"/>
          <w:sz w:val="32"/>
        </w:rPr>
        <w:t>四、《财政拨款收入支出决算总表》</w:t>
      </w:r>
    </w:p>
    <w:p w14:paraId="58D15C2C">
      <w:pPr>
        <w:spacing w:line="240" w:lineRule="auto"/>
        <w:ind w:firstLine="640"/>
        <w:jc w:val="both"/>
      </w:pPr>
      <w:r>
        <w:rPr>
          <w:rFonts w:ascii="仿宋_GB2312" w:hAnsi="仿宋_GB2312" w:eastAsia="仿宋_GB2312"/>
          <w:b w:val="0"/>
          <w:sz w:val="32"/>
        </w:rPr>
        <w:t>五、《一般公共预算财政拨款支出决算表》</w:t>
      </w:r>
    </w:p>
    <w:p w14:paraId="1A0F6BED">
      <w:pPr>
        <w:spacing w:line="240" w:lineRule="auto"/>
        <w:ind w:firstLine="640"/>
        <w:jc w:val="both"/>
      </w:pPr>
      <w:r>
        <w:rPr>
          <w:rFonts w:ascii="仿宋_GB2312" w:hAnsi="仿宋_GB2312" w:eastAsia="仿宋_GB2312"/>
          <w:b w:val="0"/>
          <w:sz w:val="32"/>
        </w:rPr>
        <w:t>六、《一般公共预算财政拨款基本支出决算表》</w:t>
      </w:r>
    </w:p>
    <w:p w14:paraId="126E3C9B">
      <w:pPr>
        <w:spacing w:line="240" w:lineRule="auto"/>
        <w:ind w:firstLine="640"/>
        <w:jc w:val="both"/>
      </w:pPr>
      <w:r>
        <w:rPr>
          <w:rFonts w:ascii="仿宋_GB2312" w:hAnsi="仿宋_GB2312" w:eastAsia="仿宋_GB2312"/>
          <w:b w:val="0"/>
          <w:sz w:val="32"/>
        </w:rPr>
        <w:t>七、《政府性基金预算财政拨款收入支出决算表》</w:t>
      </w:r>
    </w:p>
    <w:p w14:paraId="6B59E5BF">
      <w:pPr>
        <w:spacing w:line="240" w:lineRule="auto"/>
        <w:ind w:firstLine="640"/>
        <w:jc w:val="both"/>
      </w:pPr>
      <w:r>
        <w:rPr>
          <w:rFonts w:ascii="仿宋_GB2312" w:hAnsi="仿宋_GB2312" w:eastAsia="仿宋_GB2312"/>
          <w:b w:val="0"/>
          <w:sz w:val="32"/>
        </w:rPr>
        <w:t>八、《国有资本经营预算财政拨款收入支出决算表》</w:t>
      </w:r>
    </w:p>
    <w:p w14:paraId="16FD4E76">
      <w:pPr>
        <w:spacing w:line="240" w:lineRule="auto"/>
        <w:ind w:firstLine="640"/>
        <w:jc w:val="both"/>
      </w:pPr>
      <w:r>
        <w:rPr>
          <w:rFonts w:ascii="仿宋_GB2312" w:hAnsi="仿宋_GB2312" w:eastAsia="仿宋_GB2312"/>
          <w:b w:val="0"/>
          <w:sz w:val="32"/>
        </w:rPr>
        <w:t>九、《财政拨款“三公”经费支出决算表》</w:t>
      </w:r>
    </w:p>
    <w:p w14:paraId="53AE3C40">
      <w:pPr>
        <w:spacing w:line="240" w:lineRule="auto"/>
        <w:ind w:firstLine="640"/>
        <w:jc w:val="both"/>
      </w:pPr>
    </w:p>
    <w:p w14:paraId="7D324472">
      <w:pPr>
        <w:spacing w:line="240" w:lineRule="auto"/>
        <w:ind w:firstLine="640"/>
        <w:jc w:val="both"/>
      </w:pPr>
    </w:p>
    <w:p w14:paraId="2DAD4C31">
      <w:pPr>
        <w:spacing w:line="240" w:lineRule="auto"/>
        <w:ind w:firstLine="640"/>
        <w:jc w:val="both"/>
      </w:pPr>
    </w:p>
    <w:p w14:paraId="4A80797F">
      <w:pPr>
        <w:spacing w:line="240" w:lineRule="auto"/>
        <w:ind w:firstLine="640"/>
        <w:jc w:val="both"/>
      </w:pPr>
    </w:p>
    <w:p w14:paraId="5C49438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00EEC4-65AF-4D25-A497-F7C1E97EF8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1E6788A1-5950-4FFD-AC40-302661F64635}"/>
  </w:font>
  <w:font w:name="楷体_GB2312">
    <w:panose1 w:val="02010609030101010101"/>
    <w:charset w:val="86"/>
    <w:family w:val="auto"/>
    <w:pitch w:val="default"/>
    <w:sig w:usb0="00000001" w:usb1="080E0000" w:usb2="00000000" w:usb3="00000000" w:csb0="00040000" w:csb1="00000000"/>
    <w:embedRegular r:id="rId3" w:fontKey="{CFE421CB-8FC4-404B-891D-2C1677E04FBC}"/>
  </w:font>
  <w:font w:name="方正小标宋_GBK">
    <w:panose1 w:val="02000000000000000000"/>
    <w:charset w:val="86"/>
    <w:family w:val="script"/>
    <w:pitch w:val="default"/>
    <w:sig w:usb0="A00002BF" w:usb1="38CF7CFA" w:usb2="00082016" w:usb3="00000000" w:csb0="00040001" w:csb1="00000000"/>
    <w:embedRegular r:id="rId4" w:fontKey="{7764B5D3-7740-47C3-A469-6746A24D40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E52CF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A36746"/>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4928</Words>
  <Characters>5727</Characters>
  <Lines>0</Lines>
  <Paragraphs>0</Paragraphs>
  <TotalTime>5</TotalTime>
  <ScaleCrop>false</ScaleCrop>
  <LinksUpToDate>false</LinksUpToDate>
  <CharactersWithSpaces>5735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2025-09-25T03:58:34Z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