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霍城县果子沟中心学校2024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A35665">
      <w:r>
        <w:br w:type="page"/>
      </w:r>
    </w:p>
    <w:p w14:paraId="6F7E9C8B">
      <w:pPr>
        <w:spacing w:line="640" w:lineRule="exact"/>
        <w:jc w:val="center"/>
        <w:outlineLvl w:val="1"/>
      </w:pPr>
      <w:r>
        <w:rPr>
          <w:rFonts w:ascii="黑体" w:hAnsi="黑体" w:eastAsia="黑体"/>
          <w:sz w:val="32"/>
        </w:rPr>
        <w:t>第一部分 单位概况</w:t>
      </w:r>
    </w:p>
    <w:p w14:paraId="3D652FC0">
      <w:pPr>
        <w:spacing w:line="640" w:lineRule="exact"/>
        <w:ind w:firstLine="640"/>
        <w:jc w:val="both"/>
        <w:outlineLvl w:val="2"/>
      </w:pPr>
      <w:r>
        <w:rPr>
          <w:rFonts w:ascii="黑体" w:hAnsi="黑体" w:eastAsia="黑体"/>
          <w:sz w:val="32"/>
        </w:rPr>
        <w:t>一、主要职能</w:t>
      </w:r>
    </w:p>
    <w:p w14:paraId="04B17E12">
      <w:pPr>
        <w:spacing w:line="580" w:lineRule="exact"/>
        <w:ind w:firstLine="640"/>
        <w:jc w:val="both"/>
      </w:pPr>
      <w:r>
        <w:rPr>
          <w:rFonts w:ascii="仿宋_GB2312" w:hAnsi="仿宋_GB2312" w:eastAsia="仿宋_GB2312"/>
          <w:sz w:val="32"/>
        </w:rPr>
        <w:t>霍城县果子沟中心学校系义务教育学校。负责贯彻党的教育方针,坚持正确办学方向,实行教育与生产劳动相结合,对学生进行德育、智育、体育、美育</w:t>
      </w:r>
      <w:r>
        <w:rPr>
          <w:rFonts w:hint="eastAsia" w:ascii="仿宋_GB2312" w:hAnsi="仿宋_GB2312" w:eastAsia="仿宋_GB2312"/>
          <w:sz w:val="32"/>
          <w:lang w:eastAsia="zh-CN"/>
        </w:rPr>
        <w:t>、</w:t>
      </w:r>
      <w:r>
        <w:rPr>
          <w:rFonts w:ascii="仿宋_GB2312" w:hAnsi="仿宋_GB2312" w:eastAsia="仿宋_GB2312"/>
          <w:sz w:val="32"/>
        </w:rPr>
        <w:t>劳动等方面的教育，负责组织适龄儿童、少年入学，严格控制学生辍学，依法保证适龄儿童、少年接受义务教育。</w:t>
      </w:r>
    </w:p>
    <w:p w14:paraId="405B38F0">
      <w:pPr>
        <w:spacing w:line="640" w:lineRule="exact"/>
        <w:ind w:firstLine="640"/>
        <w:jc w:val="both"/>
        <w:outlineLvl w:val="2"/>
      </w:pPr>
      <w:r>
        <w:rPr>
          <w:rFonts w:ascii="黑体" w:hAnsi="黑体" w:eastAsia="黑体"/>
          <w:sz w:val="32"/>
        </w:rPr>
        <w:t>二、机构设置及人员情况</w:t>
      </w:r>
    </w:p>
    <w:p w14:paraId="1DDFA3D1">
      <w:pPr>
        <w:spacing w:line="580" w:lineRule="exact"/>
        <w:ind w:firstLine="640"/>
        <w:jc w:val="both"/>
      </w:pPr>
      <w:r>
        <w:rPr>
          <w:rFonts w:ascii="仿宋_GB2312" w:hAnsi="仿宋_GB2312" w:eastAsia="仿宋_GB2312"/>
          <w:sz w:val="32"/>
        </w:rPr>
        <w:t>霍城县果子沟中心学校2024年度，实有人数151人，其中：在职人员97人，减少21人；离休人员0人，增加0人；退休人员54人,增加7人。</w:t>
      </w:r>
    </w:p>
    <w:p w14:paraId="61F8B6D1">
      <w:pPr>
        <w:spacing w:line="580" w:lineRule="exact"/>
        <w:ind w:firstLine="640"/>
        <w:jc w:val="both"/>
      </w:pPr>
      <w:r>
        <w:rPr>
          <w:rFonts w:ascii="仿宋_GB2312" w:hAnsi="仿宋_GB2312" w:eastAsia="仿宋_GB2312"/>
          <w:sz w:val="32"/>
        </w:rPr>
        <w:t>霍城县果子沟中心学校无下属预算单位，下设3个科室，分别是：总务处、教务处、政教处。</w:t>
      </w:r>
    </w:p>
    <w:p w14:paraId="320E4B19">
      <w:r>
        <w:br w:type="page"/>
      </w:r>
    </w:p>
    <w:p w14:paraId="0ECC3FB8">
      <w:pPr>
        <w:spacing w:line="240" w:lineRule="auto"/>
        <w:jc w:val="center"/>
        <w:outlineLvl w:val="1"/>
      </w:pPr>
      <w:r>
        <w:rPr>
          <w:rFonts w:ascii="黑体" w:hAnsi="黑体" w:eastAsia="黑体"/>
          <w:sz w:val="32"/>
        </w:rPr>
        <w:t>第二部分 部门决算情况说明</w:t>
      </w:r>
    </w:p>
    <w:p w14:paraId="010CEE4C">
      <w:pPr>
        <w:spacing w:line="640" w:lineRule="exact"/>
        <w:ind w:firstLine="640"/>
        <w:jc w:val="both"/>
        <w:outlineLvl w:val="2"/>
      </w:pPr>
      <w:r>
        <w:rPr>
          <w:rFonts w:ascii="黑体" w:hAnsi="黑体" w:eastAsia="黑体"/>
          <w:sz w:val="32"/>
        </w:rPr>
        <w:t>一、收入支出决算总体情况说明</w:t>
      </w:r>
    </w:p>
    <w:p w14:paraId="436B22B2">
      <w:pPr>
        <w:spacing w:line="580" w:lineRule="exact"/>
        <w:ind w:firstLine="640"/>
        <w:jc w:val="both"/>
      </w:pPr>
      <w:r>
        <w:rPr>
          <w:rFonts w:ascii="仿宋_GB2312" w:hAnsi="仿宋_GB2312" w:eastAsia="仿宋_GB2312"/>
          <w:b/>
          <w:sz w:val="32"/>
        </w:rPr>
        <w:t>2024年度收入总计1,959.69万元，</w:t>
      </w:r>
      <w:r>
        <w:rPr>
          <w:rFonts w:ascii="仿宋_GB2312" w:hAnsi="仿宋_GB2312" w:eastAsia="仿宋_GB2312"/>
          <w:b w:val="0"/>
          <w:sz w:val="32"/>
        </w:rPr>
        <w:t>其中：本年收入合计1,959.69万元，使用非财政拨款结余（含专用结余）0.00万元，年初结转和结余0.00万元。</w:t>
      </w:r>
    </w:p>
    <w:p w14:paraId="581B384A">
      <w:pPr>
        <w:spacing w:line="580" w:lineRule="exact"/>
        <w:ind w:firstLine="640"/>
        <w:jc w:val="both"/>
      </w:pPr>
      <w:r>
        <w:rPr>
          <w:rFonts w:ascii="仿宋_GB2312" w:hAnsi="仿宋_GB2312" w:eastAsia="仿宋_GB2312"/>
          <w:b/>
          <w:sz w:val="32"/>
        </w:rPr>
        <w:t>2024年度支出总计1,959.69万元，</w:t>
      </w:r>
      <w:r>
        <w:rPr>
          <w:rFonts w:ascii="仿宋_GB2312" w:hAnsi="仿宋_GB2312" w:eastAsia="仿宋_GB2312"/>
          <w:b w:val="0"/>
          <w:sz w:val="32"/>
        </w:rPr>
        <w:t>其中：本年支出合计1,959.69万元，结余分配0.00万元，年末结转和结余0.00万元。</w:t>
      </w:r>
    </w:p>
    <w:p w14:paraId="6E8C33E2">
      <w:pPr>
        <w:spacing w:line="580" w:lineRule="exact"/>
        <w:ind w:firstLine="640"/>
        <w:jc w:val="both"/>
      </w:pPr>
      <w:r>
        <w:rPr>
          <w:rFonts w:ascii="仿宋_GB2312" w:hAnsi="仿宋_GB2312" w:eastAsia="仿宋_GB2312"/>
          <w:b w:val="0"/>
          <w:sz w:val="32"/>
        </w:rPr>
        <w:t>收入支出总体与上年相比，减少407.86万元，下降17.23%，主要原因是：本年在职人员减少，相关人员经费较上年减少；本年学生人数减少，生均公用经费减少。</w:t>
      </w:r>
    </w:p>
    <w:p w14:paraId="34F2443B">
      <w:pPr>
        <w:spacing w:line="640" w:lineRule="exact"/>
        <w:ind w:firstLine="640"/>
        <w:jc w:val="both"/>
        <w:outlineLvl w:val="2"/>
      </w:pPr>
      <w:r>
        <w:rPr>
          <w:rFonts w:ascii="黑体" w:hAnsi="黑体" w:eastAsia="黑体"/>
          <w:sz w:val="32"/>
        </w:rPr>
        <w:t>二、收入决算情况说明</w:t>
      </w:r>
    </w:p>
    <w:p w14:paraId="16B70B5A">
      <w:pPr>
        <w:spacing w:line="580" w:lineRule="exact"/>
        <w:ind w:firstLine="640"/>
        <w:jc w:val="both"/>
      </w:pPr>
      <w:r>
        <w:rPr>
          <w:rFonts w:ascii="仿宋_GB2312" w:hAnsi="仿宋_GB2312" w:eastAsia="仿宋_GB2312"/>
          <w:b/>
          <w:sz w:val="32"/>
        </w:rPr>
        <w:t>本年收入1,959.69万元，</w:t>
      </w:r>
      <w:r>
        <w:rPr>
          <w:rFonts w:ascii="仿宋_GB2312" w:hAnsi="仿宋_GB2312" w:eastAsia="仿宋_GB2312"/>
          <w:b w:val="0"/>
          <w:sz w:val="32"/>
        </w:rPr>
        <w:t>其中：财政拨款收入1,959.69万元，占100.00%；上级补助收入0.00万元，占0.00%；事业收入0.00万元，占0.00%；经营收入0.00万元，占0.00%；附属单位上缴收入0.00万元，占0.00%；其他收入0.00万元，占0.00%。</w:t>
      </w:r>
    </w:p>
    <w:p w14:paraId="5C92B41B">
      <w:pPr>
        <w:spacing w:line="640" w:lineRule="exact"/>
        <w:ind w:firstLine="640"/>
        <w:jc w:val="both"/>
        <w:outlineLvl w:val="2"/>
      </w:pPr>
      <w:r>
        <w:rPr>
          <w:rFonts w:ascii="黑体" w:hAnsi="黑体" w:eastAsia="黑体"/>
          <w:sz w:val="32"/>
        </w:rPr>
        <w:t>三、支出决算情况说明</w:t>
      </w:r>
    </w:p>
    <w:p w14:paraId="0F5809F7">
      <w:pPr>
        <w:spacing w:line="580" w:lineRule="exact"/>
        <w:ind w:firstLine="640"/>
        <w:jc w:val="both"/>
      </w:pPr>
      <w:r>
        <w:rPr>
          <w:rFonts w:ascii="仿宋_GB2312" w:hAnsi="仿宋_GB2312" w:eastAsia="仿宋_GB2312"/>
          <w:b/>
          <w:sz w:val="32"/>
        </w:rPr>
        <w:t>本年支出1,959.69万元，</w:t>
      </w:r>
      <w:r>
        <w:rPr>
          <w:rFonts w:ascii="仿宋_GB2312" w:hAnsi="仿宋_GB2312" w:eastAsia="仿宋_GB2312"/>
          <w:b w:val="0"/>
          <w:sz w:val="32"/>
        </w:rPr>
        <w:t>其中：基本支出1,959.69万元，占100.00%；项目支出0.00万元，占0.00%；上缴上级支出0.00万元，占0.00%；经营支出0.00万元，占0.00%；对附属单位补助支出0.00万元，占0.00%。</w:t>
      </w:r>
    </w:p>
    <w:p w14:paraId="44956B56">
      <w:pPr>
        <w:spacing w:line="640" w:lineRule="exact"/>
        <w:ind w:firstLine="640"/>
        <w:jc w:val="both"/>
        <w:outlineLvl w:val="2"/>
      </w:pPr>
      <w:r>
        <w:rPr>
          <w:rFonts w:ascii="黑体" w:hAnsi="黑体" w:eastAsia="黑体"/>
          <w:sz w:val="32"/>
        </w:rPr>
        <w:t>四、财政拨款收入支出决算总体情况说明</w:t>
      </w:r>
    </w:p>
    <w:p w14:paraId="180F324C">
      <w:pPr>
        <w:spacing w:line="580" w:lineRule="exact"/>
        <w:ind w:firstLine="640"/>
        <w:jc w:val="both"/>
      </w:pPr>
      <w:r>
        <w:rPr>
          <w:rFonts w:ascii="仿宋_GB2312" w:hAnsi="仿宋_GB2312" w:eastAsia="仿宋_GB2312"/>
          <w:b/>
          <w:sz w:val="32"/>
        </w:rPr>
        <w:t>2024年度财政拨款收入总计1,959.69万元，</w:t>
      </w:r>
      <w:r>
        <w:rPr>
          <w:rFonts w:ascii="仿宋_GB2312" w:hAnsi="仿宋_GB2312" w:eastAsia="仿宋_GB2312"/>
          <w:b w:val="0"/>
          <w:sz w:val="32"/>
        </w:rPr>
        <w:t>其中：年初财政拨款结转和结余0.00万元，本年财政拨款收入1,959.69万元。</w:t>
      </w:r>
      <w:r>
        <w:rPr>
          <w:rFonts w:ascii="仿宋_GB2312" w:hAnsi="仿宋_GB2312" w:eastAsia="仿宋_GB2312"/>
          <w:b/>
          <w:sz w:val="32"/>
        </w:rPr>
        <w:t>财政拨款支出总计1,959.69万元，</w:t>
      </w:r>
      <w:r>
        <w:rPr>
          <w:rFonts w:ascii="仿宋_GB2312" w:hAnsi="仿宋_GB2312" w:eastAsia="仿宋_GB2312"/>
          <w:b w:val="0"/>
          <w:sz w:val="32"/>
        </w:rPr>
        <w:t>其中：年末财政拨款结转和结余0.00万元，本年财政拨款支出1,959.69万元。</w:t>
      </w:r>
    </w:p>
    <w:p w14:paraId="3E5BC1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减少407.86万元，下降17.23%，主要原因是：本年在职人员减少，相关人员经费较上年减少；本年学生人数减少，生均公用经费减少。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年初预算数2,231.85万元，决算数1,959.69万元，预决算差异率-12.19%，主要原因是：本年在职人员减少，年中调减人员经费，导致预决算存在差异。</w:t>
      </w:r>
    </w:p>
    <w:p w14:paraId="7A902945">
      <w:pPr>
        <w:spacing w:line="640" w:lineRule="exact"/>
        <w:ind w:firstLine="640"/>
        <w:jc w:val="both"/>
        <w:outlineLvl w:val="2"/>
      </w:pPr>
      <w:r>
        <w:rPr>
          <w:rFonts w:ascii="黑体" w:hAnsi="黑体" w:eastAsia="黑体"/>
          <w:sz w:val="32"/>
        </w:rPr>
        <w:t>五、一般公共预算财政拨款支出决算情况说明</w:t>
      </w:r>
    </w:p>
    <w:p w14:paraId="3B211A27">
      <w:pPr>
        <w:spacing w:line="640" w:lineRule="exact"/>
        <w:ind w:firstLine="640"/>
        <w:jc w:val="both"/>
        <w:outlineLvl w:val="3"/>
      </w:pPr>
      <w:r>
        <w:rPr>
          <w:rFonts w:ascii="楷体_GB2312" w:hAnsi="楷体_GB2312" w:eastAsia="楷体_GB2312"/>
          <w:b/>
          <w:sz w:val="32"/>
        </w:rPr>
        <w:t>（一）一般公共预算财政拨款支出决算总体情况</w:t>
      </w:r>
    </w:p>
    <w:p w14:paraId="2F92DA34">
      <w:pPr>
        <w:spacing w:line="580" w:lineRule="exact"/>
        <w:ind w:firstLine="640"/>
        <w:jc w:val="both"/>
      </w:pPr>
      <w:r>
        <w:rPr>
          <w:rFonts w:ascii="仿宋_GB2312" w:hAnsi="仿宋_GB2312" w:eastAsia="仿宋_GB2312"/>
          <w:b/>
          <w:sz w:val="32"/>
        </w:rPr>
        <w:t>2024年度一般公共预算财政拨款支出1,959.69万元，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减少407.86万元，下降17.23%，主要原因是：本年在职人员减少，相关人员经费较上年减少；本年学生人数减少，生均公用经费减少。</w:t>
      </w:r>
      <w:r>
        <w:rPr>
          <w:rFonts w:ascii="仿宋_GB2312" w:hAnsi="仿宋_GB2312" w:eastAsia="仿宋_GB2312"/>
          <w:b/>
          <w:sz w:val="32"/>
        </w:rPr>
        <w:t>与年初预算相比,</w:t>
      </w:r>
      <w:r>
        <w:rPr>
          <w:rFonts w:ascii="仿宋_GB2312" w:hAnsi="仿宋_GB2312" w:eastAsia="仿宋_GB2312"/>
          <w:b w:val="0"/>
          <w:sz w:val="32"/>
        </w:rPr>
        <w:t>年初预算数2,231.85万元，决算数1,959.69万元，预决算差异率-12.19%，主要原因是：本年在职人员减少，年中调减人员经费，导致预决算存在差异。</w:t>
      </w:r>
    </w:p>
    <w:p w14:paraId="0008A2FA">
      <w:pPr>
        <w:spacing w:line="640" w:lineRule="exact"/>
        <w:ind w:firstLine="640"/>
        <w:jc w:val="both"/>
        <w:outlineLvl w:val="3"/>
      </w:pPr>
      <w:r>
        <w:rPr>
          <w:rFonts w:ascii="楷体_GB2312" w:hAnsi="楷体_GB2312" w:eastAsia="楷体_GB2312"/>
          <w:b/>
          <w:sz w:val="32"/>
        </w:rPr>
        <w:t>（二）一般公共预算财政拨款支出决算结构情况</w:t>
      </w:r>
    </w:p>
    <w:p w14:paraId="2A36888D">
      <w:pPr>
        <w:spacing w:line="580" w:lineRule="exact"/>
        <w:ind w:firstLine="640"/>
        <w:jc w:val="both"/>
      </w:pPr>
      <w:r>
        <w:rPr>
          <w:rFonts w:ascii="仿宋_GB2312" w:hAnsi="仿宋_GB2312" w:eastAsia="仿宋_GB2312"/>
          <w:b w:val="0"/>
          <w:sz w:val="32"/>
        </w:rPr>
        <w:t>1.教育支出(类)1,580.29万元,占80.64%。</w:t>
      </w:r>
    </w:p>
    <w:p w14:paraId="2E16C119">
      <w:pPr>
        <w:spacing w:line="580" w:lineRule="exact"/>
        <w:ind w:firstLine="640"/>
        <w:jc w:val="both"/>
      </w:pPr>
      <w:r>
        <w:rPr>
          <w:rFonts w:ascii="仿宋_GB2312" w:hAnsi="仿宋_GB2312" w:eastAsia="仿宋_GB2312"/>
          <w:b w:val="0"/>
          <w:sz w:val="32"/>
        </w:rPr>
        <w:t>2.社会保障和就业支出(类)286.30万元,占14.61%。</w:t>
      </w:r>
    </w:p>
    <w:p w14:paraId="40512898">
      <w:pPr>
        <w:spacing w:line="580" w:lineRule="exact"/>
        <w:ind w:firstLine="640"/>
        <w:jc w:val="both"/>
      </w:pPr>
      <w:r>
        <w:rPr>
          <w:rFonts w:ascii="仿宋_GB2312" w:hAnsi="仿宋_GB2312" w:eastAsia="仿宋_GB2312"/>
          <w:b w:val="0"/>
          <w:sz w:val="32"/>
        </w:rPr>
        <w:t>3.卫生健康支出(类)93.11万元,占4.75%。</w:t>
      </w:r>
    </w:p>
    <w:p w14:paraId="24A2C8C1">
      <w:pPr>
        <w:spacing w:line="640" w:lineRule="exact"/>
        <w:ind w:firstLine="640"/>
        <w:jc w:val="both"/>
        <w:outlineLvl w:val="3"/>
      </w:pPr>
      <w:r>
        <w:rPr>
          <w:rFonts w:ascii="楷体_GB2312" w:hAnsi="楷体_GB2312" w:eastAsia="楷体_GB2312"/>
          <w:b/>
          <w:sz w:val="32"/>
        </w:rPr>
        <w:t>（三）一般公共预算财政拨款支出决算具体情况</w:t>
      </w:r>
    </w:p>
    <w:p w14:paraId="66EF3C25">
      <w:pPr>
        <w:spacing w:line="580" w:lineRule="exact"/>
        <w:ind w:firstLine="640"/>
        <w:jc w:val="both"/>
      </w:pPr>
      <w:r>
        <w:rPr>
          <w:rFonts w:ascii="仿宋_GB2312" w:hAnsi="仿宋_GB2312" w:eastAsia="仿宋_GB2312"/>
          <w:b w:val="0"/>
          <w:sz w:val="32"/>
        </w:rPr>
        <w:t>1.教育支出(类)普通教育(款)学前教育(项):支出决算数为328.83万元，比上年决算增加21.18万元，增长6.88%,主要原因是：本年功能科目调整，住房公积金缴费、班主任津贴上年度单独列支，本年调整至主科目列支，导致经费较上年增加。</w:t>
      </w:r>
    </w:p>
    <w:p w14:paraId="244FE1FC">
      <w:pPr>
        <w:spacing w:line="580" w:lineRule="exact"/>
        <w:ind w:firstLine="640"/>
        <w:jc w:val="both"/>
      </w:pPr>
      <w:r>
        <w:rPr>
          <w:rFonts w:ascii="仿宋_GB2312" w:hAnsi="仿宋_GB2312" w:eastAsia="仿宋_GB2312"/>
          <w:b w:val="0"/>
          <w:sz w:val="32"/>
        </w:rPr>
        <w:t>2.教育支出(类)普通教育(款)小学教育(项):支出决算数为1,229.53万元，比上年决算减少241.21万元，下降16.40%,主要原因是：本年在职人员减少，相关人员经费较上年减少；本年学生人数减少，生均公用经费减少。</w:t>
      </w:r>
    </w:p>
    <w:p w14:paraId="2682C062">
      <w:pPr>
        <w:spacing w:line="580" w:lineRule="exact"/>
        <w:ind w:firstLine="640"/>
        <w:jc w:val="both"/>
      </w:pPr>
      <w:r>
        <w:rPr>
          <w:rFonts w:ascii="仿宋_GB2312" w:hAnsi="仿宋_GB2312" w:eastAsia="仿宋_GB2312"/>
          <w:b w:val="0"/>
          <w:sz w:val="32"/>
        </w:rPr>
        <w:t>3.教育支出(类)普通教育(款)其他普通教育支出(项):支出决算数为21.93万元，比上年决算减少4.94万元，下降18.38%,主要原因是：本年临聘人员减少，相关人员经费较上年减少。</w:t>
      </w:r>
    </w:p>
    <w:p w14:paraId="3E66E1F2">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4.教育支出(类)教育费附加安排的支出(款)其他教育费附加安排的支出(项):支出决算数为0.00万元，比上年决算减少1.22万元，下降100.00%,主要原因是：本年度未安排老师继续教育经费支出，导致经费较上年减少。</w:t>
      </w:r>
    </w:p>
    <w:p w14:paraId="373F9046">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7.63万元，下降100.00%,主要原因是：本年功能科目调整，班主任津贴上年度单独列支，本年调整至主科目列支，导致经费较上年减少。</w:t>
      </w:r>
    </w:p>
    <w:p w14:paraId="591B7920">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37.57万元，比上年决算增加30.34万元，增长419.64%,主要原因是：本年退休人员增加，增加退休人员基础绩效奖，退休费支出增加。</w:t>
      </w:r>
    </w:p>
    <w:p w14:paraId="12218981">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186.21万元，比上年决算减少10.31万元，下降5.25%,主要原因是：本年在职人员减少，相关人员经费较上年减少。</w:t>
      </w:r>
    </w:p>
    <w:p w14:paraId="478D40E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8.社会保障和就业支出(类)行政事业单位养老支出(款)机关事业单位职业年金缴费支出(项):支出决算数为52.50万元，比上年决算增加1.02万元，增长1.98%,主要原因是：本年度新增退休人员较上年增加，退休支出增加。</w:t>
      </w:r>
    </w:p>
    <w:p w14:paraId="22300B9C">
      <w:pPr>
        <w:spacing w:line="580" w:lineRule="exact"/>
        <w:ind w:firstLine="640"/>
        <w:jc w:val="both"/>
      </w:pPr>
      <w:r>
        <w:rPr>
          <w:rFonts w:ascii="仿宋_GB2312" w:hAnsi="仿宋_GB2312" w:eastAsia="仿宋_GB2312"/>
          <w:b w:val="0"/>
          <w:sz w:val="32"/>
        </w:rPr>
        <w:t>9.社会保障和就业支出(类)抚恤(款)死亡抚恤(项):支出决算数为10.02万元，比上年决算减少2.61万元，下降20.67%,主要原因是：本年新增死亡人员较上年减少，死亡抚恤支出较上年减少。</w:t>
      </w:r>
    </w:p>
    <w:p w14:paraId="73440B82">
      <w:pPr>
        <w:spacing w:line="580" w:lineRule="exact"/>
        <w:ind w:firstLine="640"/>
        <w:jc w:val="both"/>
      </w:pPr>
      <w:r>
        <w:rPr>
          <w:rFonts w:ascii="仿宋_GB2312" w:hAnsi="仿宋_GB2312" w:eastAsia="仿宋_GB2312"/>
          <w:b w:val="0"/>
          <w:sz w:val="32"/>
        </w:rPr>
        <w:t>10.卫生健康支出(类)行政事业单位医疗(款)事业单位医疗(项):支出决算数为93.11万元，比上年决算减少29.33万元，下降23.95%,主要原因是：因退休人员医疗保险制度改革，退休人员基本医疗不再由单位缴纳，导致经费较上年减少。</w:t>
      </w:r>
    </w:p>
    <w:p w14:paraId="65384AF0">
      <w:pPr>
        <w:spacing w:line="580" w:lineRule="exact"/>
        <w:ind w:firstLine="640"/>
        <w:jc w:val="both"/>
      </w:pPr>
      <w:r>
        <w:rPr>
          <w:rFonts w:ascii="仿宋_GB2312" w:hAnsi="仿宋_GB2312" w:eastAsia="仿宋_GB2312"/>
          <w:b w:val="0"/>
          <w:sz w:val="32"/>
        </w:rPr>
        <w:t>11.住房保障支出(类)住房改革支出(款)住房公积金(项):支出决算数为0.00万元，比上年决算减少163.15万元，下降100.00%,主要原因是：本年功能科目调整，住房公积金上年度单独列支，本年调整至主科目列支，导致经费较上年减少。</w:t>
      </w:r>
    </w:p>
    <w:p w14:paraId="4F4E030D">
      <w:pPr>
        <w:spacing w:line="640" w:lineRule="exact"/>
        <w:ind w:firstLine="640"/>
        <w:jc w:val="both"/>
        <w:outlineLvl w:val="2"/>
      </w:pPr>
      <w:r>
        <w:rPr>
          <w:rFonts w:ascii="黑体" w:hAnsi="黑体" w:eastAsia="黑体"/>
          <w:sz w:val="32"/>
        </w:rPr>
        <w:t>六、一般公共预算财政拨款基本支出决算情况说明</w:t>
      </w:r>
    </w:p>
    <w:p w14:paraId="315DB5FC">
      <w:pPr>
        <w:spacing w:line="580" w:lineRule="exact"/>
        <w:ind w:firstLine="640"/>
        <w:jc w:val="both"/>
      </w:pPr>
      <w:r>
        <w:rPr>
          <w:rFonts w:ascii="仿宋_GB2312" w:hAnsi="仿宋_GB2312" w:eastAsia="仿宋_GB2312"/>
          <w:b w:val="0"/>
          <w:sz w:val="32"/>
        </w:rPr>
        <w:t>2024年度一般公共预算财政拨款基本支出1,959.69万元，其中：</w:t>
      </w:r>
      <w:r>
        <w:rPr>
          <w:rFonts w:ascii="仿宋_GB2312" w:hAnsi="仿宋_GB2312" w:eastAsia="仿宋_GB2312"/>
          <w:b/>
          <w:sz w:val="32"/>
        </w:rPr>
        <w:t>人员经费1,895.33万元，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抚恤金、生活补助、助学金、奖励金。</w:t>
      </w:r>
    </w:p>
    <w:p w14:paraId="54591886">
      <w:pPr>
        <w:spacing w:line="580" w:lineRule="exact"/>
        <w:ind w:firstLine="640"/>
        <w:jc w:val="both"/>
      </w:pPr>
      <w:r>
        <w:rPr>
          <w:rFonts w:ascii="仿宋_GB2312" w:hAnsi="仿宋_GB2312" w:eastAsia="仿宋_GB2312"/>
          <w:b/>
          <w:sz w:val="32"/>
        </w:rPr>
        <w:t>公用经费64.36万元，</w:t>
      </w:r>
      <w:r>
        <w:rPr>
          <w:rFonts w:ascii="仿宋_GB2312" w:hAnsi="仿宋_GB2312" w:eastAsia="仿宋_GB2312"/>
          <w:b w:val="0"/>
          <w:sz w:val="32"/>
        </w:rPr>
        <w:t>包括：办公费、电费、邮电费、取暖费、物业管理费、差旅费、维修（护）费、培训费、专用材料费、工会经费。</w:t>
      </w:r>
    </w:p>
    <w:p w14:paraId="314479C7">
      <w:pPr>
        <w:spacing w:line="640" w:lineRule="exact"/>
        <w:ind w:firstLine="640"/>
        <w:jc w:val="both"/>
        <w:outlineLvl w:val="2"/>
      </w:pPr>
      <w:r>
        <w:rPr>
          <w:rFonts w:ascii="黑体" w:hAnsi="黑体" w:eastAsia="黑体"/>
          <w:sz w:val="32"/>
        </w:rPr>
        <w:t>七、政府性基金预算财政拨款收入支出决算情况说明</w:t>
      </w:r>
    </w:p>
    <w:p w14:paraId="057F826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3DC95DA">
      <w:pPr>
        <w:spacing w:line="640" w:lineRule="exact"/>
        <w:ind w:firstLine="640"/>
        <w:jc w:val="both"/>
        <w:outlineLvl w:val="2"/>
      </w:pPr>
      <w:r>
        <w:rPr>
          <w:rFonts w:ascii="黑体" w:hAnsi="黑体" w:eastAsia="黑体"/>
          <w:sz w:val="32"/>
        </w:rPr>
        <w:t>八、国有资本经营预算财政拨款收入支出决算情况说明</w:t>
      </w:r>
    </w:p>
    <w:p w14:paraId="40D0948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1F58AB">
      <w:pPr>
        <w:spacing w:line="640" w:lineRule="exact"/>
        <w:ind w:firstLine="640"/>
        <w:jc w:val="both"/>
        <w:outlineLvl w:val="2"/>
      </w:pPr>
      <w:r>
        <w:rPr>
          <w:rFonts w:ascii="黑体" w:hAnsi="黑体" w:eastAsia="黑体"/>
          <w:sz w:val="32"/>
        </w:rPr>
        <w:t>九、财政拨款“三公”经费支出决算情况说明</w:t>
      </w:r>
    </w:p>
    <w:p w14:paraId="58B859A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1965E90">
      <w:pPr>
        <w:spacing w:line="580" w:lineRule="exact"/>
        <w:ind w:firstLine="640"/>
        <w:jc w:val="both"/>
      </w:pPr>
      <w:r>
        <w:rPr>
          <w:rFonts w:ascii="仿宋_GB2312" w:hAnsi="仿宋_GB2312" w:eastAsia="仿宋_GB2312"/>
          <w:b/>
          <w:sz w:val="32"/>
        </w:rPr>
        <w:t>具体情况如下：</w:t>
      </w:r>
    </w:p>
    <w:p w14:paraId="580C6D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9B68D4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956F4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5186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1BAF68">
      <w:pPr>
        <w:spacing w:line="640" w:lineRule="exact"/>
        <w:ind w:firstLine="640"/>
        <w:jc w:val="both"/>
        <w:outlineLvl w:val="2"/>
      </w:pPr>
      <w:r>
        <w:rPr>
          <w:rFonts w:ascii="黑体" w:hAnsi="黑体" w:eastAsia="黑体"/>
          <w:sz w:val="32"/>
        </w:rPr>
        <w:t>十、其他重要事项的情况说明</w:t>
      </w:r>
    </w:p>
    <w:p w14:paraId="0BD2F030">
      <w:pPr>
        <w:spacing w:line="640" w:lineRule="exact"/>
        <w:ind w:firstLine="640"/>
        <w:jc w:val="both"/>
        <w:outlineLvl w:val="3"/>
      </w:pPr>
      <w:r>
        <w:rPr>
          <w:rFonts w:ascii="楷体_GB2312" w:hAnsi="楷体_GB2312" w:eastAsia="楷体_GB2312"/>
          <w:b/>
          <w:sz w:val="32"/>
        </w:rPr>
        <w:t>（一）机关运行经费及公用经费支出情况</w:t>
      </w:r>
    </w:p>
    <w:p w14:paraId="1D94418D">
      <w:pPr>
        <w:spacing w:line="580" w:lineRule="exact"/>
        <w:ind w:firstLine="640"/>
        <w:jc w:val="both"/>
      </w:pPr>
      <w:r>
        <w:rPr>
          <w:rFonts w:ascii="仿宋_GB2312" w:hAnsi="仿宋_GB2312" w:eastAsia="仿宋_GB2312"/>
          <w:b w:val="0"/>
          <w:sz w:val="32"/>
        </w:rPr>
        <w:t>2024年度霍城县果子沟中心学校（事业单位）公用经费支出64.36万元，比上年减少22.60万元，下降25.99%，主要原因是：本年学生人数减少，生均公用经费减少。</w:t>
      </w:r>
    </w:p>
    <w:p w14:paraId="6BA69A35">
      <w:pPr>
        <w:spacing w:line="640" w:lineRule="exact"/>
        <w:ind w:firstLine="640"/>
        <w:jc w:val="both"/>
        <w:outlineLvl w:val="3"/>
      </w:pPr>
      <w:r>
        <w:rPr>
          <w:rFonts w:ascii="楷体_GB2312" w:hAnsi="楷体_GB2312" w:eastAsia="楷体_GB2312"/>
          <w:b/>
          <w:sz w:val="32"/>
        </w:rPr>
        <w:t>（二）政府采购情况</w:t>
      </w:r>
    </w:p>
    <w:p w14:paraId="13FE1018">
      <w:pPr>
        <w:spacing w:line="580" w:lineRule="exact"/>
        <w:ind w:firstLine="640"/>
        <w:jc w:val="both"/>
      </w:pPr>
      <w:r>
        <w:rPr>
          <w:rFonts w:ascii="仿宋_GB2312" w:hAnsi="仿宋_GB2312" w:eastAsia="仿宋_GB2312"/>
          <w:b w:val="0"/>
          <w:sz w:val="32"/>
        </w:rPr>
        <w:t>2024年度政府采购支出总额1.04万元，其中：政府采购货物支出0.87万元、政府采购工程支出0.18万元、政府采购服务支出0.00万元。</w:t>
      </w:r>
    </w:p>
    <w:p w14:paraId="4FF76DCA">
      <w:pPr>
        <w:spacing w:line="580" w:lineRule="exact"/>
        <w:ind w:firstLine="640"/>
        <w:jc w:val="both"/>
      </w:pPr>
      <w:r>
        <w:rPr>
          <w:rFonts w:ascii="仿宋_GB2312" w:hAnsi="仿宋_GB2312" w:eastAsia="仿宋_GB2312"/>
          <w:b w:val="0"/>
          <w:sz w:val="32"/>
        </w:rPr>
        <w:t>授予中小企业合同金额1.04万元，占政府采购支出总额的100.00%，其中：授予小微企业合同金额1.04万元，占政府采购支出总额的100.00%。</w:t>
      </w:r>
    </w:p>
    <w:p w14:paraId="4D707E62">
      <w:pPr>
        <w:spacing w:line="640" w:lineRule="exact"/>
        <w:ind w:firstLine="640"/>
        <w:jc w:val="both"/>
        <w:outlineLvl w:val="3"/>
      </w:pPr>
      <w:r>
        <w:rPr>
          <w:rFonts w:ascii="楷体_GB2312" w:hAnsi="楷体_GB2312" w:eastAsia="楷体_GB2312"/>
          <w:b/>
          <w:sz w:val="32"/>
        </w:rPr>
        <w:t>（三）国有资产占用情况说明</w:t>
      </w:r>
    </w:p>
    <w:p w14:paraId="58A0A71B">
      <w:pPr>
        <w:spacing w:line="580" w:lineRule="exact"/>
        <w:ind w:firstLine="640"/>
        <w:jc w:val="both"/>
      </w:pPr>
      <w:r>
        <w:rPr>
          <w:rFonts w:ascii="仿宋_GB2312" w:hAnsi="仿宋_GB2312" w:eastAsia="仿宋_GB2312"/>
          <w:b w:val="0"/>
          <w:sz w:val="32"/>
        </w:rPr>
        <w:t>截至2024年12月31日，房屋11,273.57平方米，价值1,316.34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6914062">
      <w:pPr>
        <w:spacing w:line="640" w:lineRule="exact"/>
        <w:ind w:firstLine="640"/>
        <w:jc w:val="both"/>
        <w:outlineLvl w:val="2"/>
      </w:pPr>
      <w:r>
        <w:rPr>
          <w:rFonts w:ascii="黑体" w:hAnsi="黑体" w:eastAsia="黑体"/>
          <w:sz w:val="32"/>
        </w:rPr>
        <w:t>十一、预算绩效的情况说明</w:t>
      </w:r>
    </w:p>
    <w:p w14:paraId="3AE422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1,959.69万元，实际执行总额1,959.69万元；预算绩效评价项目0个，全年预算数0.00万元，全年执行数0.00万元。预算绩效管理取得的成效：根据2024年学校工作计划，从抓管理、强素质入手，强化德育为先，教学为中心，教研为先导，质量为本的学校育人策略，全面实施素质教育，完成各项教学任务。建设了一支高素质的师资队伍，培养了一批业务精、敢于担当、勇于奉献的青年教师队伍，为学校可持续发展奠定基础，巩固、提高了教学成果。及时准确完成全年人员工资福利以及社保等缴费，合理使用公用经费、工会以及项目建设费花好每一分钱，把教育经费用到最关键处，切实提高了教育经费使用效益。发现的问题及原因：（一）绩效指标设置不够明确，我校部分绩效指标设置存在不够精简、指标数据无法统计和指标值设置过低等问题，部分项目绩效指标值设定为定性的指标，指标设置的科学性、合理性有待进一步提高。（二）固定资产账务管理不够细致、严谨</w:t>
      </w:r>
      <w:bookmarkStart w:id="0" w:name="_GoBack"/>
      <w:bookmarkEnd w:id="0"/>
      <w:r>
        <w:rPr>
          <w:rFonts w:ascii="仿宋_GB2312" w:hAnsi="仿宋_GB2312" w:eastAsia="仿宋_GB2312"/>
          <w:b w:val="0"/>
          <w:sz w:val="32"/>
        </w:rPr>
        <w:t>抽查发现，各单位固定资产账务管理普遍存在入账不及时、漏入、入账信息、金额不准确或资产台账未登记到具体使用人等问题。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具体附整体支出绩效自评表。</w:t>
      </w:r>
    </w:p>
    <w:p w14:paraId="59CCC8F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885"/>
        <w:gridCol w:w="1325"/>
        <w:gridCol w:w="1105"/>
        <w:gridCol w:w="1105"/>
        <w:gridCol w:w="1105"/>
        <w:gridCol w:w="1105"/>
      </w:tblGrid>
      <w:tr w14:paraId="45BC4183">
        <w:tblPrEx>
          <w:tblCellMar>
            <w:top w:w="0" w:type="dxa"/>
            <w:left w:w="108" w:type="dxa"/>
            <w:bottom w:w="0" w:type="dxa"/>
            <w:right w:w="108" w:type="dxa"/>
          </w:tblCellMar>
        </w:tblPrEx>
        <w:tc>
          <w:tcPr>
            <w:tcW w:w="8840" w:type="dxa"/>
            <w:gridSpan w:val="8"/>
            <w:vAlign w:val="center"/>
          </w:tcPr>
          <w:p w14:paraId="1F10D27C">
            <w:pPr>
              <w:jc w:val="center"/>
            </w:pPr>
            <w:r>
              <w:rPr>
                <w:rFonts w:ascii="宋体" w:hAnsi="宋体" w:eastAsia="宋体"/>
                <w:sz w:val="24"/>
              </w:rPr>
              <w:t>单位整体支出绩效自评表</w:t>
            </w:r>
          </w:p>
        </w:tc>
      </w:tr>
      <w:tr w14:paraId="6F1FE790">
        <w:tblPrEx>
          <w:tblCellMar>
            <w:top w:w="0" w:type="dxa"/>
            <w:left w:w="108" w:type="dxa"/>
            <w:bottom w:w="0" w:type="dxa"/>
            <w:right w:w="108" w:type="dxa"/>
          </w:tblCellMar>
        </w:tblPrEx>
        <w:tc>
          <w:tcPr>
            <w:tcW w:w="8840" w:type="dxa"/>
            <w:gridSpan w:val="8"/>
            <w:vAlign w:val="center"/>
          </w:tcPr>
          <w:p w14:paraId="216A1F3A">
            <w:pPr>
              <w:jc w:val="center"/>
            </w:pPr>
            <w:r>
              <w:rPr>
                <w:rFonts w:ascii="宋体" w:hAnsi="宋体" w:eastAsia="宋体"/>
                <w:sz w:val="24"/>
              </w:rPr>
              <w:t>（2024年度）</w:t>
            </w:r>
          </w:p>
        </w:tc>
      </w:tr>
      <w:tr w14:paraId="3C409B4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6150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A88E2">
            <w:pPr>
              <w:jc w:val="center"/>
            </w:pPr>
            <w:r>
              <w:rPr>
                <w:rFonts w:ascii="宋体" w:hAnsi="宋体" w:eastAsia="宋体"/>
                <w:sz w:val="16"/>
              </w:rPr>
              <w:t>霍城县果子沟中心学校</w:t>
            </w:r>
          </w:p>
        </w:tc>
      </w:tr>
      <w:tr w14:paraId="1054A7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EA1B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31D03">
            <w:pPr>
              <w:jc w:val="center"/>
            </w:pPr>
            <w:r>
              <w:rPr>
                <w:rFonts w:ascii="宋体" w:hAnsi="宋体" w:eastAsia="宋体"/>
                <w:sz w:val="16"/>
              </w:rPr>
              <w:t>资金来源</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66CA6F73">
            <w:pPr>
              <w:jc w:val="center"/>
            </w:pPr>
            <w:r>
              <w:rPr>
                <w:rFonts w:ascii="宋体" w:hAnsi="宋体" w:eastAsia="宋体"/>
                <w:sz w:val="16"/>
              </w:rPr>
              <w:t>年初预算数</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758FF48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BF20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3C5A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C21E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7EE4D">
            <w:pPr>
              <w:jc w:val="center"/>
            </w:pPr>
            <w:r>
              <w:rPr>
                <w:rFonts w:ascii="宋体" w:hAnsi="宋体" w:eastAsia="宋体"/>
                <w:sz w:val="16"/>
              </w:rPr>
              <w:t>得分</w:t>
            </w:r>
          </w:p>
        </w:tc>
      </w:tr>
      <w:tr w14:paraId="5DB9D5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F0F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68CBA">
            <w:pPr>
              <w:jc w:val="center"/>
            </w:pPr>
            <w:r>
              <w:rPr>
                <w:rFonts w:ascii="宋体" w:hAnsi="宋体" w:eastAsia="宋体"/>
                <w:sz w:val="16"/>
              </w:rPr>
              <w:t>年度总资金</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38FBCAB2">
            <w:pPr>
              <w:jc w:val="center"/>
            </w:pPr>
            <w:r>
              <w:rPr>
                <w:rFonts w:ascii="宋体" w:hAnsi="宋体" w:eastAsia="宋体"/>
                <w:sz w:val="16"/>
              </w:rPr>
              <w:t>2,231.84</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14144115">
            <w:pPr>
              <w:jc w:val="center"/>
            </w:pPr>
            <w:r>
              <w:rPr>
                <w:rFonts w:ascii="宋体" w:hAnsi="宋体" w:eastAsia="宋体"/>
                <w:sz w:val="16"/>
              </w:rPr>
              <w:t>1,959.69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F3D36">
            <w:pPr>
              <w:jc w:val="center"/>
            </w:pPr>
            <w:r>
              <w:rPr>
                <w:rFonts w:ascii="宋体" w:hAnsi="宋体" w:eastAsia="宋体"/>
                <w:sz w:val="16"/>
              </w:rPr>
              <w:t>1,959.69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A9BF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E30D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12309">
            <w:pPr>
              <w:jc w:val="center"/>
            </w:pPr>
            <w:r>
              <w:rPr>
                <w:rFonts w:ascii="宋体" w:hAnsi="宋体" w:eastAsia="宋体"/>
                <w:sz w:val="16"/>
              </w:rPr>
              <w:t>10</w:t>
            </w:r>
          </w:p>
        </w:tc>
      </w:tr>
      <w:tr w14:paraId="629336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7C73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D532">
            <w:pPr>
              <w:jc w:val="center"/>
            </w:pPr>
            <w:r>
              <w:rPr>
                <w:rFonts w:ascii="宋体" w:hAnsi="宋体" w:eastAsia="宋体"/>
                <w:sz w:val="16"/>
              </w:rPr>
              <w:t>上级资金：</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0BF6B81">
            <w:pPr>
              <w:jc w:val="center"/>
            </w:pPr>
            <w:r>
              <w:rPr>
                <w:rFonts w:ascii="宋体" w:hAnsi="宋体" w:eastAsia="宋体"/>
                <w:sz w:val="16"/>
              </w:rPr>
              <w:t>91.85</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79353362">
            <w:pPr>
              <w:jc w:val="center"/>
            </w:pPr>
            <w:r>
              <w:rPr>
                <w:rFonts w:ascii="宋体" w:hAnsi="宋体" w:eastAsia="宋体"/>
                <w:sz w:val="16"/>
              </w:rPr>
              <w:t>77.42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462A2">
            <w:pPr>
              <w:jc w:val="center"/>
            </w:pPr>
            <w:r>
              <w:rPr>
                <w:rFonts w:ascii="宋体" w:hAnsi="宋体" w:eastAsia="宋体"/>
                <w:sz w:val="16"/>
              </w:rPr>
              <w:t>77.42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CEC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DB9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AA55E">
            <w:pPr>
              <w:jc w:val="center"/>
            </w:pPr>
            <w:r>
              <w:rPr>
                <w:rFonts w:ascii="宋体" w:hAnsi="宋体" w:eastAsia="宋体"/>
                <w:sz w:val="16"/>
              </w:rPr>
              <w:t>-</w:t>
            </w:r>
          </w:p>
        </w:tc>
      </w:tr>
      <w:tr w14:paraId="0717BD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849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DF9F2">
            <w:pPr>
              <w:jc w:val="center"/>
            </w:pPr>
            <w:r>
              <w:rPr>
                <w:rFonts w:ascii="宋体" w:hAnsi="宋体" w:eastAsia="宋体"/>
                <w:sz w:val="16"/>
              </w:rPr>
              <w:t>本级资金：</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345AC01B">
            <w:pPr>
              <w:jc w:val="center"/>
            </w:pPr>
            <w:r>
              <w:rPr>
                <w:rFonts w:ascii="宋体" w:hAnsi="宋体" w:eastAsia="宋体"/>
                <w:sz w:val="16"/>
              </w:rPr>
              <w:t>2,139.99</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397E76FD">
            <w:pPr>
              <w:jc w:val="center"/>
            </w:pPr>
            <w:r>
              <w:rPr>
                <w:rFonts w:ascii="宋体" w:hAnsi="宋体" w:eastAsia="宋体"/>
                <w:sz w:val="16"/>
              </w:rPr>
              <w:t>1,882.27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3A082">
            <w:pPr>
              <w:jc w:val="center"/>
            </w:pPr>
            <w:r>
              <w:rPr>
                <w:rFonts w:ascii="宋体" w:hAnsi="宋体" w:eastAsia="宋体"/>
                <w:sz w:val="16"/>
              </w:rPr>
              <w:t>1,882.27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E91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8C9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45689">
            <w:pPr>
              <w:jc w:val="center"/>
            </w:pPr>
            <w:r>
              <w:rPr>
                <w:rFonts w:ascii="宋体" w:hAnsi="宋体" w:eastAsia="宋体"/>
                <w:sz w:val="16"/>
              </w:rPr>
              <w:t>-</w:t>
            </w:r>
          </w:p>
        </w:tc>
      </w:tr>
      <w:tr w14:paraId="301C6D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21E6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2C530">
            <w:pPr>
              <w:jc w:val="center"/>
            </w:pPr>
            <w:r>
              <w:rPr>
                <w:rFonts w:ascii="宋体" w:hAnsi="宋体" w:eastAsia="宋体"/>
                <w:sz w:val="16"/>
              </w:rPr>
              <w:t>其他资金：</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179A2AD">
            <w:pPr>
              <w:jc w:val="center"/>
            </w:pPr>
            <w:r>
              <w:rPr>
                <w:rFonts w:ascii="宋体" w:hAnsi="宋体" w:eastAsia="宋体"/>
                <w:sz w:val="16"/>
              </w:rPr>
              <w:t>0.00</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615BCA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102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2D8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422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028C7">
            <w:pPr>
              <w:jc w:val="center"/>
            </w:pPr>
            <w:r>
              <w:rPr>
                <w:rFonts w:ascii="宋体" w:hAnsi="宋体" w:eastAsia="宋体"/>
                <w:sz w:val="16"/>
              </w:rPr>
              <w:t>-</w:t>
            </w:r>
          </w:p>
        </w:tc>
      </w:tr>
      <w:tr w14:paraId="716A06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F041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13170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4932CE">
            <w:pPr>
              <w:jc w:val="center"/>
            </w:pPr>
            <w:r>
              <w:rPr>
                <w:rFonts w:ascii="宋体" w:hAnsi="宋体" w:eastAsia="宋体"/>
                <w:sz w:val="16"/>
              </w:rPr>
              <w:t>实际完成情况</w:t>
            </w:r>
          </w:p>
        </w:tc>
      </w:tr>
      <w:tr w14:paraId="198282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3D52A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3C9044">
            <w:pPr>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93760A">
            <w:pPr>
              <w:jc w:val="both"/>
            </w:pPr>
            <w:r>
              <w:rPr>
                <w:rFonts w:ascii="宋体" w:hAnsi="宋体" w:eastAsia="宋体"/>
                <w:sz w:val="16"/>
              </w:rPr>
              <w:t>根据2024年学校工作计划，从抓管理、强素质入手，强化德育为先，教学为中心，教研为先导，质量为本的学校育人策略，全面实施素质教育，完成各项教学任务。建设了一支高素质的师资队伍，培养了一批业务精、敢于担当、勇于奉献的青年教师队伍，为学校可持续发展奠定基础，巩固、提高了教学成果。及时准确完成全年人员工资福利以及社保等缴费，合理使用公用经费、工会以及项目建设费花好每一分钱，把教育经费用到最关键处，切实提高了教育经费使用效益。</w:t>
            </w:r>
          </w:p>
        </w:tc>
      </w:tr>
      <w:tr w14:paraId="6255EC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A56F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B4058">
            <w:pPr>
              <w:jc w:val="center"/>
            </w:pPr>
            <w:r>
              <w:rPr>
                <w:rFonts w:ascii="宋体" w:hAnsi="宋体" w:eastAsia="宋体"/>
                <w:sz w:val="16"/>
              </w:rPr>
              <w:t>二级指标</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5D627AB9">
            <w:pPr>
              <w:jc w:val="center"/>
            </w:pPr>
            <w:r>
              <w:rPr>
                <w:rFonts w:ascii="宋体" w:hAnsi="宋体" w:eastAsia="宋体"/>
                <w:sz w:val="16"/>
              </w:rPr>
              <w:t>三级指标</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0D332C8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245D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0AFE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D011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AF3D3">
            <w:pPr>
              <w:jc w:val="center"/>
            </w:pPr>
            <w:r>
              <w:rPr>
                <w:rFonts w:ascii="宋体" w:hAnsi="宋体" w:eastAsia="宋体"/>
                <w:sz w:val="16"/>
              </w:rPr>
              <w:t>得分</w:t>
            </w:r>
          </w:p>
        </w:tc>
      </w:tr>
      <w:tr w14:paraId="2E5242D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166B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9139E">
            <w:pPr>
              <w:jc w:val="center"/>
            </w:pPr>
            <w:r>
              <w:rPr>
                <w:rFonts w:ascii="宋体" w:hAnsi="宋体" w:eastAsia="宋体"/>
                <w:sz w:val="16"/>
              </w:rPr>
              <w:t>数量指标</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071EFA5">
            <w:pPr>
              <w:jc w:val="center"/>
            </w:pPr>
            <w:r>
              <w:rPr>
                <w:rFonts w:ascii="宋体" w:hAnsi="宋体" w:eastAsia="宋体"/>
                <w:sz w:val="16"/>
              </w:rPr>
              <w:t>义务教育学生人数</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48D5D877">
            <w:pPr>
              <w:jc w:val="center"/>
            </w:pPr>
            <w:r>
              <w:rPr>
                <w:rFonts w:ascii="宋体" w:hAnsi="宋体" w:eastAsia="宋体"/>
                <w:sz w:val="16"/>
              </w:rPr>
              <w:t>&gt;=542人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C5BCF">
            <w:pPr>
              <w:jc w:val="center"/>
            </w:pPr>
            <w:r>
              <w:rPr>
                <w:rFonts w:ascii="宋体" w:hAnsi="宋体" w:eastAsia="宋体"/>
                <w:sz w:val="16"/>
              </w:rPr>
              <w:t>教育事业综合统计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201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89896">
            <w:pPr>
              <w:jc w:val="center"/>
            </w:pPr>
            <w:r>
              <w:rPr>
                <w:rFonts w:ascii="宋体" w:hAnsi="宋体" w:eastAsia="宋体"/>
                <w:sz w:val="16"/>
              </w:rPr>
              <w:t>467人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F7973">
            <w:pPr>
              <w:jc w:val="center"/>
            </w:pPr>
            <w:r>
              <w:rPr>
                <w:rFonts w:ascii="宋体" w:hAnsi="宋体" w:eastAsia="宋体"/>
                <w:sz w:val="16"/>
              </w:rPr>
              <w:t>12.92</w:t>
            </w:r>
          </w:p>
        </w:tc>
      </w:tr>
      <w:tr w14:paraId="2A6EF9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EE99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C65E42"/>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549919C3">
            <w:pPr>
              <w:jc w:val="center"/>
            </w:pPr>
            <w:r>
              <w:rPr>
                <w:rFonts w:ascii="宋体" w:hAnsi="宋体" w:eastAsia="宋体"/>
                <w:sz w:val="16"/>
              </w:rPr>
              <w:t>适龄儿童入学率</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4575494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4FAA0">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3806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363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AC66C">
            <w:pPr>
              <w:jc w:val="center"/>
            </w:pPr>
            <w:r>
              <w:rPr>
                <w:rFonts w:ascii="宋体" w:hAnsi="宋体" w:eastAsia="宋体"/>
                <w:sz w:val="16"/>
              </w:rPr>
              <w:t>15</w:t>
            </w:r>
          </w:p>
        </w:tc>
      </w:tr>
      <w:tr w14:paraId="249623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AAAC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CF595D"/>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2FF389DF">
            <w:pPr>
              <w:jc w:val="center"/>
            </w:pPr>
            <w:r>
              <w:rPr>
                <w:rFonts w:ascii="宋体" w:hAnsi="宋体" w:eastAsia="宋体"/>
                <w:sz w:val="16"/>
              </w:rPr>
              <w:t>创办平安校园活动举办次数</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6D2AE318">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2DDB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42FE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EDACB">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CA7F7">
            <w:pPr>
              <w:jc w:val="center"/>
            </w:pPr>
            <w:r>
              <w:rPr>
                <w:rFonts w:ascii="宋体" w:hAnsi="宋体" w:eastAsia="宋体"/>
                <w:sz w:val="16"/>
              </w:rPr>
              <w:t>15</w:t>
            </w:r>
          </w:p>
        </w:tc>
      </w:tr>
      <w:tr w14:paraId="6D4A37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8AFE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7E5174"/>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49ABC18E">
            <w:pPr>
              <w:jc w:val="center"/>
            </w:pPr>
            <w:r>
              <w:rPr>
                <w:rFonts w:ascii="宋体" w:hAnsi="宋体" w:eastAsia="宋体"/>
                <w:sz w:val="16"/>
              </w:rPr>
              <w:t>消除义务教育大班额</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3757636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D1E64">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573B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F80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9830B">
            <w:pPr>
              <w:jc w:val="center"/>
            </w:pPr>
            <w:r>
              <w:rPr>
                <w:rFonts w:ascii="宋体" w:hAnsi="宋体" w:eastAsia="宋体"/>
                <w:sz w:val="16"/>
              </w:rPr>
              <w:t>15</w:t>
            </w:r>
          </w:p>
        </w:tc>
      </w:tr>
      <w:tr w14:paraId="577665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EDD8B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707DA">
            <w:pPr>
              <w:jc w:val="center"/>
            </w:pPr>
            <w:r>
              <w:rPr>
                <w:rFonts w:ascii="宋体" w:hAnsi="宋体" w:eastAsia="宋体"/>
                <w:sz w:val="16"/>
              </w:rPr>
              <w:t>质量指标</w:t>
            </w:r>
          </w:p>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0D7BD0D9">
            <w:pPr>
              <w:jc w:val="center"/>
            </w:pPr>
            <w:r>
              <w:rPr>
                <w:rFonts w:ascii="宋体" w:hAnsi="宋体" w:eastAsia="宋体"/>
                <w:sz w:val="16"/>
              </w:rPr>
              <w:t>国家通用语言文字教育教学</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78918D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5C1FF">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56BF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672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2F3E4">
            <w:pPr>
              <w:jc w:val="center"/>
            </w:pPr>
            <w:r>
              <w:rPr>
                <w:rFonts w:ascii="宋体" w:hAnsi="宋体" w:eastAsia="宋体"/>
                <w:sz w:val="16"/>
              </w:rPr>
              <w:t>15</w:t>
            </w:r>
          </w:p>
        </w:tc>
      </w:tr>
      <w:tr w14:paraId="006436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C407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29D673"/>
        </w:tc>
        <w:tc>
          <w:tcPr>
            <w:tcW w:w="885" w:type="dxa"/>
            <w:tcBorders>
              <w:top w:val="single" w:color="auto" w:sz="10" w:space="0"/>
              <w:left w:val="single" w:color="auto" w:sz="10" w:space="0"/>
              <w:bottom w:val="single" w:color="auto" w:sz="10" w:space="0"/>
              <w:right w:val="single" w:color="auto" w:sz="10" w:space="0"/>
              <w:insideV w:val="single" w:sz="10" w:space="0"/>
            </w:tcBorders>
            <w:vAlign w:val="center"/>
          </w:tcPr>
          <w:p w14:paraId="10C1525B">
            <w:pPr>
              <w:jc w:val="center"/>
            </w:pPr>
            <w:r>
              <w:rPr>
                <w:rFonts w:ascii="宋体" w:hAnsi="宋体" w:eastAsia="宋体"/>
                <w:sz w:val="16"/>
              </w:rPr>
              <w:t>义务教育优质均衡率</w:t>
            </w:r>
          </w:p>
        </w:tc>
        <w:tc>
          <w:tcPr>
            <w:tcW w:w="1325" w:type="dxa"/>
            <w:tcBorders>
              <w:top w:val="single" w:color="auto" w:sz="10" w:space="0"/>
              <w:left w:val="single" w:color="auto" w:sz="10" w:space="0"/>
              <w:bottom w:val="single" w:color="auto" w:sz="10" w:space="0"/>
              <w:right w:val="single" w:color="auto" w:sz="10" w:space="0"/>
              <w:insideV w:val="single" w:sz="10" w:space="0"/>
            </w:tcBorders>
            <w:vAlign w:val="center"/>
          </w:tcPr>
          <w:p w14:paraId="6DD0126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3D082">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4FEE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134E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DD331">
            <w:pPr>
              <w:jc w:val="center"/>
            </w:pPr>
            <w:r>
              <w:rPr>
                <w:rFonts w:ascii="宋体" w:hAnsi="宋体" w:eastAsia="宋体"/>
                <w:sz w:val="16"/>
              </w:rPr>
              <w:t>15</w:t>
            </w:r>
          </w:p>
        </w:tc>
      </w:tr>
    </w:tbl>
    <w:p w14:paraId="677272D4">
      <w:r>
        <w:br w:type="page"/>
      </w:r>
    </w:p>
    <w:p w14:paraId="3ED217B8">
      <w:pPr>
        <w:spacing w:line="640" w:lineRule="exact"/>
        <w:ind w:firstLine="640"/>
        <w:jc w:val="both"/>
        <w:outlineLvl w:val="2"/>
      </w:pPr>
      <w:r>
        <w:rPr>
          <w:rFonts w:ascii="黑体" w:hAnsi="黑体" w:eastAsia="黑体"/>
          <w:sz w:val="32"/>
        </w:rPr>
        <w:t>十二、其他需说明的事项</w:t>
      </w:r>
    </w:p>
    <w:p w14:paraId="18D56699">
      <w:pPr>
        <w:spacing w:line="580" w:lineRule="exact"/>
        <w:ind w:firstLine="640"/>
        <w:jc w:val="both"/>
      </w:pPr>
      <w:r>
        <w:rPr>
          <w:rFonts w:ascii="仿宋_GB2312" w:hAnsi="仿宋_GB2312" w:eastAsia="仿宋_GB2312"/>
          <w:b w:val="0"/>
          <w:sz w:val="32"/>
        </w:rPr>
        <w:t>本单位无其他需说明的事项。</w:t>
      </w:r>
    </w:p>
    <w:p w14:paraId="424A83C5">
      <w:r>
        <w:br w:type="page"/>
      </w:r>
    </w:p>
    <w:p w14:paraId="7D949FAD">
      <w:pPr>
        <w:spacing w:line="240" w:lineRule="auto"/>
        <w:jc w:val="center"/>
        <w:outlineLvl w:val="1"/>
      </w:pPr>
      <w:r>
        <w:rPr>
          <w:rFonts w:ascii="黑体" w:hAnsi="黑体" w:eastAsia="黑体"/>
          <w:sz w:val="32"/>
        </w:rPr>
        <w:t>第三部分 专业名词解释</w:t>
      </w:r>
    </w:p>
    <w:p w14:paraId="36F7E3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B8B6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40089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E0EB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BC98B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87DD3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0F98F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85A4F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8089B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7891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4AD46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28F47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7202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CCD7E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B104E8">
      <w:r>
        <w:br w:type="page"/>
      </w:r>
    </w:p>
    <w:p w14:paraId="55EEDF82">
      <w:pPr>
        <w:spacing w:line="240" w:lineRule="auto"/>
        <w:jc w:val="center"/>
        <w:outlineLvl w:val="1"/>
      </w:pPr>
      <w:r>
        <w:rPr>
          <w:rFonts w:ascii="黑体" w:hAnsi="黑体" w:eastAsia="黑体"/>
          <w:sz w:val="32"/>
        </w:rPr>
        <w:t>第四部分 部门决算报表（见附表）</w:t>
      </w:r>
    </w:p>
    <w:p w14:paraId="23316FDF">
      <w:pPr>
        <w:spacing w:line="240" w:lineRule="auto"/>
        <w:ind w:firstLine="640"/>
        <w:jc w:val="both"/>
      </w:pPr>
      <w:r>
        <w:rPr>
          <w:rFonts w:ascii="仿宋_GB2312" w:hAnsi="仿宋_GB2312" w:eastAsia="仿宋_GB2312"/>
          <w:b w:val="0"/>
          <w:sz w:val="32"/>
        </w:rPr>
        <w:t>一、《收入支出决算总表》</w:t>
      </w:r>
    </w:p>
    <w:p w14:paraId="00E20FF9">
      <w:pPr>
        <w:spacing w:line="240" w:lineRule="auto"/>
        <w:ind w:firstLine="640"/>
        <w:jc w:val="both"/>
      </w:pPr>
      <w:r>
        <w:rPr>
          <w:rFonts w:ascii="仿宋_GB2312" w:hAnsi="仿宋_GB2312" w:eastAsia="仿宋_GB2312"/>
          <w:b w:val="0"/>
          <w:sz w:val="32"/>
        </w:rPr>
        <w:t>二、《收入决算表》</w:t>
      </w:r>
    </w:p>
    <w:p w14:paraId="2D90525A">
      <w:pPr>
        <w:spacing w:line="240" w:lineRule="auto"/>
        <w:ind w:firstLine="640"/>
        <w:jc w:val="both"/>
      </w:pPr>
      <w:r>
        <w:rPr>
          <w:rFonts w:ascii="仿宋_GB2312" w:hAnsi="仿宋_GB2312" w:eastAsia="仿宋_GB2312"/>
          <w:b w:val="0"/>
          <w:sz w:val="32"/>
        </w:rPr>
        <w:t>三、《支出决算表》</w:t>
      </w:r>
    </w:p>
    <w:p w14:paraId="07B0D1F2">
      <w:pPr>
        <w:spacing w:line="240" w:lineRule="auto"/>
        <w:ind w:firstLine="640"/>
        <w:jc w:val="both"/>
      </w:pPr>
      <w:r>
        <w:rPr>
          <w:rFonts w:ascii="仿宋_GB2312" w:hAnsi="仿宋_GB2312" w:eastAsia="仿宋_GB2312"/>
          <w:b w:val="0"/>
          <w:sz w:val="32"/>
        </w:rPr>
        <w:t>四、《财政拨款收入支出决算总表》</w:t>
      </w:r>
    </w:p>
    <w:p w14:paraId="3CDF813F">
      <w:pPr>
        <w:spacing w:line="240" w:lineRule="auto"/>
        <w:ind w:firstLine="640"/>
        <w:jc w:val="both"/>
      </w:pPr>
      <w:r>
        <w:rPr>
          <w:rFonts w:ascii="仿宋_GB2312" w:hAnsi="仿宋_GB2312" w:eastAsia="仿宋_GB2312"/>
          <w:b w:val="0"/>
          <w:sz w:val="32"/>
        </w:rPr>
        <w:t>五、《一般公共预算财政拨款支出决算表》</w:t>
      </w:r>
    </w:p>
    <w:p w14:paraId="1B5CC625">
      <w:pPr>
        <w:spacing w:line="240" w:lineRule="auto"/>
        <w:ind w:firstLine="640"/>
        <w:jc w:val="both"/>
      </w:pPr>
      <w:r>
        <w:rPr>
          <w:rFonts w:ascii="仿宋_GB2312" w:hAnsi="仿宋_GB2312" w:eastAsia="仿宋_GB2312"/>
          <w:b w:val="0"/>
          <w:sz w:val="32"/>
        </w:rPr>
        <w:t>六、《一般公共预算财政拨款基本支出决算表》</w:t>
      </w:r>
    </w:p>
    <w:p w14:paraId="213ADDC2">
      <w:pPr>
        <w:spacing w:line="240" w:lineRule="auto"/>
        <w:ind w:firstLine="640"/>
        <w:jc w:val="both"/>
      </w:pPr>
      <w:r>
        <w:rPr>
          <w:rFonts w:ascii="仿宋_GB2312" w:hAnsi="仿宋_GB2312" w:eastAsia="仿宋_GB2312"/>
          <w:b w:val="0"/>
          <w:sz w:val="32"/>
        </w:rPr>
        <w:t>七、《政府性基金预算财政拨款收入支出决算表》</w:t>
      </w:r>
    </w:p>
    <w:p w14:paraId="43F2F8AC">
      <w:pPr>
        <w:spacing w:line="240" w:lineRule="auto"/>
        <w:ind w:firstLine="640"/>
        <w:jc w:val="both"/>
      </w:pPr>
      <w:r>
        <w:rPr>
          <w:rFonts w:ascii="仿宋_GB2312" w:hAnsi="仿宋_GB2312" w:eastAsia="仿宋_GB2312"/>
          <w:b w:val="0"/>
          <w:sz w:val="32"/>
        </w:rPr>
        <w:t>八、《国有资本经营预算财政拨款收入支出决算表》</w:t>
      </w:r>
    </w:p>
    <w:p w14:paraId="2C5440CC">
      <w:pPr>
        <w:spacing w:line="240" w:lineRule="auto"/>
        <w:ind w:firstLine="640"/>
        <w:jc w:val="both"/>
      </w:pPr>
      <w:r>
        <w:rPr>
          <w:rFonts w:ascii="仿宋_GB2312" w:hAnsi="仿宋_GB2312" w:eastAsia="仿宋_GB2312"/>
          <w:b w:val="0"/>
          <w:sz w:val="32"/>
        </w:rPr>
        <w:t>九、《财政拨款“三公”经费支出决算表》</w:t>
      </w:r>
    </w:p>
    <w:p w14:paraId="17DA2E7B">
      <w:pPr>
        <w:spacing w:line="240" w:lineRule="auto"/>
        <w:ind w:firstLine="640"/>
        <w:jc w:val="both"/>
      </w:pPr>
    </w:p>
    <w:p w14:paraId="158A6D30">
      <w:pPr>
        <w:spacing w:line="240" w:lineRule="auto"/>
        <w:ind w:firstLine="640"/>
        <w:jc w:val="both"/>
      </w:pPr>
    </w:p>
    <w:p w14:paraId="5AA42553">
      <w:pPr>
        <w:spacing w:line="240" w:lineRule="auto"/>
        <w:ind w:firstLine="640"/>
        <w:jc w:val="both"/>
      </w:pPr>
    </w:p>
    <w:p w14:paraId="2ABCD1F9">
      <w:pPr>
        <w:spacing w:line="240" w:lineRule="auto"/>
        <w:ind w:firstLine="640"/>
        <w:jc w:val="both"/>
      </w:pPr>
    </w:p>
    <w:p w14:paraId="30FEE1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811F04"/>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6936</Words>
  <Characters>7823</Characters>
  <Lines>0</Lines>
  <Paragraphs>0</Paragraphs>
  <TotalTime>1</TotalTime>
  <ScaleCrop>false</ScaleCrop>
  <LinksUpToDate>false</LinksUpToDate>
  <CharactersWithSpaces>7838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2025-09-25T02:27:35Z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