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霍城县应急管理局2024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0E2107AD">
      <w:r>
        <w:br w:type="page"/>
      </w:r>
    </w:p>
    <w:p w14:paraId="30F696BB">
      <w:pPr>
        <w:spacing w:line="640" w:lineRule="exact"/>
        <w:jc w:val="center"/>
        <w:outlineLvl w:val="1"/>
      </w:pPr>
      <w:r>
        <w:rPr>
          <w:rFonts w:ascii="黑体" w:hAnsi="黑体" w:eastAsia="黑体"/>
          <w:sz w:val="32"/>
        </w:rPr>
        <w:t>第一部分 单位概况</w:t>
      </w:r>
    </w:p>
    <w:p w14:paraId="698FB423">
      <w:pPr>
        <w:spacing w:line="640" w:lineRule="exact"/>
        <w:ind w:firstLine="640"/>
        <w:jc w:val="both"/>
        <w:outlineLvl w:val="2"/>
      </w:pPr>
      <w:r>
        <w:rPr>
          <w:rFonts w:ascii="黑体" w:hAnsi="黑体" w:eastAsia="黑体"/>
          <w:sz w:val="32"/>
        </w:rPr>
        <w:t>一、主要职能</w:t>
      </w:r>
    </w:p>
    <w:p w14:paraId="32C380D9">
      <w:pPr>
        <w:spacing w:line="580" w:lineRule="exact"/>
        <w:ind w:firstLine="640"/>
        <w:jc w:val="both"/>
      </w:pPr>
      <w:r>
        <w:rPr>
          <w:rFonts w:ascii="仿宋_GB2312" w:hAnsi="仿宋_GB2312" w:eastAsia="仿宋_GB2312"/>
          <w:sz w:val="32"/>
        </w:rPr>
        <w:t>（一）负责应急管理工作，指导各乡镇（中心）、各部门、各单位应对安全生产类、自然灾害类等突发事件和综合防灾减灾救灾工作。负责安全生产综合监督管理和工矿商贸行业安全生产监督管理工作。</w:t>
      </w:r>
    </w:p>
    <w:p w14:paraId="67A16E77">
      <w:pPr>
        <w:spacing w:line="580" w:lineRule="exact"/>
        <w:ind w:firstLine="640"/>
        <w:jc w:val="both"/>
      </w:pPr>
      <w:r>
        <w:rPr>
          <w:rFonts w:ascii="仿宋_GB2312" w:hAnsi="仿宋_GB2312" w:eastAsia="仿宋_GB2312"/>
          <w:sz w:val="32"/>
        </w:rPr>
        <w:t>（二）负责安全生产类、自然灾害类应急预案体系建设，建立完善事故灾难和自然灾害分级应对制度，组织编制总体应急预案和安全生产类、自然灾害类专项预案，综合协调应急预案衔接工作，组织开展预案演练，推动应急避难设施建设。</w:t>
      </w:r>
    </w:p>
    <w:p w14:paraId="04B26577">
      <w:pPr>
        <w:spacing w:line="580" w:lineRule="exact"/>
        <w:ind w:firstLine="640"/>
        <w:jc w:val="both"/>
      </w:pPr>
      <w:r>
        <w:rPr>
          <w:rFonts w:ascii="仿宋_GB2312" w:hAnsi="仿宋_GB2312" w:eastAsia="仿宋_GB2312"/>
          <w:sz w:val="32"/>
        </w:rPr>
        <w:t>（三）牵头建立统一的应急管理信息系统，负责落实信息传输渠道的规划和布局，建立监测预警和灾情报告制度，健全自然灾害信息资源获取和共享机制，依法统一发布灾情。</w:t>
      </w:r>
    </w:p>
    <w:p w14:paraId="260A66B6">
      <w:pPr>
        <w:spacing w:line="580" w:lineRule="exact"/>
        <w:ind w:firstLine="640"/>
        <w:jc w:val="both"/>
      </w:pPr>
      <w:r>
        <w:rPr>
          <w:rFonts w:ascii="仿宋_GB2312" w:hAnsi="仿宋_GB2312" w:eastAsia="仿宋_GB2312"/>
          <w:sz w:val="32"/>
        </w:rPr>
        <w:t>（四）统筹应急救援力量建设，协调消防、森林和草原火灾扑救、抗洪抢险、地震和地质灾害救援、生产安全事故救援专业应急救援力量建设，管理指挥综合性应急救援队伍，指导各乡镇（中心）及社会应急救援力量建设。</w:t>
      </w:r>
    </w:p>
    <w:p w14:paraId="148AEFAB">
      <w:pPr>
        <w:spacing w:line="580" w:lineRule="exact"/>
        <w:ind w:firstLine="640"/>
        <w:jc w:val="both"/>
      </w:pPr>
      <w:r>
        <w:rPr>
          <w:rFonts w:ascii="仿宋_GB2312" w:hAnsi="仿宋_GB2312" w:eastAsia="仿宋_GB2312"/>
          <w:sz w:val="32"/>
        </w:rPr>
        <w:t>（五）组织协调灾害救助工作，组织指导灾情核查、损失评估、救灾捐赠工作，管理、分配救灾款物并监督使用。</w:t>
      </w:r>
    </w:p>
    <w:p w14:paraId="793CBD46">
      <w:pPr>
        <w:spacing w:line="580" w:lineRule="exact"/>
        <w:ind w:firstLine="640"/>
        <w:jc w:val="both"/>
      </w:pPr>
      <w:r>
        <w:rPr>
          <w:rFonts w:ascii="仿宋_GB2312" w:hAnsi="仿宋_GB2312" w:eastAsia="仿宋_GB2312"/>
          <w:sz w:val="32"/>
        </w:rPr>
        <w:t>（六）依法行使安全生产综合监督管理职权，指导协调监督检查有关部门、乡镇（中心）人民政府安全生产工作，组织开展安全生产督查、考核工作。</w:t>
      </w:r>
    </w:p>
    <w:p w14:paraId="564B66C2">
      <w:pPr>
        <w:spacing w:line="580" w:lineRule="exact"/>
        <w:ind w:firstLine="640"/>
        <w:jc w:val="both"/>
      </w:pPr>
      <w:r>
        <w:rPr>
          <w:rFonts w:ascii="仿宋_GB2312" w:hAnsi="仿宋_GB2312" w:eastAsia="仿宋_GB2312"/>
          <w:sz w:val="32"/>
        </w:rPr>
        <w:t>（七）负责应急管理、安全生产宣传教育和培训工作。协助开展应急管理方面的对外交流与合作。加强、优化、统筹应急能力建设，构建统一领导、权责一致、权威高效的应急能力体系，推动形成统一指挥、专常兼备、反应灵敏、上下联动、平战结合的应急管理体制。</w:t>
      </w:r>
    </w:p>
    <w:p w14:paraId="58CFF141">
      <w:pPr>
        <w:spacing w:line="580" w:lineRule="exact"/>
        <w:ind w:firstLine="640"/>
        <w:jc w:val="both"/>
      </w:pPr>
      <w:r>
        <w:rPr>
          <w:rFonts w:ascii="仿宋_GB2312" w:hAnsi="仿宋_GB2312" w:eastAsia="仿宋_GB2312"/>
          <w:sz w:val="32"/>
        </w:rPr>
        <w:t>（八）坚持以防为主、防抗救结合，坚持常态减灾和非常态救灾相统一，努力实现从注重灾后救助向注重灾前预防转变，从应对单一灾种向综合减灾转变，从减少灾害损失向减轻灾害风险转变，提高应急管理水平和防灾减灾救灾能力，防范化解重大安全风险。坚持以人为本，把确保人民群众生命安全放在首位，确保受灾群众基本生活。加强应急预案演练，增强公民防灾减灾意识，提升公众知识普及和自救互救技能，切实减少人员伤亡和财产损失。树立安全发展理念，坚持生命至上、安全第一，落实安全生产责任，坚决遏制重特大安全事故。严格按照“企业安全生产基础建设年”及国家、自治区、州直安全生产工作会议总体要求和部署，牢固树立科学发展、安全发展理念，充分发挥政府综合监管职能，进一步强化措施，狠抓落实，最大限度地减少了各类安全生产事故的发生，确保了全县安全生产总体形势稳定好转。</w:t>
      </w:r>
    </w:p>
    <w:p w14:paraId="2F0BE2E8">
      <w:pPr>
        <w:spacing w:line="640" w:lineRule="exact"/>
        <w:ind w:firstLine="640"/>
        <w:jc w:val="both"/>
        <w:outlineLvl w:val="2"/>
      </w:pPr>
      <w:r>
        <w:rPr>
          <w:rFonts w:ascii="黑体" w:hAnsi="黑体" w:eastAsia="黑体"/>
          <w:sz w:val="32"/>
        </w:rPr>
        <w:t>二、机构设置及人员情况</w:t>
      </w:r>
    </w:p>
    <w:p w14:paraId="03ADC6B5">
      <w:pPr>
        <w:spacing w:line="580" w:lineRule="exact"/>
        <w:ind w:firstLine="640"/>
        <w:jc w:val="both"/>
      </w:pPr>
      <w:r>
        <w:rPr>
          <w:rFonts w:ascii="仿宋_GB2312" w:hAnsi="仿宋_GB2312" w:eastAsia="仿宋_GB2312"/>
          <w:sz w:val="32"/>
        </w:rPr>
        <w:t>霍城县应急管理局2024年度，实有人数49人，其中：在职人员38人，增加3人；离休人员0人，增加0人；退休人员11人,增加0人。</w:t>
      </w:r>
    </w:p>
    <w:p w14:paraId="09900165">
      <w:pPr>
        <w:spacing w:line="580" w:lineRule="exact"/>
        <w:ind w:firstLine="640"/>
        <w:jc w:val="both"/>
      </w:pPr>
      <w:r>
        <w:rPr>
          <w:rFonts w:ascii="仿宋_GB2312" w:hAnsi="仿宋_GB2312" w:eastAsia="仿宋_GB2312"/>
          <w:sz w:val="32"/>
        </w:rPr>
        <w:t>霍城县应急管理局无下属预算单位，下设5个科室，分别是：霍城县应急管理行政办公室、霍城县应急管理综合行政执法大队、霍城县应急救援信息中心、霍城县矿山安全服务保障中心、霍城县消防救援大队。</w:t>
      </w:r>
    </w:p>
    <w:p w14:paraId="6448F13E">
      <w:r>
        <w:br w:type="page"/>
      </w:r>
    </w:p>
    <w:p w14:paraId="100E7B4F">
      <w:pPr>
        <w:spacing w:line="240" w:lineRule="auto"/>
        <w:jc w:val="center"/>
        <w:outlineLvl w:val="1"/>
      </w:pPr>
      <w:r>
        <w:rPr>
          <w:rFonts w:ascii="黑体" w:hAnsi="黑体" w:eastAsia="黑体"/>
          <w:sz w:val="32"/>
        </w:rPr>
        <w:t>第二部分 部门决算情况说明</w:t>
      </w:r>
    </w:p>
    <w:p w14:paraId="1247283D">
      <w:pPr>
        <w:spacing w:line="640" w:lineRule="exact"/>
        <w:ind w:firstLine="640"/>
        <w:jc w:val="both"/>
        <w:outlineLvl w:val="2"/>
      </w:pPr>
      <w:r>
        <w:rPr>
          <w:rFonts w:ascii="黑体" w:hAnsi="黑体" w:eastAsia="黑体"/>
          <w:sz w:val="32"/>
        </w:rPr>
        <w:t>一、收入支出决算总体情况说明</w:t>
      </w:r>
    </w:p>
    <w:p w14:paraId="497313EF">
      <w:pPr>
        <w:spacing w:line="580" w:lineRule="exact"/>
        <w:ind w:firstLine="640"/>
        <w:jc w:val="both"/>
      </w:pPr>
      <w:r>
        <w:rPr>
          <w:rFonts w:ascii="仿宋_GB2312" w:hAnsi="仿宋_GB2312" w:eastAsia="仿宋_GB2312"/>
          <w:b/>
          <w:sz w:val="32"/>
        </w:rPr>
        <w:t>2024年度收入总计1,196.55万元，</w:t>
      </w:r>
      <w:r>
        <w:rPr>
          <w:rFonts w:ascii="仿宋_GB2312" w:hAnsi="仿宋_GB2312" w:eastAsia="仿宋_GB2312"/>
          <w:b w:val="0"/>
          <w:sz w:val="32"/>
        </w:rPr>
        <w:t>其中：本年收入合计1,196.55万元，使用非财政拨款结余（含专用结余）0.00万元，年初结转和结余0.00万元。</w:t>
      </w:r>
    </w:p>
    <w:p w14:paraId="7B2EC49D">
      <w:pPr>
        <w:spacing w:line="580" w:lineRule="exact"/>
        <w:ind w:firstLine="640"/>
        <w:jc w:val="both"/>
      </w:pPr>
      <w:r>
        <w:rPr>
          <w:rFonts w:ascii="仿宋_GB2312" w:hAnsi="仿宋_GB2312" w:eastAsia="仿宋_GB2312"/>
          <w:b/>
          <w:sz w:val="32"/>
        </w:rPr>
        <w:t>2024年度支出总计1,196.55万元，</w:t>
      </w:r>
      <w:r>
        <w:rPr>
          <w:rFonts w:ascii="仿宋_GB2312" w:hAnsi="仿宋_GB2312" w:eastAsia="仿宋_GB2312"/>
          <w:b w:val="0"/>
          <w:sz w:val="32"/>
        </w:rPr>
        <w:t>其中：本年支出合计1,196.55万元，结余分配0.00万元，年末结转和结余0.00万元。</w:t>
      </w:r>
    </w:p>
    <w:p w14:paraId="0D32D225">
      <w:pPr>
        <w:spacing w:line="580" w:lineRule="exact"/>
        <w:ind w:firstLine="640"/>
        <w:jc w:val="both"/>
      </w:pPr>
      <w:r>
        <w:rPr>
          <w:rFonts w:ascii="仿宋_GB2312" w:hAnsi="仿宋_GB2312" w:eastAsia="仿宋_GB2312"/>
          <w:b w:val="0"/>
          <w:sz w:val="32"/>
        </w:rPr>
        <w:t>收入支出总体与上年相比，减少55.01万元，下降4.40%，主要原因是：本年减少综合训练室资金、消防车资金。</w:t>
      </w:r>
    </w:p>
    <w:p w14:paraId="40EE1FC9">
      <w:pPr>
        <w:spacing w:line="640" w:lineRule="exact"/>
        <w:ind w:firstLine="640"/>
        <w:jc w:val="both"/>
        <w:outlineLvl w:val="2"/>
      </w:pPr>
      <w:r>
        <w:rPr>
          <w:rFonts w:ascii="黑体" w:hAnsi="黑体" w:eastAsia="黑体"/>
          <w:sz w:val="32"/>
        </w:rPr>
        <w:t>二、收入决算情况说明</w:t>
      </w:r>
    </w:p>
    <w:p w14:paraId="7F2D4363">
      <w:pPr>
        <w:spacing w:line="580" w:lineRule="exact"/>
        <w:ind w:firstLine="640"/>
        <w:jc w:val="both"/>
      </w:pPr>
      <w:r>
        <w:rPr>
          <w:rFonts w:ascii="仿宋_GB2312" w:hAnsi="仿宋_GB2312" w:eastAsia="仿宋_GB2312"/>
          <w:b/>
          <w:sz w:val="32"/>
        </w:rPr>
        <w:t>本年收入1,196.55万元，</w:t>
      </w:r>
      <w:r>
        <w:rPr>
          <w:rFonts w:ascii="仿宋_GB2312" w:hAnsi="仿宋_GB2312" w:eastAsia="仿宋_GB2312"/>
          <w:b w:val="0"/>
          <w:sz w:val="32"/>
        </w:rPr>
        <w:t>其中：财政拨款收入1,196.55万元，占100.00%；上级补助收入0.00万元，占0.00%；事业收入0.00万元，占0.00%；经营收入0.00万元，占0.00%；附属单位上缴收入0.00万元，占0.00%；其他收入0.00万元，占0.00%。</w:t>
      </w:r>
    </w:p>
    <w:p w14:paraId="124F653F">
      <w:pPr>
        <w:spacing w:line="640" w:lineRule="exact"/>
        <w:ind w:firstLine="640"/>
        <w:jc w:val="both"/>
        <w:outlineLvl w:val="2"/>
      </w:pPr>
      <w:r>
        <w:rPr>
          <w:rFonts w:ascii="黑体" w:hAnsi="黑体" w:eastAsia="黑体"/>
          <w:sz w:val="32"/>
        </w:rPr>
        <w:t>三、支出决算情况说明</w:t>
      </w:r>
    </w:p>
    <w:p w14:paraId="3F2BF1F9">
      <w:pPr>
        <w:spacing w:line="580" w:lineRule="exact"/>
        <w:ind w:firstLine="640"/>
        <w:jc w:val="both"/>
      </w:pPr>
      <w:r>
        <w:rPr>
          <w:rFonts w:ascii="仿宋_GB2312" w:hAnsi="仿宋_GB2312" w:eastAsia="仿宋_GB2312"/>
          <w:b/>
          <w:sz w:val="32"/>
        </w:rPr>
        <w:t>本年支出1,196.55万元，</w:t>
      </w:r>
      <w:r>
        <w:rPr>
          <w:rFonts w:ascii="仿宋_GB2312" w:hAnsi="仿宋_GB2312" w:eastAsia="仿宋_GB2312"/>
          <w:b w:val="0"/>
          <w:sz w:val="32"/>
        </w:rPr>
        <w:t>其中：基本支出843.52万元，占70.50%；项目支出353.03万元，占29.50%；上缴上级支出0.00万元，占0.00%；经营支出0.00万元，占0.00%；对附属单位补助支出0.00万元，占0.00%。</w:t>
      </w:r>
    </w:p>
    <w:p w14:paraId="2757B4CE">
      <w:pPr>
        <w:spacing w:line="640" w:lineRule="exact"/>
        <w:ind w:firstLine="640"/>
        <w:jc w:val="both"/>
        <w:outlineLvl w:val="2"/>
      </w:pPr>
      <w:r>
        <w:rPr>
          <w:rFonts w:ascii="黑体" w:hAnsi="黑体" w:eastAsia="黑体"/>
          <w:sz w:val="32"/>
        </w:rPr>
        <w:t>四、财政拨款收入支出决算总体情况说明</w:t>
      </w:r>
    </w:p>
    <w:p w14:paraId="75A3AAE8">
      <w:pPr>
        <w:spacing w:line="580" w:lineRule="exact"/>
        <w:ind w:firstLine="640"/>
        <w:jc w:val="both"/>
      </w:pPr>
      <w:r>
        <w:rPr>
          <w:rFonts w:ascii="仿宋_GB2312" w:hAnsi="仿宋_GB2312" w:eastAsia="仿宋_GB2312"/>
          <w:b/>
          <w:sz w:val="32"/>
        </w:rPr>
        <w:t>2024年度财政拨款收入总计1,196.55万元，</w:t>
      </w:r>
      <w:r>
        <w:rPr>
          <w:rFonts w:ascii="仿宋_GB2312" w:hAnsi="仿宋_GB2312" w:eastAsia="仿宋_GB2312"/>
          <w:b w:val="0"/>
          <w:sz w:val="32"/>
        </w:rPr>
        <w:t>其中：年初财政拨款结转和结余0.00万元，本年财政拨款收入1,196.55万元。</w:t>
      </w:r>
      <w:r>
        <w:rPr>
          <w:rFonts w:ascii="仿宋_GB2312" w:hAnsi="仿宋_GB2312" w:eastAsia="仿宋_GB2312"/>
          <w:b/>
          <w:sz w:val="32"/>
        </w:rPr>
        <w:t>财政拨款支出总计1,196.55万元，</w:t>
      </w:r>
      <w:r>
        <w:rPr>
          <w:rFonts w:ascii="仿宋_GB2312" w:hAnsi="仿宋_GB2312" w:eastAsia="仿宋_GB2312"/>
          <w:b w:val="0"/>
          <w:sz w:val="32"/>
        </w:rPr>
        <w:t>其中：年末财政拨款结转和结余0.00万元，本年财政拨款支出1,196.55万元。</w:t>
      </w:r>
    </w:p>
    <w:p w14:paraId="200FCDBE">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减少55.01万元，下降4.40%，主要原因是：本年减少综合训练室资金、消防车资金。</w:t>
      </w:r>
      <w:r>
        <w:rPr>
          <w:rFonts w:ascii="仿宋_GB2312" w:hAnsi="仿宋_GB2312" w:eastAsia="仿宋_GB2312"/>
          <w:b/>
          <w:sz w:val="32"/>
        </w:rPr>
        <w:t>与年初预算相比，</w:t>
      </w:r>
      <w:r>
        <w:rPr>
          <w:rFonts w:ascii="仿宋_GB2312" w:hAnsi="仿宋_GB2312" w:eastAsia="仿宋_GB2312"/>
          <w:b w:val="0"/>
          <w:sz w:val="32"/>
        </w:rPr>
        <w:t>年初预算数883.92万元，决算数1,196.55万元，预决算差异率35.37%，主要原因是：1、年中追加灾害风险防治支出、保障消防救援大队工作项目支出；2、年中追加人员工资、社保、公积金基数调增部分资金，导致预决算存在差异。</w:t>
      </w:r>
    </w:p>
    <w:p w14:paraId="720C4EB3">
      <w:pPr>
        <w:spacing w:line="640" w:lineRule="exact"/>
        <w:ind w:firstLine="640"/>
        <w:jc w:val="both"/>
        <w:outlineLvl w:val="2"/>
      </w:pPr>
      <w:r>
        <w:rPr>
          <w:rFonts w:ascii="黑体" w:hAnsi="黑体" w:eastAsia="黑体"/>
          <w:sz w:val="32"/>
        </w:rPr>
        <w:t>五、一般公共预算财政拨款支出决算情况说明</w:t>
      </w:r>
    </w:p>
    <w:p w14:paraId="6BDF5170">
      <w:pPr>
        <w:spacing w:line="640" w:lineRule="exact"/>
        <w:ind w:firstLine="640"/>
        <w:jc w:val="both"/>
        <w:outlineLvl w:val="3"/>
      </w:pPr>
      <w:r>
        <w:rPr>
          <w:rFonts w:ascii="楷体_GB2312" w:hAnsi="楷体_GB2312" w:eastAsia="楷体_GB2312"/>
          <w:b/>
          <w:sz w:val="32"/>
        </w:rPr>
        <w:t>（一）一般公共预算财政拨款支出决算总体情况</w:t>
      </w:r>
    </w:p>
    <w:p w14:paraId="1CBA2F06">
      <w:pPr>
        <w:spacing w:line="580" w:lineRule="exact"/>
        <w:ind w:firstLine="640"/>
        <w:jc w:val="both"/>
      </w:pPr>
      <w:r>
        <w:rPr>
          <w:rFonts w:ascii="仿宋_GB2312" w:hAnsi="仿宋_GB2312" w:eastAsia="仿宋_GB2312"/>
          <w:b/>
          <w:sz w:val="32"/>
        </w:rPr>
        <w:t>2024年度一般公共预算财政拨款支出1,196.55万元，</w:t>
      </w:r>
      <w:r>
        <w:rPr>
          <w:rFonts w:ascii="仿宋_GB2312" w:hAnsi="仿宋_GB2312" w:eastAsia="仿宋_GB2312"/>
          <w:b w:val="0"/>
          <w:sz w:val="32"/>
        </w:rPr>
        <w:t>占本年支出合计的100.00%。</w:t>
      </w:r>
      <w:r>
        <w:rPr>
          <w:rFonts w:ascii="仿宋_GB2312" w:hAnsi="仿宋_GB2312" w:eastAsia="仿宋_GB2312"/>
          <w:b/>
          <w:sz w:val="32"/>
        </w:rPr>
        <w:t>与上年相比，</w:t>
      </w:r>
      <w:r>
        <w:rPr>
          <w:rFonts w:ascii="仿宋_GB2312" w:hAnsi="仿宋_GB2312" w:eastAsia="仿宋_GB2312"/>
          <w:b w:val="0"/>
          <w:sz w:val="32"/>
        </w:rPr>
        <w:t>减少55.01万元，下降4.40%，主要原因是：本年减少综合训练室资金、消防车资金。</w:t>
      </w:r>
      <w:r>
        <w:rPr>
          <w:rFonts w:ascii="仿宋_GB2312" w:hAnsi="仿宋_GB2312" w:eastAsia="仿宋_GB2312"/>
          <w:b/>
          <w:sz w:val="32"/>
        </w:rPr>
        <w:t>与年初预算相比,</w:t>
      </w:r>
      <w:r>
        <w:rPr>
          <w:rFonts w:ascii="仿宋_GB2312" w:hAnsi="仿宋_GB2312" w:eastAsia="仿宋_GB2312"/>
          <w:b w:val="0"/>
          <w:sz w:val="32"/>
        </w:rPr>
        <w:t>年初预算数883.92万元，决算数1,196.55万元，预决算差异率35.37%，主要原因是：1、年中追加灾害风险防治支出、保障消防救援大队工作项目支出；2、年中追加人员工资、社保、公积金基数调增部分资金，导致预决算存在差异。</w:t>
      </w:r>
    </w:p>
    <w:p w14:paraId="6E0852D4">
      <w:pPr>
        <w:spacing w:line="640" w:lineRule="exact"/>
        <w:ind w:firstLine="640"/>
        <w:jc w:val="both"/>
        <w:outlineLvl w:val="3"/>
      </w:pPr>
      <w:r>
        <w:rPr>
          <w:rFonts w:ascii="楷体_GB2312" w:hAnsi="楷体_GB2312" w:eastAsia="楷体_GB2312"/>
          <w:b/>
          <w:sz w:val="32"/>
        </w:rPr>
        <w:t>（二）一般公共预算财政拨款支出决算结构情况</w:t>
      </w:r>
    </w:p>
    <w:p w14:paraId="0F527A94">
      <w:pPr>
        <w:spacing w:line="580" w:lineRule="exact"/>
        <w:ind w:firstLine="640"/>
        <w:jc w:val="both"/>
      </w:pPr>
      <w:r>
        <w:rPr>
          <w:rFonts w:ascii="仿宋_GB2312" w:hAnsi="仿宋_GB2312" w:eastAsia="仿宋_GB2312"/>
          <w:b w:val="0"/>
          <w:sz w:val="32"/>
        </w:rPr>
        <w:t>1.科学技术支出(类)94.16万元,占7.87%。</w:t>
      </w:r>
    </w:p>
    <w:p w14:paraId="68A46416">
      <w:pPr>
        <w:spacing w:line="580" w:lineRule="exact"/>
        <w:ind w:firstLine="640"/>
        <w:jc w:val="both"/>
      </w:pPr>
      <w:r>
        <w:rPr>
          <w:rFonts w:ascii="仿宋_GB2312" w:hAnsi="仿宋_GB2312" w:eastAsia="仿宋_GB2312"/>
          <w:b w:val="0"/>
          <w:sz w:val="32"/>
        </w:rPr>
        <w:t>2.社会保障和就业支出(类)70.24万元,占5.87%。</w:t>
      </w:r>
    </w:p>
    <w:p w14:paraId="6F079983">
      <w:pPr>
        <w:spacing w:line="580" w:lineRule="exact"/>
        <w:ind w:firstLine="640"/>
        <w:jc w:val="both"/>
      </w:pPr>
      <w:r>
        <w:rPr>
          <w:rFonts w:ascii="仿宋_GB2312" w:hAnsi="仿宋_GB2312" w:eastAsia="仿宋_GB2312"/>
          <w:b w:val="0"/>
          <w:sz w:val="32"/>
        </w:rPr>
        <w:t>3.卫生健康支出(类)31.08万元,占2.60%。</w:t>
      </w:r>
    </w:p>
    <w:p w14:paraId="0E9106FA">
      <w:pPr>
        <w:spacing w:line="580" w:lineRule="exact"/>
        <w:ind w:firstLine="640"/>
        <w:jc w:val="both"/>
      </w:pPr>
      <w:r>
        <w:rPr>
          <w:rFonts w:ascii="仿宋_GB2312" w:hAnsi="仿宋_GB2312" w:eastAsia="仿宋_GB2312"/>
          <w:b w:val="0"/>
          <w:sz w:val="32"/>
        </w:rPr>
        <w:t>4.住房保障支出(类)49.62万元,占4.15%。</w:t>
      </w:r>
    </w:p>
    <w:p w14:paraId="1F0549DA">
      <w:pPr>
        <w:spacing w:line="580" w:lineRule="exact"/>
        <w:ind w:firstLine="640"/>
        <w:jc w:val="both"/>
      </w:pPr>
      <w:r>
        <w:rPr>
          <w:rFonts w:ascii="仿宋_GB2312" w:hAnsi="仿宋_GB2312" w:eastAsia="仿宋_GB2312"/>
          <w:b w:val="0"/>
          <w:sz w:val="32"/>
        </w:rPr>
        <w:t>5.灾害防治及应急管理支出(类)951.44万元,占79.52%。</w:t>
      </w:r>
    </w:p>
    <w:p w14:paraId="59B6EF0C">
      <w:pPr>
        <w:spacing w:line="640" w:lineRule="exact"/>
        <w:ind w:firstLine="640"/>
        <w:jc w:val="both"/>
        <w:outlineLvl w:val="3"/>
      </w:pPr>
      <w:r>
        <w:rPr>
          <w:rFonts w:ascii="楷体_GB2312" w:hAnsi="楷体_GB2312" w:eastAsia="楷体_GB2312"/>
          <w:b/>
          <w:sz w:val="32"/>
        </w:rPr>
        <w:t>（三）一般公共预算财政拨款支出决算具体情况</w:t>
      </w:r>
    </w:p>
    <w:p w14:paraId="2EDE0D39">
      <w:pPr>
        <w:spacing w:line="580" w:lineRule="exact"/>
        <w:ind w:firstLine="640"/>
        <w:jc w:val="both"/>
      </w:pPr>
      <w:r>
        <w:rPr>
          <w:rFonts w:ascii="仿宋_GB2312" w:hAnsi="仿宋_GB2312" w:eastAsia="仿宋_GB2312"/>
          <w:b w:val="0"/>
          <w:sz w:val="32"/>
        </w:rPr>
        <w:t>1.科学技术支出(类)科技条件与服务(款)其他科技条件与服务支出(项):支出决算数为94.16万元，比上年决算增加94.16万元，增长100.00%,主要原因是：本年新增保障消防救援大队工作项目支出。</w:t>
      </w:r>
    </w:p>
    <w:p w14:paraId="4F2F9397">
      <w:pPr>
        <w:spacing w:line="580" w:lineRule="exact"/>
        <w:ind w:firstLine="640"/>
        <w:jc w:val="both"/>
      </w:pPr>
      <w:r>
        <w:rPr>
          <w:rFonts w:ascii="仿宋_GB2312" w:hAnsi="仿宋_GB2312" w:eastAsia="仿宋_GB2312"/>
          <w:b w:val="0"/>
          <w:sz w:val="32"/>
        </w:rPr>
        <w:t>2.社会保障和就业支出(类)行政事业单位养老支出(款)行政单位离退休(项):支出决算数为5.73万元，比上年决算增加3.15万元，增长122.09%,主要原因是：本年增加行政退休人员基础绩效奖，退休费支出增加。</w:t>
      </w:r>
    </w:p>
    <w:p w14:paraId="26216ACF">
      <w:pPr>
        <w:spacing w:line="580" w:lineRule="exact"/>
        <w:ind w:firstLine="640"/>
        <w:jc w:val="both"/>
      </w:pPr>
      <w:r>
        <w:rPr>
          <w:rFonts w:ascii="仿宋_GB2312" w:hAnsi="仿宋_GB2312" w:eastAsia="仿宋_GB2312"/>
          <w:b w:val="0"/>
          <w:sz w:val="32"/>
        </w:rPr>
        <w:t>3.社会保障和就业支出(类)行政事业单位养老支出(款)事业单位离退休(项):支出决算数为3.02万元，比上年决算增加2.84万元，增长1,577.78%,主要原因是：本年增加事业退休人员基础绩效奖，退休费支出增加。</w:t>
      </w:r>
    </w:p>
    <w:p w14:paraId="77C0BAA9">
      <w:pPr>
        <w:spacing w:line="580" w:lineRule="exact"/>
        <w:ind w:firstLine="640"/>
        <w:jc w:val="both"/>
      </w:pPr>
      <w:r>
        <w:rPr>
          <w:rFonts w:ascii="仿宋_GB2312" w:hAnsi="仿宋_GB2312" w:eastAsia="仿宋_GB2312"/>
          <w:b w:val="0"/>
          <w:sz w:val="32"/>
        </w:rPr>
        <w:t>4.社会保障和就业支出(类)行政事业单位养老支出(款)机关事业单位基本养老保险缴费支出(项):支出决算数为61.50万元，比上年决算增加11.59万元，增长23.22%,主要原因是：1、本年在职人员工资基数调增，养老缴费基数上涨，相应支出增加；2、本年在职人员增加，养老保险缴费较上年增加。</w:t>
      </w:r>
    </w:p>
    <w:p w14:paraId="53855223">
      <w:pPr>
        <w:spacing w:line="580" w:lineRule="exact"/>
        <w:ind w:firstLine="640"/>
        <w:jc w:val="both"/>
      </w:pPr>
      <w:r>
        <w:rPr>
          <w:rFonts w:ascii="仿宋_GB2312" w:hAnsi="仿宋_GB2312" w:eastAsia="仿宋_GB2312"/>
          <w:b w:val="0"/>
          <w:sz w:val="32"/>
        </w:rPr>
        <w:t>5.社会保障和就业支出(类)行政事业单位养老支出(款)机关事业单位职业年金缴费支出(项):支出决算数为0.00万元，比上年决算减少16.63万元，下降100.00%,主要原因是：本年无新增退休人员，职业年金缴费较上年减少。</w:t>
      </w:r>
    </w:p>
    <w:p w14:paraId="5859F461">
      <w:pPr>
        <w:spacing w:line="580" w:lineRule="exact"/>
        <w:ind w:firstLine="640"/>
        <w:jc w:val="both"/>
      </w:pPr>
      <w:r>
        <w:rPr>
          <w:rFonts w:ascii="仿宋_GB2312" w:hAnsi="仿宋_GB2312" w:eastAsia="仿宋_GB2312"/>
          <w:b w:val="0"/>
          <w:sz w:val="32"/>
        </w:rPr>
        <w:t>6.卫生健康支出(类)行政事业单位医疗(款)行政单位医疗(项):支出决算数为17.02万元，比上年决算减少4.40万元，下降20.54%,主要原因是：因退休人员医疗保险制度改革，退休人员基本医疗不再由单位缴纳，导致经费较上年减少。</w:t>
      </w:r>
    </w:p>
    <w:p w14:paraId="24711FEE">
      <w:pPr>
        <w:spacing w:line="580" w:lineRule="exact"/>
        <w:ind w:firstLine="640"/>
        <w:jc w:val="both"/>
      </w:pPr>
      <w:r>
        <w:rPr>
          <w:rFonts w:ascii="仿宋_GB2312" w:hAnsi="仿宋_GB2312" w:eastAsia="仿宋_GB2312"/>
          <w:b w:val="0"/>
          <w:sz w:val="32"/>
        </w:rPr>
        <w:t>7.卫生健康支出(类)行政事业单位医疗(款)事业单位医疗(项):支出决算数为13.73万元，比上年决算增加4.48万元，增长48.43%,主要原因是：1、本年事业在职人员工资基数调增，医疗缴费基数上涨，相应支出增加；2、本年事业在职人员增加，事业单位医疗支出较上年增加。</w:t>
      </w:r>
    </w:p>
    <w:p w14:paraId="2763920E">
      <w:pPr>
        <w:spacing w:line="580" w:lineRule="exact"/>
        <w:ind w:firstLine="640"/>
        <w:jc w:val="both"/>
      </w:pPr>
      <w:r>
        <w:rPr>
          <w:rFonts w:ascii="仿宋_GB2312" w:hAnsi="仿宋_GB2312" w:eastAsia="仿宋_GB2312"/>
          <w:b w:val="0"/>
          <w:sz w:val="32"/>
        </w:rPr>
        <w:t>8.卫生健康支出(类)行政事业单位医疗(款)公务员医疗补助(项):支出决算数为0.33万元，比上年决算减少0.58万元，下降63.74%,主要原因是：因退休人员医疗保险制度改革，退休人员基本医疗不再由单位缴纳，导致经费较上年减少。</w:t>
      </w:r>
    </w:p>
    <w:p w14:paraId="74CC84D4">
      <w:pPr>
        <w:spacing w:line="580" w:lineRule="exact"/>
        <w:ind w:firstLine="640"/>
        <w:jc w:val="both"/>
      </w:pPr>
      <w:r>
        <w:rPr>
          <w:rFonts w:ascii="仿宋_GB2312" w:hAnsi="仿宋_GB2312" w:eastAsia="仿宋_GB2312"/>
          <w:b w:val="0"/>
          <w:sz w:val="32"/>
        </w:rPr>
        <w:t>9.住房保障支出(类)住房改革支出(款)住房公积金(项):支出决算数为49.62万元，比上年决算增加8.56万元，增长20.85%,主要原因是：1、本年在职人员工资基数调增，公积金缴费基数上涨，相应支出增加；2、本年在职人员增加，住房公积金支出较上年增加。</w:t>
      </w:r>
    </w:p>
    <w:p w14:paraId="7D571912">
      <w:pPr>
        <w:spacing w:line="580" w:lineRule="exact"/>
        <w:ind w:firstLine="640"/>
        <w:jc w:val="both"/>
      </w:pPr>
      <w:r>
        <w:rPr>
          <w:rFonts w:ascii="仿宋_GB2312" w:hAnsi="仿宋_GB2312" w:eastAsia="仿宋_GB2312"/>
          <w:b w:val="0"/>
          <w:sz w:val="32"/>
        </w:rPr>
        <w:t>10.灾害防治及应急管理支出(类)应急管理事务(款)灾害风险防治(项):支出决算数为102.00万元，比上年决算增加102.00万元，增长100.00%,主要原因是：本年增加灾害风险防治资金用于灾害防治。</w:t>
      </w:r>
    </w:p>
    <w:p w14:paraId="4AE5FFA0">
      <w:pPr>
        <w:spacing w:line="580" w:lineRule="exact"/>
        <w:ind w:firstLine="640"/>
        <w:jc w:val="both"/>
      </w:pPr>
      <w:r>
        <w:rPr>
          <w:rFonts w:ascii="仿宋_GB2312" w:hAnsi="仿宋_GB2312" w:eastAsia="仿宋_GB2312"/>
          <w:b w:val="0"/>
          <w:sz w:val="32"/>
        </w:rPr>
        <w:t>11.灾害防治及应急管理支出(类)应急管理事务(款)安全监管(项):支出决算数为457.71万元，比上年决算增加21.43万元，增长4.91%,主要原因是：本年基本工资调资、工资正常晋升，人员经费增加。</w:t>
      </w:r>
    </w:p>
    <w:p w14:paraId="32530DB1">
      <w:pPr>
        <w:spacing w:line="580" w:lineRule="exact"/>
        <w:ind w:firstLine="640"/>
        <w:jc w:val="both"/>
      </w:pPr>
      <w:r>
        <w:rPr>
          <w:rFonts w:ascii="仿宋_GB2312" w:hAnsi="仿宋_GB2312" w:eastAsia="仿宋_GB2312"/>
          <w:b w:val="0"/>
          <w:sz w:val="32"/>
        </w:rPr>
        <w:t>12.灾害防治及应急管理支出(类)消防救援事务(款)消防应急救援(项):支出决算数为328.36万元，比上年决算减少238.37万元，下降42.06%,主要原因是：本年减少综合训练室资金、消防车资金。</w:t>
      </w:r>
    </w:p>
    <w:p w14:paraId="5103AAB9">
      <w:pPr>
        <w:spacing w:line="580" w:lineRule="exact"/>
        <w:ind w:firstLine="640"/>
        <w:jc w:val="both"/>
      </w:pPr>
      <w:r>
        <w:rPr>
          <w:rFonts w:ascii="仿宋_GB2312" w:hAnsi="仿宋_GB2312" w:eastAsia="仿宋_GB2312"/>
          <w:b w:val="0"/>
          <w:sz w:val="32"/>
        </w:rPr>
        <w:t>13.灾害防治及应急管理支出(类)自然灾害防治(款)其他自然灾害防治支出(项):支出决算数为0.00万元，比上年决算减少50.00万元，下降100.00%,主要原因是：2024年度上级减少防汛物资采购项目，未拨付其他自然灾害防治资金。</w:t>
      </w:r>
    </w:p>
    <w:p w14:paraId="7CCC07DD">
      <w:pPr>
        <w:spacing w:line="580" w:lineRule="exact"/>
        <w:ind w:firstLine="640"/>
        <w:jc w:val="both"/>
      </w:pPr>
      <w:r>
        <w:rPr>
          <w:rFonts w:ascii="仿宋_GB2312" w:hAnsi="仿宋_GB2312" w:eastAsia="仿宋_GB2312"/>
          <w:b w:val="0"/>
          <w:sz w:val="32"/>
        </w:rPr>
        <w:t>14.灾害防治及应急管理支出(类)自然灾害救灾及恢复重建支出(款)自然灾害救灾补助(项):支出决算数为63.37万元，比上年决算增加6.77万元，增长11.96%,主要原因是：2024年增加中央自然灾害救灾补助资金项目。</w:t>
      </w:r>
    </w:p>
    <w:p w14:paraId="138D8937">
      <w:pPr>
        <w:spacing w:line="640" w:lineRule="exact"/>
        <w:ind w:firstLine="640"/>
        <w:jc w:val="both"/>
        <w:outlineLvl w:val="2"/>
      </w:pPr>
      <w:r>
        <w:rPr>
          <w:rFonts w:ascii="黑体" w:hAnsi="黑体" w:eastAsia="黑体"/>
          <w:sz w:val="32"/>
        </w:rPr>
        <w:t>六、一般公共预算财政拨款基本支出决算情况说明</w:t>
      </w:r>
    </w:p>
    <w:p w14:paraId="7EF75961">
      <w:pPr>
        <w:spacing w:line="580" w:lineRule="exact"/>
        <w:ind w:firstLine="640"/>
        <w:jc w:val="both"/>
      </w:pPr>
      <w:r>
        <w:rPr>
          <w:rFonts w:ascii="仿宋_GB2312" w:hAnsi="仿宋_GB2312" w:eastAsia="仿宋_GB2312"/>
          <w:b w:val="0"/>
          <w:sz w:val="32"/>
        </w:rPr>
        <w:t>2024年度一般公共预算财政拨款基本支出843.52万元，其中：</w:t>
      </w:r>
      <w:r>
        <w:rPr>
          <w:rFonts w:ascii="仿宋_GB2312" w:hAnsi="仿宋_GB2312" w:eastAsia="仿宋_GB2312"/>
          <w:b/>
          <w:sz w:val="32"/>
        </w:rPr>
        <w:t>人员经费686.56万元，</w:t>
      </w:r>
      <w:r>
        <w:rPr>
          <w:rFonts w:ascii="仿宋_GB2312" w:hAnsi="仿宋_GB2312" w:eastAsia="仿宋_GB2312"/>
          <w:b w:val="0"/>
          <w:sz w:val="32"/>
        </w:rPr>
        <w:t>包括：基本工资、津贴补贴、奖金、绩效工资、机关事业单位基本养老保险缴费、职工基本医疗保险缴费、公务员医疗补助缴费、其他社会保障缴费、住房公积金、其他工资福利支出、退休费、生活补助。</w:t>
      </w:r>
    </w:p>
    <w:p w14:paraId="440C063C">
      <w:pPr>
        <w:spacing w:line="580" w:lineRule="exact"/>
        <w:ind w:firstLine="640"/>
        <w:jc w:val="both"/>
      </w:pPr>
      <w:r>
        <w:rPr>
          <w:rFonts w:ascii="仿宋_GB2312" w:hAnsi="仿宋_GB2312" w:eastAsia="仿宋_GB2312"/>
          <w:b/>
          <w:sz w:val="32"/>
        </w:rPr>
        <w:t>公用经费156.96万元，</w:t>
      </w:r>
      <w:r>
        <w:rPr>
          <w:rFonts w:ascii="仿宋_GB2312" w:hAnsi="仿宋_GB2312" w:eastAsia="仿宋_GB2312"/>
          <w:b w:val="0"/>
          <w:sz w:val="32"/>
        </w:rPr>
        <w:t>包括：办公费、水费、电费、邮电费、取暖费、差旅费、会议费、培训费、委托业务费、工会经费、福利费、公务用车运行维护费、其他交通费用。</w:t>
      </w:r>
    </w:p>
    <w:p w14:paraId="532CD330">
      <w:pPr>
        <w:spacing w:line="640" w:lineRule="exact"/>
        <w:ind w:firstLine="640"/>
        <w:jc w:val="both"/>
        <w:outlineLvl w:val="2"/>
      </w:pPr>
      <w:r>
        <w:rPr>
          <w:rFonts w:ascii="黑体" w:hAnsi="黑体" w:eastAsia="黑体"/>
          <w:sz w:val="32"/>
        </w:rPr>
        <w:t>七、政府性基金预算财政拨款收入支出决算情况说明</w:t>
      </w:r>
    </w:p>
    <w:p w14:paraId="2474E4F9">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2CFDA187">
      <w:pPr>
        <w:spacing w:line="640" w:lineRule="exact"/>
        <w:ind w:firstLine="640"/>
        <w:jc w:val="both"/>
        <w:outlineLvl w:val="2"/>
      </w:pPr>
      <w:r>
        <w:rPr>
          <w:rFonts w:ascii="黑体" w:hAnsi="黑体" w:eastAsia="黑体"/>
          <w:sz w:val="32"/>
        </w:rPr>
        <w:t>八、国有资本经营预算财政拨款收入支出决算情况说明</w:t>
      </w:r>
    </w:p>
    <w:p w14:paraId="72D5887E">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0B2A14AB">
      <w:pPr>
        <w:spacing w:line="640" w:lineRule="exact"/>
        <w:ind w:firstLine="640"/>
        <w:jc w:val="both"/>
        <w:outlineLvl w:val="2"/>
      </w:pPr>
      <w:r>
        <w:rPr>
          <w:rFonts w:ascii="黑体" w:hAnsi="黑体" w:eastAsia="黑体"/>
          <w:sz w:val="32"/>
        </w:rPr>
        <w:t>九、财政拨款“三公”经费支出决算情况说明</w:t>
      </w:r>
    </w:p>
    <w:p w14:paraId="496A7E88">
      <w:pPr>
        <w:spacing w:line="580" w:lineRule="exact"/>
        <w:ind w:firstLine="640"/>
        <w:jc w:val="both"/>
      </w:pPr>
      <w:r>
        <w:rPr>
          <w:rFonts w:ascii="仿宋_GB2312" w:hAnsi="仿宋_GB2312" w:eastAsia="仿宋_GB2312"/>
          <w:b/>
          <w:sz w:val="32"/>
        </w:rPr>
        <w:t>2024年度财政拨款“三公”经费支出1.60万元，</w:t>
      </w:r>
      <w:r>
        <w:rPr>
          <w:rFonts w:ascii="仿宋_GB2312" w:hAnsi="仿宋_GB2312" w:eastAsia="仿宋_GB2312"/>
          <w:b w:val="0"/>
          <w:sz w:val="32"/>
        </w:rPr>
        <w:t>比上年增加1.60万元，增长100.00%，主要原因是：本年度车辆纳入公务用车，车辆的燃油费及维修费增加。其中：因公出国（境）费支出0.00万元，占0.00%，比上年增加0.00万元，增长0.00%，主要原因是：2023年与2024年均未安排因公出国（境）费支出。公务用车购置及运行维护费支出1.60万元，占100.00%，比上年增加1.60万元，增长100.00%，主要原因是：本年度车辆纳入公务用车，车辆的燃油费及维修费增加。公务接待费支出0.00万元，占0.00%，比上年增加0.00万元，增长0.00%，主要原因是：2023年与2024年均未安排公务接待费支出。</w:t>
      </w:r>
    </w:p>
    <w:p w14:paraId="0FCA31AD">
      <w:pPr>
        <w:spacing w:line="580" w:lineRule="exact"/>
        <w:ind w:firstLine="640"/>
        <w:jc w:val="both"/>
      </w:pPr>
      <w:r>
        <w:rPr>
          <w:rFonts w:ascii="仿宋_GB2312" w:hAnsi="仿宋_GB2312" w:eastAsia="仿宋_GB2312"/>
          <w:b/>
          <w:sz w:val="32"/>
        </w:rPr>
        <w:t>具体情况如下：</w:t>
      </w:r>
    </w:p>
    <w:p w14:paraId="64ACB2C2">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6FE8DCF3">
      <w:pPr>
        <w:spacing w:line="580" w:lineRule="exact"/>
        <w:ind w:firstLine="640"/>
        <w:jc w:val="both"/>
      </w:pPr>
      <w:r>
        <w:rPr>
          <w:rFonts w:ascii="仿宋_GB2312" w:hAnsi="仿宋_GB2312" w:eastAsia="仿宋_GB2312"/>
          <w:b w:val="0"/>
          <w:sz w:val="32"/>
        </w:rPr>
        <w:t>公务用车购置及运行维护费1.60万元，其中：公务用车购置费0.00万元，公务用车运行维护费1.60万元。公务用车运行维护费开支内容包括车辆加油费、维修费、保险费、审车费、过路费等。公务用车购置数0辆，公务用车保有量9辆。国有资产占用情况中固定资产车辆9辆，与公务用车保有量差异原因是：本单位固定资产车辆与公务用车保有量一致无差异。</w:t>
      </w:r>
    </w:p>
    <w:p w14:paraId="4A201E6B">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776CB6A6">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1.60万元，决算数1.60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1.60万元，决算数1.60万元，预决算差异率0.00%，主要原因是：严格按照预算执行，预决算无差异。公务接待费全年预算数0.00万元，决算数0.00万元，预决算差异率0.00%，主要原因是：本单位无公务接待费。</w:t>
      </w:r>
    </w:p>
    <w:p w14:paraId="218BDD4F">
      <w:pPr>
        <w:spacing w:line="640" w:lineRule="exact"/>
        <w:ind w:firstLine="640"/>
        <w:jc w:val="both"/>
        <w:outlineLvl w:val="2"/>
      </w:pPr>
      <w:r>
        <w:rPr>
          <w:rFonts w:ascii="黑体" w:hAnsi="黑体" w:eastAsia="黑体"/>
          <w:sz w:val="32"/>
        </w:rPr>
        <w:t>十、其他重要事项的情况说明</w:t>
      </w:r>
    </w:p>
    <w:p w14:paraId="2688F6E6">
      <w:pPr>
        <w:spacing w:line="640" w:lineRule="exact"/>
        <w:ind w:firstLine="640"/>
        <w:jc w:val="both"/>
        <w:outlineLvl w:val="3"/>
      </w:pPr>
      <w:r>
        <w:rPr>
          <w:rFonts w:ascii="楷体_GB2312" w:hAnsi="楷体_GB2312" w:eastAsia="楷体_GB2312"/>
          <w:b/>
          <w:sz w:val="32"/>
        </w:rPr>
        <w:t>（一）机关运行经费及公用经费支出情况</w:t>
      </w:r>
    </w:p>
    <w:p w14:paraId="121B0AFA">
      <w:pPr>
        <w:spacing w:line="580" w:lineRule="exact"/>
        <w:ind w:firstLine="640"/>
        <w:jc w:val="both"/>
      </w:pPr>
      <w:r>
        <w:rPr>
          <w:rFonts w:ascii="仿宋_GB2312" w:hAnsi="仿宋_GB2312" w:eastAsia="仿宋_GB2312"/>
          <w:b w:val="0"/>
          <w:sz w:val="32"/>
        </w:rPr>
        <w:t>2024年度霍城县应急管理局（行政单位和参照公务员法管理事业单位）机关运行经费支出156.96万元，比上年减少141.52万元，下降47.41%，主要原因是：本年度消防大队公用经费未在本单位支出，因此经费较上年减少。</w:t>
      </w:r>
    </w:p>
    <w:p w14:paraId="634E09C4">
      <w:pPr>
        <w:spacing w:line="640" w:lineRule="exact"/>
        <w:ind w:firstLine="640"/>
        <w:jc w:val="both"/>
        <w:outlineLvl w:val="3"/>
      </w:pPr>
      <w:r>
        <w:rPr>
          <w:rFonts w:ascii="楷体_GB2312" w:hAnsi="楷体_GB2312" w:eastAsia="楷体_GB2312"/>
          <w:b/>
          <w:sz w:val="32"/>
        </w:rPr>
        <w:t>（二）政府采购情况</w:t>
      </w:r>
    </w:p>
    <w:p w14:paraId="3FAB3839">
      <w:pPr>
        <w:spacing w:line="580" w:lineRule="exact"/>
        <w:ind w:firstLine="640"/>
        <w:jc w:val="both"/>
      </w:pPr>
      <w:r>
        <w:rPr>
          <w:rFonts w:ascii="仿宋_GB2312" w:hAnsi="仿宋_GB2312" w:eastAsia="仿宋_GB2312"/>
          <w:b w:val="0"/>
          <w:sz w:val="32"/>
        </w:rPr>
        <w:t>2024年度政府采购支出总额57.87万元，其中：政府采购货物支出57.87万元、政府采购工程支出0.00万元、政府采购服务支出0.00万元。</w:t>
      </w:r>
    </w:p>
    <w:p w14:paraId="6D66B33E">
      <w:pPr>
        <w:spacing w:line="580" w:lineRule="exact"/>
        <w:ind w:firstLine="640"/>
        <w:jc w:val="both"/>
      </w:pPr>
      <w:r>
        <w:rPr>
          <w:rFonts w:ascii="仿宋_GB2312" w:hAnsi="仿宋_GB2312" w:eastAsia="仿宋_GB2312"/>
          <w:b w:val="0"/>
          <w:sz w:val="32"/>
        </w:rPr>
        <w:t>授予中小企业合同金额57.87万元，占政府采购支出总额的100.00%，其中：授予小微企业合同金额57.87万元，占政府采购支出总额的100.00%。</w:t>
      </w:r>
    </w:p>
    <w:p w14:paraId="3B954E86">
      <w:pPr>
        <w:spacing w:line="640" w:lineRule="exact"/>
        <w:ind w:firstLine="640"/>
        <w:jc w:val="both"/>
        <w:outlineLvl w:val="3"/>
      </w:pPr>
      <w:r>
        <w:rPr>
          <w:rFonts w:ascii="楷体_GB2312" w:hAnsi="楷体_GB2312" w:eastAsia="楷体_GB2312"/>
          <w:b/>
          <w:sz w:val="32"/>
        </w:rPr>
        <w:t>（三）国有资产占用情况说明</w:t>
      </w:r>
    </w:p>
    <w:p w14:paraId="59390BFE">
      <w:pPr>
        <w:spacing w:line="580" w:lineRule="exact"/>
        <w:ind w:firstLine="640"/>
        <w:jc w:val="both"/>
      </w:pPr>
      <w:r>
        <w:rPr>
          <w:rFonts w:ascii="仿宋_GB2312" w:hAnsi="仿宋_GB2312" w:eastAsia="仿宋_GB2312"/>
          <w:b w:val="0"/>
          <w:sz w:val="32"/>
        </w:rPr>
        <w:t>截至2024年12月31日，房屋0.00平方米，价值0.00万元。车辆9辆，价值332.21万元，其中：副部（省）级及以上领导用车0辆、主要负责人用车0辆、机要通信用车0辆、应急保障用车0辆、执法执勤用车1辆、特种专业技术用车2辆、离退休干部服务用车0辆、其他用车6辆，其他用车主要是：一般公务用车。单价100万元（含）以上设备（不含车辆）0台（套）。</w:t>
      </w:r>
    </w:p>
    <w:p w14:paraId="44CA368B">
      <w:pPr>
        <w:spacing w:line="640" w:lineRule="exact"/>
        <w:ind w:firstLine="640"/>
        <w:jc w:val="both"/>
        <w:outlineLvl w:val="2"/>
      </w:pPr>
      <w:r>
        <w:rPr>
          <w:rFonts w:ascii="黑体" w:hAnsi="黑体" w:eastAsia="黑体"/>
          <w:sz w:val="32"/>
        </w:rPr>
        <w:t>十一、预算绩效的情况说明</w:t>
      </w:r>
    </w:p>
    <w:p w14:paraId="2BF2187C">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1,196.55万元，实际执行总额1,196.55万元；预算绩效评价项目3个，全年预算数441.61万元，全年执行数441.61万元。预算绩效管理取得的成效：一是管理制度健全性。本部门为加强预算管理，规范财务行为，已制定《霍城县应急管理局预算绩效管理工作实施办法》《霍城县应急管理局单位财务管理制度》等健全完整的各项管理制度，有效保障了我部门高效</w:t>
      </w:r>
      <w:r>
        <w:rPr>
          <w:rFonts w:hint="eastAsia" w:ascii="仿宋_GB2312" w:hAnsi="仿宋_GB2312" w:eastAsia="仿宋_GB2312"/>
          <w:b w:val="0"/>
          <w:sz w:val="32"/>
          <w:lang w:eastAsia="zh-CN"/>
        </w:rPr>
        <w:t>地</w:t>
      </w:r>
      <w:r>
        <w:rPr>
          <w:rFonts w:ascii="仿宋_GB2312" w:hAnsi="仿宋_GB2312" w:eastAsia="仿宋_GB2312"/>
          <w:b w:val="0"/>
          <w:sz w:val="32"/>
        </w:rPr>
        <w:t>履行工作职能，较</w:t>
      </w:r>
      <w:r>
        <w:rPr>
          <w:rFonts w:hint="eastAsia" w:ascii="仿宋_GB2312" w:hAnsi="仿宋_GB2312" w:eastAsia="仿宋_GB2312"/>
          <w:b w:val="0"/>
          <w:sz w:val="32"/>
          <w:lang w:eastAsia="zh-CN"/>
        </w:rPr>
        <w:t>好地</w:t>
      </w:r>
      <w:r>
        <w:rPr>
          <w:rFonts w:ascii="仿宋_GB2312" w:hAnsi="仿宋_GB2312" w:eastAsia="仿宋_GB2312"/>
          <w:b w:val="0"/>
          <w:sz w:val="32"/>
        </w:rPr>
        <w:t>促进事业发展。二是资金使用合规性和安全性。部门预算资金使用符合国家法规和财务管理制度；预算资金拨付有完整的审批程序和手续，符合项目预算批复或合同规定的用途；不存在截留、挤占、挪用、虚列支出等情况，确保我部门预算资金规范运行。三是预决算信息公开性。我部门严格按照财政部门预算编制与预算调整的工作要求，在预算编制、分配依据充分的条件下，切实做好“先定目标再编预算”，确保预算分配结果合理。同时按照《中华人民共和国政府信息公开条例》（国令〔711〕号）及《伊犁哈萨克自治州人民政府信息公开指南》预决算信息公开工作要求，霍城县应急管理局预算及绩效目标在霍城县人民政府网公开，广泛接受社会监督。发现的问题及原因：一是绩效监督制度不完善，缺乏系统的监督体系，监督制度涉及范围缺乏全面性，未能使绩效监督组发挥应有的作用，使所有人员认识仅限于财务管理制定、会计核算管理、对绩效监督设立执行和监督缺乏全面性和深层次的思考，绩效监督发挥不到应有的效果。二是缺乏必要的绩效监督的监控力度，绩效监督考核不到位，依附于财务机构，绩效监督小组的权威性和独立性不够，对绩效监督工作没有给予足够的权利和支持。三是资金管理制度不完善，资金管理制度是管理资金的有效措施，资金使用审批不完善。下一步改进措施：一是根据绩效监督制度的建立，加强绩效监管力度，明确分工，责任到人，紧跟项目进度实施监督，发现问题及时解决。二是严格实行单位制度的资金管理制度，做到资金跟项目同步实施，做到资金适时支付，合理规划，减少成本，实现资金使用合理合规。具体附整体支出绩效自评表，项目支出绩效自评表和评价报告。</w:t>
      </w:r>
    </w:p>
    <w:p w14:paraId="14586504">
      <w:r>
        <w:br w:type="page"/>
      </w:r>
    </w:p>
    <w:tbl>
      <w:tblPr>
        <w:tblStyle w:val="9"/>
        <w:tblW w:w="0" w:type="auto"/>
        <w:tblInd w:w="0" w:type="dxa"/>
        <w:tblLayout w:type="autofit"/>
        <w:tblCellMar>
          <w:top w:w="0" w:type="dxa"/>
          <w:left w:w="108" w:type="dxa"/>
          <w:bottom w:w="0" w:type="dxa"/>
          <w:right w:w="108" w:type="dxa"/>
        </w:tblCellMar>
      </w:tblPr>
      <w:tblGrid>
        <w:gridCol w:w="1105"/>
        <w:gridCol w:w="1105"/>
        <w:gridCol w:w="1105"/>
        <w:gridCol w:w="1105"/>
        <w:gridCol w:w="1105"/>
        <w:gridCol w:w="1105"/>
        <w:gridCol w:w="1105"/>
        <w:gridCol w:w="1105"/>
      </w:tblGrid>
      <w:tr w14:paraId="40E79B50">
        <w:tblPrEx>
          <w:tblCellMar>
            <w:top w:w="0" w:type="dxa"/>
            <w:left w:w="108" w:type="dxa"/>
            <w:bottom w:w="0" w:type="dxa"/>
            <w:right w:w="108" w:type="dxa"/>
          </w:tblCellMar>
        </w:tblPrEx>
        <w:tc>
          <w:tcPr>
            <w:tcW w:w="8840" w:type="dxa"/>
            <w:gridSpan w:val="8"/>
            <w:vAlign w:val="center"/>
          </w:tcPr>
          <w:p w14:paraId="432AFAF6">
            <w:pPr>
              <w:jc w:val="center"/>
            </w:pPr>
            <w:r>
              <w:rPr>
                <w:rFonts w:ascii="宋体" w:hAnsi="宋体" w:eastAsia="宋体"/>
                <w:sz w:val="24"/>
              </w:rPr>
              <w:t>单位整体支出绩效自评表</w:t>
            </w:r>
          </w:p>
        </w:tc>
      </w:tr>
      <w:tr w14:paraId="54F6A607">
        <w:tblPrEx>
          <w:tblCellMar>
            <w:top w:w="0" w:type="dxa"/>
            <w:left w:w="108" w:type="dxa"/>
            <w:bottom w:w="0" w:type="dxa"/>
            <w:right w:w="108" w:type="dxa"/>
          </w:tblCellMar>
        </w:tblPrEx>
        <w:tc>
          <w:tcPr>
            <w:tcW w:w="8840" w:type="dxa"/>
            <w:gridSpan w:val="8"/>
            <w:vAlign w:val="center"/>
          </w:tcPr>
          <w:p w14:paraId="36D5B9C2">
            <w:pPr>
              <w:jc w:val="center"/>
            </w:pPr>
            <w:r>
              <w:rPr>
                <w:rFonts w:ascii="宋体" w:hAnsi="宋体" w:eastAsia="宋体"/>
                <w:sz w:val="24"/>
              </w:rPr>
              <w:t>（2024年度）</w:t>
            </w:r>
          </w:p>
        </w:tc>
      </w:tr>
      <w:tr w14:paraId="1C066DD4">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296C22D">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2DE6EFF">
            <w:pPr>
              <w:jc w:val="center"/>
            </w:pPr>
            <w:r>
              <w:rPr>
                <w:rFonts w:ascii="宋体" w:hAnsi="宋体" w:eastAsia="宋体"/>
                <w:sz w:val="16"/>
              </w:rPr>
              <w:t>霍城县应急管理局</w:t>
            </w:r>
          </w:p>
        </w:tc>
      </w:tr>
      <w:tr w14:paraId="3013679A">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F43FC19">
            <w:pPr>
              <w:jc w:val="center"/>
            </w:pPr>
            <w:r>
              <w:rPr>
                <w:rFonts w:ascii="宋体" w:hAnsi="宋体" w:eastAsia="宋体"/>
                <w:sz w:val="16"/>
              </w:rPr>
              <w:t>部门资金（万元）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9B137F8">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77FEFA9">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C895D7E">
            <w:pPr>
              <w:jc w:val="center"/>
            </w:pPr>
            <w:r>
              <w:rPr>
                <w:rFonts w:ascii="宋体" w:hAnsi="宋体" w:eastAsia="宋体"/>
                <w:sz w:val="16"/>
              </w:rPr>
              <w:t>全年预算数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D478584">
            <w:pPr>
              <w:jc w:val="center"/>
            </w:pPr>
            <w:r>
              <w:rPr>
                <w:rFonts w:ascii="宋体" w:hAnsi="宋体" w:eastAsia="宋体"/>
                <w:sz w:val="16"/>
              </w:rPr>
              <w:t>全年执行数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D028256">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E6F2E81">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6DEDEE7">
            <w:pPr>
              <w:jc w:val="center"/>
            </w:pPr>
            <w:r>
              <w:rPr>
                <w:rFonts w:ascii="宋体" w:hAnsi="宋体" w:eastAsia="宋体"/>
                <w:sz w:val="16"/>
              </w:rPr>
              <w:t>得分</w:t>
            </w:r>
          </w:p>
        </w:tc>
      </w:tr>
      <w:tr w14:paraId="323FC877">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1D64C1D"/>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EE1F53C">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DDEE709">
            <w:pPr>
              <w:jc w:val="center"/>
            </w:pPr>
            <w:r>
              <w:rPr>
                <w:rFonts w:ascii="宋体" w:hAnsi="宋体" w:eastAsia="宋体"/>
                <w:sz w:val="16"/>
              </w:rPr>
              <w:t>883.92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2D0E943">
            <w:pPr>
              <w:jc w:val="center"/>
            </w:pPr>
            <w:r>
              <w:rPr>
                <w:rFonts w:ascii="宋体" w:hAnsi="宋体" w:eastAsia="宋体"/>
                <w:sz w:val="16"/>
              </w:rPr>
              <w:t>1,196.55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18313F6">
            <w:pPr>
              <w:jc w:val="center"/>
            </w:pPr>
            <w:r>
              <w:rPr>
                <w:rFonts w:ascii="宋体" w:hAnsi="宋体" w:eastAsia="宋体"/>
                <w:sz w:val="16"/>
              </w:rPr>
              <w:t>1,196.55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AB2A87B">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8D96122">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0D23184">
            <w:pPr>
              <w:jc w:val="center"/>
            </w:pPr>
            <w:r>
              <w:rPr>
                <w:rFonts w:ascii="宋体" w:hAnsi="宋体" w:eastAsia="宋体"/>
                <w:sz w:val="16"/>
              </w:rPr>
              <w:t>10</w:t>
            </w:r>
          </w:p>
        </w:tc>
      </w:tr>
      <w:tr w14:paraId="00BC0C6E">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DC474A0"/>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AF7151D">
            <w:pPr>
              <w:jc w:val="center"/>
            </w:pPr>
            <w:r>
              <w:rPr>
                <w:rFonts w:ascii="宋体" w:hAnsi="宋体" w:eastAsia="宋体"/>
                <w:sz w:val="16"/>
              </w:rPr>
              <w:t>上级资金：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E226FCF">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C8011DD">
            <w:pPr>
              <w:jc w:val="center"/>
            </w:pPr>
            <w:r>
              <w:rPr>
                <w:rFonts w:ascii="宋体" w:hAnsi="宋体" w:eastAsia="宋体"/>
                <w:sz w:val="16"/>
              </w:rPr>
              <w:t>60.00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6088980">
            <w:pPr>
              <w:jc w:val="center"/>
            </w:pPr>
            <w:r>
              <w:rPr>
                <w:rFonts w:ascii="宋体" w:hAnsi="宋体" w:eastAsia="宋体"/>
                <w:sz w:val="16"/>
              </w:rPr>
              <w:t>60.00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8113BC2">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00D05C0">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A0E87E7">
            <w:pPr>
              <w:jc w:val="center"/>
            </w:pPr>
            <w:r>
              <w:rPr>
                <w:rFonts w:ascii="宋体" w:hAnsi="宋体" w:eastAsia="宋体"/>
                <w:sz w:val="16"/>
              </w:rPr>
              <w:t>-</w:t>
            </w:r>
          </w:p>
        </w:tc>
      </w:tr>
      <w:tr w14:paraId="09106895">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65FAF72"/>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38E3B57">
            <w:pPr>
              <w:jc w:val="center"/>
            </w:pPr>
            <w:r>
              <w:rPr>
                <w:rFonts w:ascii="宋体" w:hAnsi="宋体" w:eastAsia="宋体"/>
                <w:sz w:val="16"/>
              </w:rPr>
              <w:t>本级资金：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08E42AF">
            <w:pPr>
              <w:jc w:val="center"/>
            </w:pPr>
            <w:r>
              <w:rPr>
                <w:rFonts w:ascii="宋体" w:hAnsi="宋体" w:eastAsia="宋体"/>
                <w:sz w:val="16"/>
              </w:rPr>
              <w:t>883.92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ACAC7CB">
            <w:pPr>
              <w:jc w:val="center"/>
            </w:pPr>
            <w:r>
              <w:rPr>
                <w:rFonts w:ascii="宋体" w:hAnsi="宋体" w:eastAsia="宋体"/>
                <w:sz w:val="16"/>
              </w:rPr>
              <w:t>1,136.55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3C45E44">
            <w:pPr>
              <w:jc w:val="center"/>
            </w:pPr>
            <w:r>
              <w:rPr>
                <w:rFonts w:ascii="宋体" w:hAnsi="宋体" w:eastAsia="宋体"/>
                <w:sz w:val="16"/>
              </w:rPr>
              <w:t>1,136.55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C3859A7">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68262DC">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FC49CF1">
            <w:pPr>
              <w:jc w:val="center"/>
            </w:pPr>
            <w:r>
              <w:rPr>
                <w:rFonts w:ascii="宋体" w:hAnsi="宋体" w:eastAsia="宋体"/>
                <w:sz w:val="16"/>
              </w:rPr>
              <w:t>-</w:t>
            </w:r>
          </w:p>
        </w:tc>
      </w:tr>
      <w:tr w14:paraId="10EFB3D9">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0AECB47"/>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4304991">
            <w:pPr>
              <w:jc w:val="center"/>
            </w:pPr>
            <w:r>
              <w:rPr>
                <w:rFonts w:ascii="宋体" w:hAnsi="宋体" w:eastAsia="宋体"/>
                <w:sz w:val="16"/>
              </w:rPr>
              <w:t>其他资金：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8821A4A">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4D6FB98">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C555C99">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1DD93B8">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C4D63E4">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8362B66">
            <w:pPr>
              <w:jc w:val="center"/>
            </w:pPr>
            <w:r>
              <w:rPr>
                <w:rFonts w:ascii="宋体" w:hAnsi="宋体" w:eastAsia="宋体"/>
                <w:sz w:val="16"/>
              </w:rPr>
              <w:t>-</w:t>
            </w:r>
          </w:p>
        </w:tc>
      </w:tr>
      <w:tr w14:paraId="5BE2954A">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105AB77">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33671C5">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14B6D7EC">
            <w:pPr>
              <w:jc w:val="center"/>
            </w:pPr>
            <w:r>
              <w:rPr>
                <w:rFonts w:ascii="宋体" w:hAnsi="宋体" w:eastAsia="宋体"/>
                <w:sz w:val="16"/>
              </w:rPr>
              <w:t>实际完成情况</w:t>
            </w:r>
          </w:p>
        </w:tc>
      </w:tr>
      <w:tr w14:paraId="4E32A231">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DE619EE"/>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6AFE126">
            <w:pPr>
              <w:jc w:val="both"/>
            </w:pPr>
            <w:r>
              <w:rPr>
                <w:rFonts w:ascii="宋体" w:hAnsi="宋体" w:eastAsia="宋体"/>
                <w:sz w:val="16"/>
              </w:rPr>
              <w:t>以习近平新时代中国特色社会主义思想为指导，深入学习贯彻党的二十大精神和习近平总书记关于应急管理工作的重要论述，全力防范化解重大安全风险，有效防范一般事故，危化、矿山、工贸亡人事故和较大及以上事故“零发生”。自然灾害方面，实现“不死人、少伤人、少损失”目标。全面加强应急管理体系和应急能力建设，全面提升应急管理水平，为促进我县经济社会平稳发展提供坚实的应急管理保障。</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569DDD58">
            <w:pPr>
              <w:jc w:val="both"/>
            </w:pPr>
            <w:r>
              <w:rPr>
                <w:rFonts w:ascii="宋体" w:hAnsi="宋体" w:eastAsia="宋体"/>
                <w:sz w:val="16"/>
              </w:rPr>
              <w:t>加强履职尽责，筑牢安全防线。一是紧盯事故隐患排查。</w:t>
            </w:r>
            <w:r>
              <w:rPr>
                <w:rFonts w:hint="eastAsia" w:ascii="宋体" w:hAnsi="宋体"/>
                <w:sz w:val="16"/>
                <w:lang w:eastAsia="zh-CN"/>
              </w:rPr>
              <w:t>党委、政府</w:t>
            </w:r>
            <w:r>
              <w:rPr>
                <w:rFonts w:ascii="宋体" w:hAnsi="宋体" w:eastAsia="宋体"/>
                <w:sz w:val="16"/>
              </w:rPr>
              <w:t>负责同志专题研究安全生产治本攻坚有关工作7次，开展督导检查35次；开展重大事故隐患判定标准宣贯68场次，开展隐患排查7578余家次，发现重大事故隐患145条，完成整改145条；二是强化隐患问题整改。推动全县如期完成自治区安全生产检查组反馈7条问题隐患（无重大隐患）。三是安全宣传教育更加全面。加大安全生产、防灾减灾救灾知识宣传力度，举办各类专题讲座149场次，全县范围内集中开展“5·12防灾减灾日”“6·16安全宣传咨询日”“安康杯”知识竞赛等活动。四是开展安全生产法律法规业务学习。通过系统化，常态化</w:t>
            </w:r>
            <w:r>
              <w:rPr>
                <w:rFonts w:hint="eastAsia" w:ascii="宋体" w:hAnsi="宋体"/>
                <w:sz w:val="16"/>
                <w:lang w:eastAsia="zh-CN"/>
              </w:rPr>
              <w:t>地</w:t>
            </w:r>
            <w:r>
              <w:rPr>
                <w:rFonts w:ascii="宋体" w:hAnsi="宋体" w:eastAsia="宋体"/>
                <w:sz w:val="16"/>
              </w:rPr>
              <w:t>学习提高了执法人员专业素养，增强了依法行政能力。</w:t>
            </w:r>
          </w:p>
        </w:tc>
      </w:tr>
      <w:tr w14:paraId="23E84BCC">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37B919F">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A9062E0">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836C375">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7DFBE79">
            <w:pPr>
              <w:jc w:val="center"/>
            </w:pPr>
            <w:r>
              <w:rPr>
                <w:rFonts w:ascii="宋体" w:hAnsi="宋体" w:eastAsia="宋体"/>
                <w:sz w:val="16"/>
              </w:rPr>
              <w:t>预期指标值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993F2F5">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67797A5">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47D5460">
            <w:pPr>
              <w:jc w:val="center"/>
            </w:pPr>
            <w:r>
              <w:rPr>
                <w:rFonts w:ascii="宋体" w:hAnsi="宋体" w:eastAsia="宋体"/>
                <w:sz w:val="16"/>
              </w:rPr>
              <w:t>实际完成指标值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5991E43">
            <w:pPr>
              <w:jc w:val="center"/>
            </w:pPr>
            <w:r>
              <w:rPr>
                <w:rFonts w:ascii="宋体" w:hAnsi="宋体" w:eastAsia="宋体"/>
                <w:sz w:val="16"/>
              </w:rPr>
              <w:t>得分</w:t>
            </w:r>
          </w:p>
        </w:tc>
      </w:tr>
      <w:tr w14:paraId="5FA99437">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E031700">
            <w:pPr>
              <w:jc w:val="center"/>
            </w:pPr>
            <w:r>
              <w:rPr>
                <w:rFonts w:ascii="宋体" w:hAnsi="宋体" w:eastAsia="宋体"/>
                <w:sz w:val="16"/>
              </w:rPr>
              <w:t>履职效能</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D2CCB2D">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71AA443">
            <w:pPr>
              <w:jc w:val="center"/>
            </w:pPr>
            <w:r>
              <w:rPr>
                <w:rFonts w:ascii="宋体" w:hAnsi="宋体" w:eastAsia="宋体"/>
                <w:sz w:val="16"/>
              </w:rPr>
              <w:t>专家排查重大隐患覆盖率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EE1B30B">
            <w:pPr>
              <w:jc w:val="center"/>
            </w:pPr>
            <w:r>
              <w:rPr>
                <w:rFonts w:ascii="宋体" w:hAnsi="宋体" w:eastAsia="宋体"/>
                <w:sz w:val="16"/>
              </w:rPr>
              <w:t>&gt;=95%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4E95CDB">
            <w:pPr>
              <w:jc w:val="center"/>
            </w:pPr>
            <w:r>
              <w:rPr>
                <w:rFonts w:ascii="宋体" w:hAnsi="宋体" w:eastAsia="宋体"/>
                <w:sz w:val="16"/>
              </w:rPr>
              <w:t>霍城县应急管理局工作计划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E4E0902">
            <w:pPr>
              <w:jc w:val="center"/>
            </w:pPr>
            <w:r>
              <w:rPr>
                <w:rFonts w:ascii="宋体" w:hAnsi="宋体" w:eastAsia="宋体"/>
                <w:sz w:val="16"/>
              </w:rPr>
              <w:t>25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2E30317">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8F17FA5">
            <w:pPr>
              <w:jc w:val="center"/>
            </w:pPr>
            <w:r>
              <w:rPr>
                <w:rFonts w:ascii="宋体" w:hAnsi="宋体" w:eastAsia="宋体"/>
                <w:sz w:val="16"/>
              </w:rPr>
              <w:t>25</w:t>
            </w:r>
          </w:p>
        </w:tc>
      </w:tr>
      <w:tr w14:paraId="49F4F8DF">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712A72B"/>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DA4427E"/>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AA2A779">
            <w:pPr>
              <w:jc w:val="center"/>
            </w:pPr>
            <w:r>
              <w:rPr>
                <w:rFonts w:ascii="宋体" w:hAnsi="宋体" w:eastAsia="宋体"/>
                <w:sz w:val="16"/>
              </w:rPr>
              <w:t>开展“5.12、6.16”安全生产防范、减灾集中宣传次数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C29F021">
            <w:pPr>
              <w:jc w:val="center"/>
            </w:pPr>
            <w:r>
              <w:rPr>
                <w:rFonts w:ascii="宋体" w:hAnsi="宋体" w:eastAsia="宋体"/>
                <w:sz w:val="16"/>
              </w:rPr>
              <w:t>=2次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5EB4EFC">
            <w:pPr>
              <w:jc w:val="center"/>
            </w:pPr>
            <w:r>
              <w:rPr>
                <w:rFonts w:ascii="宋体" w:hAnsi="宋体" w:eastAsia="宋体"/>
                <w:sz w:val="16"/>
              </w:rPr>
              <w:t>霍城县应急局工作计划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6737795">
            <w:pPr>
              <w:jc w:val="center"/>
            </w:pPr>
            <w:r>
              <w:rPr>
                <w:rFonts w:ascii="宋体" w:hAnsi="宋体" w:eastAsia="宋体"/>
                <w:sz w:val="16"/>
              </w:rPr>
              <w:t>25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6661E3C">
            <w:pPr>
              <w:jc w:val="center"/>
            </w:pPr>
            <w:r>
              <w:rPr>
                <w:rFonts w:ascii="宋体" w:hAnsi="宋体" w:eastAsia="宋体"/>
                <w:sz w:val="16"/>
              </w:rPr>
              <w:t>2次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9049710">
            <w:pPr>
              <w:jc w:val="center"/>
            </w:pPr>
            <w:r>
              <w:rPr>
                <w:rFonts w:ascii="宋体" w:hAnsi="宋体" w:eastAsia="宋体"/>
                <w:sz w:val="16"/>
              </w:rPr>
              <w:t>25</w:t>
            </w:r>
          </w:p>
        </w:tc>
      </w:tr>
      <w:tr w14:paraId="6480A4E4">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0FB6A2B"/>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634EBC9"/>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44294A8">
            <w:pPr>
              <w:jc w:val="center"/>
            </w:pPr>
            <w:r>
              <w:rPr>
                <w:rFonts w:ascii="宋体" w:hAnsi="宋体" w:eastAsia="宋体"/>
                <w:sz w:val="16"/>
              </w:rPr>
              <w:t>执法计划执行率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703EADB">
            <w:pPr>
              <w:jc w:val="center"/>
            </w:pPr>
            <w:r>
              <w:rPr>
                <w:rFonts w:ascii="宋体" w:hAnsi="宋体" w:eastAsia="宋体"/>
                <w:sz w:val="16"/>
              </w:rPr>
              <w:t>&gt;=95%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67D0906">
            <w:pPr>
              <w:jc w:val="center"/>
            </w:pPr>
            <w:r>
              <w:rPr>
                <w:rFonts w:ascii="宋体" w:hAnsi="宋体" w:eastAsia="宋体"/>
                <w:sz w:val="16"/>
              </w:rPr>
              <w:t>霍城县应急局工作计划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C7E6363">
            <w:pPr>
              <w:jc w:val="center"/>
            </w:pPr>
            <w:r>
              <w:rPr>
                <w:rFonts w:ascii="宋体" w:hAnsi="宋体" w:eastAsia="宋体"/>
                <w:sz w:val="16"/>
              </w:rPr>
              <w:t>25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6609B7A">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7D42B3C">
            <w:pPr>
              <w:jc w:val="center"/>
            </w:pPr>
            <w:r>
              <w:rPr>
                <w:rFonts w:ascii="宋体" w:hAnsi="宋体" w:eastAsia="宋体"/>
                <w:sz w:val="16"/>
              </w:rPr>
              <w:t>25</w:t>
            </w:r>
          </w:p>
        </w:tc>
      </w:tr>
      <w:tr w14:paraId="053E05E6">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7385466"/>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B0D40EC"/>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078B405">
            <w:pPr>
              <w:jc w:val="center"/>
            </w:pPr>
            <w:r>
              <w:rPr>
                <w:rFonts w:ascii="宋体" w:hAnsi="宋体" w:eastAsia="宋体"/>
                <w:sz w:val="16"/>
              </w:rPr>
              <w:t>开展安全生产法律法规业务学习培训次数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11F5D52">
            <w:pPr>
              <w:jc w:val="center"/>
            </w:pPr>
            <w:r>
              <w:rPr>
                <w:rFonts w:ascii="宋体" w:hAnsi="宋体" w:eastAsia="宋体"/>
                <w:sz w:val="16"/>
              </w:rPr>
              <w:t>&gt;=12次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2575CFE">
            <w:pPr>
              <w:jc w:val="center"/>
            </w:pPr>
            <w:r>
              <w:rPr>
                <w:rFonts w:ascii="宋体" w:hAnsi="宋体" w:eastAsia="宋体"/>
                <w:sz w:val="16"/>
              </w:rPr>
              <w:t>霍城县应急局工作计划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1A92504">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F092F41">
            <w:pPr>
              <w:jc w:val="center"/>
            </w:pPr>
            <w:r>
              <w:rPr>
                <w:rFonts w:ascii="宋体" w:hAnsi="宋体" w:eastAsia="宋体"/>
                <w:sz w:val="16"/>
              </w:rPr>
              <w:t>12次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8559A24">
            <w:pPr>
              <w:jc w:val="center"/>
            </w:pPr>
            <w:r>
              <w:rPr>
                <w:rFonts w:ascii="宋体" w:hAnsi="宋体" w:eastAsia="宋体"/>
                <w:sz w:val="16"/>
              </w:rPr>
              <w:t>15</w:t>
            </w:r>
          </w:p>
        </w:tc>
      </w:tr>
    </w:tbl>
    <w:p w14:paraId="634183AE">
      <w:r>
        <w:br w:type="page"/>
      </w:r>
    </w:p>
    <w:tbl>
      <w:tblPr>
        <w:tblStyle w:val="9"/>
        <w:tblW w:w="0" w:type="auto"/>
        <w:tblInd w:w="0" w:type="dxa"/>
        <w:tblLayout w:type="autofit"/>
        <w:tblCellMar>
          <w:top w:w="0" w:type="dxa"/>
          <w:left w:w="108" w:type="dxa"/>
          <w:bottom w:w="0" w:type="dxa"/>
          <w:right w:w="108" w:type="dxa"/>
        </w:tblCellMar>
      </w:tblPr>
      <w:tblGrid>
        <w:gridCol w:w="617"/>
        <w:gridCol w:w="592"/>
        <w:gridCol w:w="592"/>
        <w:gridCol w:w="617"/>
        <w:gridCol w:w="604"/>
        <w:gridCol w:w="696"/>
        <w:gridCol w:w="629"/>
        <w:gridCol w:w="776"/>
        <w:gridCol w:w="629"/>
        <w:gridCol w:w="592"/>
        <w:gridCol w:w="592"/>
        <w:gridCol w:w="594"/>
        <w:gridCol w:w="593"/>
        <w:gridCol w:w="937"/>
      </w:tblGrid>
      <w:tr w14:paraId="2F6D696E">
        <w:tblPrEx>
          <w:tblCellMar>
            <w:top w:w="0" w:type="dxa"/>
            <w:left w:w="108" w:type="dxa"/>
            <w:bottom w:w="0" w:type="dxa"/>
            <w:right w:w="108" w:type="dxa"/>
          </w:tblCellMar>
        </w:tblPrEx>
        <w:tc>
          <w:tcPr>
            <w:tcW w:w="8848" w:type="dxa"/>
            <w:gridSpan w:val="14"/>
            <w:vAlign w:val="center"/>
          </w:tcPr>
          <w:p w14:paraId="5CB047B2">
            <w:pPr>
              <w:jc w:val="center"/>
            </w:pPr>
            <w:r>
              <w:rPr>
                <w:rFonts w:ascii="宋体" w:hAnsi="宋体" w:eastAsia="宋体"/>
                <w:sz w:val="24"/>
              </w:rPr>
              <w:t>项目支出绩效自评表</w:t>
            </w:r>
          </w:p>
        </w:tc>
      </w:tr>
      <w:tr w14:paraId="019640C4">
        <w:tblPrEx>
          <w:tblCellMar>
            <w:top w:w="0" w:type="dxa"/>
            <w:left w:w="108" w:type="dxa"/>
            <w:bottom w:w="0" w:type="dxa"/>
            <w:right w:w="108" w:type="dxa"/>
          </w:tblCellMar>
        </w:tblPrEx>
        <w:tc>
          <w:tcPr>
            <w:tcW w:w="8848" w:type="dxa"/>
            <w:gridSpan w:val="14"/>
            <w:vAlign w:val="center"/>
          </w:tcPr>
          <w:p w14:paraId="3B9EBC8C">
            <w:pPr>
              <w:jc w:val="center"/>
            </w:pPr>
            <w:r>
              <w:rPr>
                <w:rFonts w:ascii="宋体" w:hAnsi="宋体" w:eastAsia="宋体"/>
                <w:sz w:val="24"/>
              </w:rPr>
              <w:t>(2024年度)</w:t>
            </w:r>
          </w:p>
        </w:tc>
      </w:tr>
      <w:tr w14:paraId="266AD4C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921BE5">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F822FD5">
            <w:pPr>
              <w:jc w:val="center"/>
            </w:pPr>
            <w:r>
              <w:rPr>
                <w:rFonts w:ascii="宋体" w:hAnsi="宋体" w:eastAsia="宋体"/>
                <w:sz w:val="16"/>
              </w:rPr>
              <w:t>2023年中央自然灾害救灾资金</w:t>
            </w:r>
          </w:p>
        </w:tc>
      </w:tr>
      <w:tr w14:paraId="0AE9594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07A2FA">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2064FE2">
            <w:pPr>
              <w:jc w:val="center"/>
            </w:pPr>
            <w:r>
              <w:rPr>
                <w:rFonts w:ascii="宋体" w:hAnsi="宋体" w:eastAsia="宋体"/>
                <w:sz w:val="16"/>
              </w:rPr>
              <w:t>霍城县应急管理局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A104D9">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56D73BA">
            <w:pPr>
              <w:jc w:val="center"/>
            </w:pPr>
            <w:r>
              <w:rPr>
                <w:rFonts w:ascii="宋体" w:hAnsi="宋体" w:eastAsia="宋体"/>
                <w:sz w:val="16"/>
              </w:rPr>
              <w:t>霍城县应急管理局</w:t>
            </w:r>
          </w:p>
        </w:tc>
      </w:tr>
      <w:tr w14:paraId="3DFD3AB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261E2A3">
            <w:pPr>
              <w:jc w:val="center"/>
            </w:pPr>
            <w:r>
              <w:rPr>
                <w:rFonts w:ascii="宋体" w:hAnsi="宋体" w:eastAsia="宋体"/>
                <w:sz w:val="16"/>
              </w:rPr>
              <w:t>项目资金（万元）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F97FF5">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053293">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C67EAC">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6065B6">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B6881B">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7F1551">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027E66">
            <w:pPr>
              <w:jc w:val="center"/>
            </w:pPr>
            <w:r>
              <w:rPr>
                <w:rFonts w:ascii="宋体" w:hAnsi="宋体" w:eastAsia="宋体"/>
                <w:sz w:val="16"/>
              </w:rPr>
              <w:t>得分</w:t>
            </w:r>
          </w:p>
        </w:tc>
      </w:tr>
      <w:tr w14:paraId="25F2718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4312E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D5F737">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29F9D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9BE8D9">
            <w:pPr>
              <w:jc w:val="center"/>
            </w:pPr>
            <w:r>
              <w:rPr>
                <w:rFonts w:ascii="宋体" w:hAnsi="宋体" w:eastAsia="宋体"/>
                <w:sz w:val="16"/>
              </w:rPr>
              <w:t>60.00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5BE1F2">
            <w:pPr>
              <w:jc w:val="center"/>
            </w:pPr>
            <w:r>
              <w:rPr>
                <w:rFonts w:ascii="宋体" w:hAnsi="宋体" w:eastAsia="宋体"/>
                <w:sz w:val="16"/>
              </w:rPr>
              <w:t>60.00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76153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F4711A">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7CD9BE">
            <w:pPr>
              <w:jc w:val="center"/>
            </w:pPr>
            <w:r>
              <w:rPr>
                <w:rFonts w:ascii="宋体" w:hAnsi="宋体" w:eastAsia="宋体"/>
                <w:sz w:val="16"/>
              </w:rPr>
              <w:t>10.00</w:t>
            </w:r>
          </w:p>
        </w:tc>
      </w:tr>
      <w:tr w14:paraId="6ACD3D8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4DB28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C4CF22">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657FD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506891">
            <w:pPr>
              <w:jc w:val="center"/>
            </w:pPr>
            <w:r>
              <w:rPr>
                <w:rFonts w:ascii="宋体" w:hAnsi="宋体" w:eastAsia="宋体"/>
                <w:sz w:val="16"/>
              </w:rPr>
              <w:t>60.00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95E4F3">
            <w:pPr>
              <w:jc w:val="center"/>
            </w:pPr>
            <w:r>
              <w:rPr>
                <w:rFonts w:ascii="宋体" w:hAnsi="宋体" w:eastAsia="宋体"/>
                <w:sz w:val="16"/>
              </w:rPr>
              <w:t>60.00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2FB41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3A52C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2CDD91">
            <w:pPr>
              <w:jc w:val="center"/>
            </w:pPr>
            <w:r>
              <w:rPr>
                <w:rFonts w:ascii="宋体" w:hAnsi="宋体" w:eastAsia="宋体"/>
                <w:sz w:val="16"/>
              </w:rPr>
              <w:t>—</w:t>
            </w:r>
          </w:p>
        </w:tc>
      </w:tr>
      <w:tr w14:paraId="1E7A286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F8FE4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30C13A">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3C595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8E4D7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CA301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E0FC4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2A13C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BE74F6">
            <w:pPr>
              <w:jc w:val="center"/>
            </w:pPr>
            <w:r>
              <w:rPr>
                <w:rFonts w:ascii="宋体" w:hAnsi="宋体" w:eastAsia="宋体"/>
                <w:sz w:val="16"/>
              </w:rPr>
              <w:t>—</w:t>
            </w:r>
          </w:p>
        </w:tc>
      </w:tr>
      <w:tr w14:paraId="02705AB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5867417">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515BBD6">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A8F54EF">
            <w:pPr>
              <w:jc w:val="center"/>
            </w:pPr>
            <w:r>
              <w:rPr>
                <w:rFonts w:ascii="宋体" w:hAnsi="宋体" w:eastAsia="宋体"/>
                <w:sz w:val="16"/>
              </w:rPr>
              <w:t>实际完成情况</w:t>
            </w:r>
          </w:p>
        </w:tc>
      </w:tr>
      <w:tr w14:paraId="4EBC675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16D195"/>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EA291A1">
            <w:pPr>
              <w:jc w:val="both"/>
            </w:pPr>
            <w:r>
              <w:rPr>
                <w:rFonts w:hint="eastAsia" w:ascii="宋体" w:hAnsi="宋体"/>
                <w:sz w:val="16"/>
                <w:lang w:eastAsia="zh-CN"/>
              </w:rPr>
              <w:t>1.</w:t>
            </w:r>
            <w:r>
              <w:rPr>
                <w:rFonts w:ascii="宋体" w:hAnsi="宋体" w:eastAsia="宋体"/>
                <w:sz w:val="16"/>
              </w:rPr>
              <w:t>为深入贯彻落实党的二十大精神，贯彻落实习近平总书记关于防灾减灾救灾工作的重要</w:t>
            </w:r>
            <w:bookmarkStart w:id="0" w:name="_GoBack"/>
            <w:r>
              <w:rPr>
                <w:rFonts w:ascii="宋体" w:hAnsi="宋体" w:eastAsia="宋体"/>
                <w:sz w:val="16"/>
              </w:rPr>
              <w:t>指示批示精神</w:t>
            </w:r>
            <w:bookmarkEnd w:id="0"/>
            <w:r>
              <w:rPr>
                <w:rFonts w:ascii="宋体" w:hAnsi="宋体" w:eastAsia="宋体"/>
                <w:sz w:val="16"/>
              </w:rPr>
              <w:t>，切实做好防汛抗旱工作，进一步提升防汛抗洪抢险救援能力，确保安全度汛，做到防患于未然。2、提升防汛抗洪抢险救援能力。</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8A18847">
            <w:pPr>
              <w:jc w:val="both"/>
            </w:pPr>
            <w:r>
              <w:rPr>
                <w:rFonts w:ascii="宋体" w:hAnsi="宋体" w:eastAsia="宋体"/>
                <w:sz w:val="16"/>
              </w:rPr>
              <w:t>通过我县防汛抗旱设备的采购，提升了我县抗旱服务能力，实际采购5台水泵，2</w:t>
            </w:r>
            <w:r>
              <w:rPr>
                <w:rFonts w:hint="eastAsia" w:ascii="宋体" w:hAnsi="宋体"/>
                <w:sz w:val="16"/>
                <w:lang w:eastAsia="zh-CN"/>
              </w:rPr>
              <w:t>辆</w:t>
            </w:r>
            <w:r>
              <w:rPr>
                <w:rFonts w:ascii="宋体" w:hAnsi="宋体" w:eastAsia="宋体"/>
                <w:sz w:val="16"/>
              </w:rPr>
              <w:t>蓄水车，采购的抗旱设备对我县干旱乡镇提供了农田灌溉2.3万亩，有效缓解了旱情，为干旱乡镇提供应急供水，保障了3.2万人口集中用水，此次防汛抗旱设备采购确保了我县灾害发生时能够及时调配和使用，保障了人民群众生命财产安全，提升了我县防汛抗旱应急响应能力和应急处置能力，维护了社会秩序稳定。</w:t>
            </w:r>
          </w:p>
        </w:tc>
      </w:tr>
      <w:tr w14:paraId="617FD56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8885D9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5E6D73">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55632A">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AAF04F">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51005E">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BFB024">
            <w:pPr>
              <w:jc w:val="center"/>
            </w:pPr>
            <w:r>
              <w:rPr>
                <w:rFonts w:ascii="宋体" w:hAnsi="宋体" w:eastAsia="宋体"/>
                <w:sz w:val="16"/>
              </w:rPr>
              <w:t>目标值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273699">
            <w:pPr>
              <w:jc w:val="center"/>
            </w:pPr>
            <w:r>
              <w:rPr>
                <w:rFonts w:ascii="宋体" w:hAnsi="宋体" w:eastAsia="宋体"/>
                <w:sz w:val="16"/>
              </w:rPr>
              <w:t>业绩值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53C7B9">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31CC21">
            <w:pPr>
              <w:jc w:val="center"/>
            </w:pPr>
            <w:r>
              <w:rPr>
                <w:rFonts w:ascii="宋体" w:hAnsi="宋体" w:eastAsia="宋体"/>
                <w:sz w:val="16"/>
              </w:rPr>
              <w:t>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2E4BF3">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2BF610">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ADDC3C">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567B4C">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721EA3">
            <w:pPr>
              <w:jc w:val="center"/>
            </w:pPr>
            <w:r>
              <w:rPr>
                <w:rFonts w:ascii="宋体" w:hAnsi="宋体" w:eastAsia="宋体"/>
                <w:sz w:val="16"/>
              </w:rPr>
              <w:t>偏差原因分析及改进措施</w:t>
            </w:r>
          </w:p>
        </w:tc>
      </w:tr>
      <w:tr w14:paraId="1C9DD98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F305F9B">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2FD4F02">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74300C1">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D1FB79">
            <w:pPr>
              <w:jc w:val="center"/>
            </w:pPr>
            <w:r>
              <w:rPr>
                <w:rFonts w:ascii="宋体" w:hAnsi="宋体" w:eastAsia="宋体"/>
                <w:sz w:val="16"/>
              </w:rPr>
              <w:t>供水车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84D3D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D3F37B">
            <w:pPr>
              <w:jc w:val="center"/>
            </w:pPr>
            <w:r>
              <w:rPr>
                <w:rFonts w:ascii="宋体" w:hAnsi="宋体" w:eastAsia="宋体"/>
                <w:sz w:val="16"/>
              </w:rPr>
              <w:t>&gt;=2台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14596D">
            <w:pPr>
              <w:jc w:val="center"/>
            </w:pPr>
            <w:r>
              <w:rPr>
                <w:rFonts w:ascii="宋体" w:hAnsi="宋体" w:eastAsia="宋体"/>
                <w:sz w:val="16"/>
              </w:rPr>
              <w:t>2台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82678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24C3A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4D7B6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F1421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0D2E2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4457E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F3FA04">
            <w:pPr>
              <w:jc w:val="center"/>
            </w:pPr>
          </w:p>
        </w:tc>
      </w:tr>
      <w:tr w14:paraId="2805AB8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E7824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9F83B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49F2D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469A95">
            <w:pPr>
              <w:jc w:val="center"/>
            </w:pPr>
            <w:r>
              <w:rPr>
                <w:rFonts w:ascii="宋体" w:hAnsi="宋体" w:eastAsia="宋体"/>
                <w:sz w:val="16"/>
              </w:rPr>
              <w:t>抽水泵机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549D7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B40369">
            <w:pPr>
              <w:jc w:val="center"/>
            </w:pPr>
            <w:r>
              <w:rPr>
                <w:rFonts w:ascii="宋体" w:hAnsi="宋体" w:eastAsia="宋体"/>
                <w:sz w:val="16"/>
              </w:rPr>
              <w:t>&gt;=2台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DD12CD">
            <w:pPr>
              <w:jc w:val="center"/>
            </w:pPr>
            <w:r>
              <w:rPr>
                <w:rFonts w:ascii="宋体" w:hAnsi="宋体" w:eastAsia="宋体"/>
                <w:sz w:val="16"/>
              </w:rPr>
              <w:t>5台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C889BD">
            <w:pPr>
              <w:jc w:val="center"/>
            </w:pPr>
            <w:r>
              <w:rPr>
                <w:rFonts w:ascii="宋体" w:hAnsi="宋体" w:eastAsia="宋体"/>
                <w:sz w:val="16"/>
              </w:rPr>
              <w:t>250%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10436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E2BE1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260D1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49AB7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8DBFE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B2E49C">
            <w:pPr>
              <w:jc w:val="center"/>
            </w:pPr>
            <w:r>
              <w:rPr>
                <w:rFonts w:ascii="宋体" w:hAnsi="宋体" w:eastAsia="宋体"/>
                <w:sz w:val="16"/>
              </w:rPr>
              <w:t>线下询价高于实际政府采购价格，多余资金补采了3台6寸水泵</w:t>
            </w:r>
          </w:p>
        </w:tc>
      </w:tr>
      <w:tr w14:paraId="47F61DE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B7CE4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F16C9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5FCDCE">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9CB150">
            <w:pPr>
              <w:jc w:val="center"/>
            </w:pPr>
            <w:r>
              <w:rPr>
                <w:rFonts w:ascii="宋体" w:hAnsi="宋体" w:eastAsia="宋体"/>
                <w:sz w:val="16"/>
              </w:rPr>
              <w:t>添置抗旱物资、设备验收合格率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0E160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52EBE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18856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A212E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1A0B3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A45F0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1F9CD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871B9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95876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662834">
            <w:pPr>
              <w:jc w:val="center"/>
            </w:pPr>
          </w:p>
        </w:tc>
      </w:tr>
      <w:tr w14:paraId="4B12D18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0C9AD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D9E49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F4FBA9">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6F92CD">
            <w:pPr>
              <w:jc w:val="center"/>
            </w:pPr>
            <w:r>
              <w:rPr>
                <w:rFonts w:ascii="宋体" w:hAnsi="宋体" w:eastAsia="宋体"/>
                <w:sz w:val="16"/>
              </w:rPr>
              <w:t>项目按时完成率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77E15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EA13F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4DAC8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FD09E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3107C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B6091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373BE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EAD0B1">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B383F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54A67F">
            <w:pPr>
              <w:jc w:val="center"/>
            </w:pPr>
          </w:p>
        </w:tc>
      </w:tr>
      <w:tr w14:paraId="06BD496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C92CF7"/>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1DF440E">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AB9415B">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08F8CD">
            <w:pPr>
              <w:jc w:val="center"/>
            </w:pPr>
            <w:r>
              <w:rPr>
                <w:rFonts w:ascii="宋体" w:hAnsi="宋体" w:eastAsia="宋体"/>
                <w:sz w:val="16"/>
              </w:rPr>
              <w:t>项目预算控制率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82E819">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C45E0E">
            <w:pPr>
              <w:jc w:val="center"/>
            </w:pPr>
            <w:r>
              <w:rPr>
                <w:rFonts w:ascii="宋体" w:hAnsi="宋体" w:eastAsia="宋体"/>
                <w:sz w:val="16"/>
              </w:rPr>
              <w:t>&lt;=100%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C5230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E99E9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613433">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26DD1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CF490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02A61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E4AF0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E454A1">
            <w:pPr>
              <w:jc w:val="center"/>
            </w:pPr>
          </w:p>
        </w:tc>
      </w:tr>
      <w:tr w14:paraId="02AC0B3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A054C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5EF65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8A376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88B409">
            <w:pPr>
              <w:jc w:val="center"/>
            </w:pPr>
            <w:r>
              <w:rPr>
                <w:rFonts w:ascii="宋体" w:hAnsi="宋体" w:eastAsia="宋体"/>
                <w:sz w:val="16"/>
              </w:rPr>
              <w:t>供水车成本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F58DFE">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520151">
            <w:pPr>
              <w:jc w:val="center"/>
            </w:pPr>
            <w:r>
              <w:rPr>
                <w:rFonts w:ascii="宋体" w:hAnsi="宋体" w:eastAsia="宋体"/>
                <w:sz w:val="16"/>
              </w:rPr>
              <w:t>&lt;=54.8万元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6DABAE">
            <w:pPr>
              <w:jc w:val="center"/>
            </w:pPr>
            <w:r>
              <w:rPr>
                <w:rFonts w:ascii="宋体" w:hAnsi="宋体" w:eastAsia="宋体"/>
                <w:sz w:val="16"/>
              </w:rPr>
              <w:t>52.63万元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BAA644">
            <w:pPr>
              <w:jc w:val="center"/>
            </w:pPr>
            <w:r>
              <w:rPr>
                <w:rFonts w:ascii="宋体" w:hAnsi="宋体" w:eastAsia="宋体"/>
                <w:sz w:val="16"/>
              </w:rPr>
              <w:t>96.04%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5BB089">
            <w:pPr>
              <w:jc w:val="center"/>
            </w:pPr>
            <w:r>
              <w:rPr>
                <w:rFonts w:ascii="宋体" w:hAnsi="宋体" w:eastAsia="宋体"/>
                <w:sz w:val="16"/>
              </w:rPr>
              <w:t>6.72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72F4E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91A07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D4353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4B2E6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D95B1B">
            <w:pPr>
              <w:jc w:val="center"/>
            </w:pPr>
            <w:r>
              <w:rPr>
                <w:rFonts w:ascii="宋体" w:hAnsi="宋体" w:eastAsia="宋体"/>
                <w:sz w:val="16"/>
              </w:rPr>
              <w:t>实际采购供水车2辆合计508000元，两辆车保险合计18332.98元，总计526332.98元,实际采购比合同高出了车辆保险费用1632.98元，保险费用由荣业鑫茂业汽车贸易有限公司承担。</w:t>
            </w:r>
          </w:p>
        </w:tc>
      </w:tr>
      <w:tr w14:paraId="5023BA6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E5F3F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79B0F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C4E46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40A2EB">
            <w:pPr>
              <w:jc w:val="center"/>
            </w:pPr>
            <w:r>
              <w:rPr>
                <w:rFonts w:ascii="宋体" w:hAnsi="宋体" w:eastAsia="宋体"/>
                <w:sz w:val="16"/>
              </w:rPr>
              <w:t>抽水泵机的成本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139AB2">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373D03">
            <w:pPr>
              <w:jc w:val="center"/>
            </w:pPr>
            <w:r>
              <w:rPr>
                <w:rFonts w:ascii="宋体" w:hAnsi="宋体" w:eastAsia="宋体"/>
                <w:sz w:val="16"/>
              </w:rPr>
              <w:t>&lt;=5.2万元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6841F9">
            <w:pPr>
              <w:jc w:val="center"/>
            </w:pPr>
            <w:r>
              <w:rPr>
                <w:rFonts w:ascii="宋体" w:hAnsi="宋体" w:eastAsia="宋体"/>
                <w:sz w:val="16"/>
              </w:rPr>
              <w:t>7.53万元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FCEAAD">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930200">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B2E5B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32072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912FF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DBE56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4365D8">
            <w:pPr>
              <w:jc w:val="center"/>
            </w:pPr>
            <w:r>
              <w:rPr>
                <w:rFonts w:ascii="宋体" w:hAnsi="宋体" w:eastAsia="宋体"/>
                <w:sz w:val="16"/>
              </w:rPr>
              <w:t>线下询价高于实际政府采购价格，多余资金补采了3台6寸水泵</w:t>
            </w:r>
          </w:p>
        </w:tc>
      </w:tr>
      <w:tr w14:paraId="38E273C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5D196B"/>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95F99C5">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4DE85D6">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5154FF">
            <w:pPr>
              <w:jc w:val="center"/>
            </w:pPr>
            <w:r>
              <w:rPr>
                <w:rFonts w:ascii="宋体" w:hAnsi="宋体" w:eastAsia="宋体"/>
                <w:sz w:val="16"/>
              </w:rPr>
              <w:t>因旱饮水困难人口饮水安全保障率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E1A87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E603B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8333C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83AB8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025C1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DA8C0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2F363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AD202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F37B7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0C5B3E">
            <w:pPr>
              <w:jc w:val="center"/>
            </w:pPr>
          </w:p>
        </w:tc>
      </w:tr>
      <w:tr w14:paraId="00C5C78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9A5CE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4D214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BD199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56146C">
            <w:pPr>
              <w:jc w:val="center"/>
            </w:pPr>
            <w:r>
              <w:rPr>
                <w:rFonts w:ascii="宋体" w:hAnsi="宋体" w:eastAsia="宋体"/>
                <w:sz w:val="16"/>
              </w:rPr>
              <w:t>维护受旱影响区域社会正常秩序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9FD65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DBAC1C">
            <w:pPr>
              <w:jc w:val="center"/>
            </w:pPr>
            <w:r>
              <w:rPr>
                <w:rFonts w:ascii="宋体" w:hAnsi="宋体" w:eastAsia="宋体"/>
                <w:sz w:val="16"/>
              </w:rPr>
              <w:t>平稳有序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64D44E">
            <w:pPr>
              <w:jc w:val="center"/>
            </w:pPr>
            <w:r>
              <w:rPr>
                <w:rFonts w:ascii="宋体" w:hAnsi="宋体" w:eastAsia="宋体"/>
                <w:sz w:val="16"/>
              </w:rPr>
              <w:t>平稳有序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784F4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8A130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92E2B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B5CE3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9E06A4">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962F7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84EDBB">
            <w:pPr>
              <w:jc w:val="center"/>
            </w:pPr>
          </w:p>
        </w:tc>
      </w:tr>
      <w:tr w14:paraId="339BC8B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2C974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32CCF2">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4B1F6B">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886935">
            <w:pPr>
              <w:jc w:val="center"/>
            </w:pPr>
            <w:r>
              <w:rPr>
                <w:rFonts w:ascii="宋体" w:hAnsi="宋体" w:eastAsia="宋体"/>
                <w:sz w:val="16"/>
              </w:rPr>
              <w:t>物资设备使用单位满意率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B704F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C1B30C">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86D74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BCCC56">
            <w:pPr>
              <w:jc w:val="center"/>
            </w:pPr>
            <w:r>
              <w:rPr>
                <w:rFonts w:ascii="宋体" w:hAnsi="宋体" w:eastAsia="宋体"/>
                <w:sz w:val="16"/>
              </w:rPr>
              <w:t>105.26%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DA893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7B316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FA9AB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E0D896">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05721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570055">
            <w:pPr>
              <w:jc w:val="center"/>
            </w:pPr>
            <w:r>
              <w:rPr>
                <w:rFonts w:ascii="宋体" w:hAnsi="宋体" w:eastAsia="宋体"/>
                <w:sz w:val="16"/>
              </w:rPr>
              <w:t>物资使用单位满意度较高</w:t>
            </w:r>
          </w:p>
        </w:tc>
      </w:tr>
      <w:tr w14:paraId="2B793354">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071FD3E6">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14310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6BF6D9E"/>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8CE97F9"/>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B66BE0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FDEA59">
            <w:pPr>
              <w:jc w:val="center"/>
            </w:pPr>
            <w:r>
              <w:rPr>
                <w:rFonts w:ascii="宋体" w:hAnsi="宋体" w:eastAsia="宋体"/>
                <w:sz w:val="16"/>
              </w:rPr>
              <w:t>92.72分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F7FE139"/>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72BFBCC"/>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3E365C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19CA19F"/>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A7D64A5"/>
        </w:tc>
      </w:tr>
    </w:tbl>
    <w:p w14:paraId="232893B1">
      <w:r>
        <w:br w:type="page"/>
      </w:r>
    </w:p>
    <w:tbl>
      <w:tblPr>
        <w:tblStyle w:val="9"/>
        <w:tblW w:w="0" w:type="auto"/>
        <w:tblInd w:w="0" w:type="dxa"/>
        <w:tblLayout w:type="autofit"/>
        <w:tblCellMar>
          <w:top w:w="0" w:type="dxa"/>
          <w:left w:w="108" w:type="dxa"/>
          <w:bottom w:w="0" w:type="dxa"/>
          <w:right w:w="108" w:type="dxa"/>
        </w:tblCellMar>
      </w:tblPr>
      <w:tblGrid>
        <w:gridCol w:w="629"/>
        <w:gridCol w:w="625"/>
        <w:gridCol w:w="625"/>
        <w:gridCol w:w="625"/>
        <w:gridCol w:w="627"/>
        <w:gridCol w:w="696"/>
        <w:gridCol w:w="696"/>
        <w:gridCol w:w="776"/>
        <w:gridCol w:w="627"/>
        <w:gridCol w:w="625"/>
        <w:gridCol w:w="625"/>
        <w:gridCol w:w="626"/>
        <w:gridCol w:w="625"/>
        <w:gridCol w:w="633"/>
      </w:tblGrid>
      <w:tr w14:paraId="488B0DC5">
        <w:tblPrEx>
          <w:tblCellMar>
            <w:top w:w="0" w:type="dxa"/>
            <w:left w:w="108" w:type="dxa"/>
            <w:bottom w:w="0" w:type="dxa"/>
            <w:right w:w="108" w:type="dxa"/>
          </w:tblCellMar>
        </w:tblPrEx>
        <w:tc>
          <w:tcPr>
            <w:tcW w:w="8848" w:type="dxa"/>
            <w:gridSpan w:val="14"/>
            <w:vAlign w:val="center"/>
          </w:tcPr>
          <w:p w14:paraId="7A3EA64C">
            <w:pPr>
              <w:jc w:val="center"/>
            </w:pPr>
            <w:r>
              <w:rPr>
                <w:rFonts w:ascii="宋体" w:hAnsi="宋体" w:eastAsia="宋体"/>
                <w:sz w:val="24"/>
              </w:rPr>
              <w:t>项目支出绩效自评表</w:t>
            </w:r>
          </w:p>
        </w:tc>
      </w:tr>
      <w:tr w14:paraId="5D55900B">
        <w:tblPrEx>
          <w:tblCellMar>
            <w:top w:w="0" w:type="dxa"/>
            <w:left w:w="108" w:type="dxa"/>
            <w:bottom w:w="0" w:type="dxa"/>
            <w:right w:w="108" w:type="dxa"/>
          </w:tblCellMar>
        </w:tblPrEx>
        <w:tc>
          <w:tcPr>
            <w:tcW w:w="8848" w:type="dxa"/>
            <w:gridSpan w:val="14"/>
            <w:vAlign w:val="center"/>
          </w:tcPr>
          <w:p w14:paraId="598E0AA6">
            <w:pPr>
              <w:jc w:val="center"/>
            </w:pPr>
            <w:r>
              <w:rPr>
                <w:rFonts w:ascii="宋体" w:hAnsi="宋体" w:eastAsia="宋体"/>
                <w:sz w:val="24"/>
              </w:rPr>
              <w:t>(2024年度)</w:t>
            </w:r>
          </w:p>
        </w:tc>
      </w:tr>
      <w:tr w14:paraId="7D7C144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F9156E">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A7C8103">
            <w:pPr>
              <w:jc w:val="center"/>
            </w:pPr>
            <w:r>
              <w:rPr>
                <w:rFonts w:ascii="宋体" w:hAnsi="宋体" w:eastAsia="宋体"/>
                <w:sz w:val="16"/>
              </w:rPr>
              <w:t>保障消防救援大队工作项目</w:t>
            </w:r>
          </w:p>
        </w:tc>
      </w:tr>
      <w:tr w14:paraId="6F8F8F0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4DF20C">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2CB9A48">
            <w:pPr>
              <w:jc w:val="center"/>
            </w:pPr>
            <w:r>
              <w:rPr>
                <w:rFonts w:ascii="宋体" w:hAnsi="宋体" w:eastAsia="宋体"/>
                <w:sz w:val="16"/>
              </w:rPr>
              <w:t>霍城县应急管理局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6754EF">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D3F02A8">
            <w:pPr>
              <w:jc w:val="center"/>
            </w:pPr>
            <w:r>
              <w:rPr>
                <w:rFonts w:ascii="宋体" w:hAnsi="宋体" w:eastAsia="宋体"/>
                <w:sz w:val="16"/>
              </w:rPr>
              <w:t>霍城县应急管理局</w:t>
            </w:r>
          </w:p>
        </w:tc>
      </w:tr>
      <w:tr w14:paraId="50C63C1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F84DBAA">
            <w:pPr>
              <w:jc w:val="center"/>
            </w:pPr>
            <w:r>
              <w:rPr>
                <w:rFonts w:ascii="宋体" w:hAnsi="宋体" w:eastAsia="宋体"/>
                <w:sz w:val="16"/>
              </w:rPr>
              <w:t>项目资金（万元）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95DFA5">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554B37">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3480D0">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7B4838">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CED87C">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6FC50F">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DD9F22">
            <w:pPr>
              <w:jc w:val="center"/>
            </w:pPr>
            <w:r>
              <w:rPr>
                <w:rFonts w:ascii="宋体" w:hAnsi="宋体" w:eastAsia="宋体"/>
                <w:sz w:val="16"/>
              </w:rPr>
              <w:t>得分</w:t>
            </w:r>
          </w:p>
        </w:tc>
      </w:tr>
      <w:tr w14:paraId="6E08794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8A739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33088E">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172D1B">
            <w:pPr>
              <w:jc w:val="center"/>
            </w:pPr>
            <w:r>
              <w:rPr>
                <w:rFonts w:ascii="宋体" w:hAnsi="宋体" w:eastAsia="宋体"/>
                <w:sz w:val="16"/>
              </w:rPr>
              <w:t>93.03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984907">
            <w:pPr>
              <w:jc w:val="center"/>
            </w:pPr>
            <w:r>
              <w:rPr>
                <w:rFonts w:ascii="宋体" w:hAnsi="宋体" w:eastAsia="宋体"/>
                <w:sz w:val="16"/>
              </w:rPr>
              <w:t>85.74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CF1E1D">
            <w:pPr>
              <w:jc w:val="center"/>
            </w:pPr>
            <w:r>
              <w:rPr>
                <w:rFonts w:ascii="宋体" w:hAnsi="宋体" w:eastAsia="宋体"/>
                <w:sz w:val="16"/>
              </w:rPr>
              <w:t>85.74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E046A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933006">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9A5D23">
            <w:pPr>
              <w:jc w:val="center"/>
            </w:pPr>
            <w:r>
              <w:rPr>
                <w:rFonts w:ascii="宋体" w:hAnsi="宋体" w:eastAsia="宋体"/>
                <w:sz w:val="16"/>
              </w:rPr>
              <w:t>10.00</w:t>
            </w:r>
          </w:p>
        </w:tc>
      </w:tr>
      <w:tr w14:paraId="12FF76F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F091B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E4FECA">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F7AEC7">
            <w:pPr>
              <w:jc w:val="center"/>
            </w:pPr>
            <w:r>
              <w:rPr>
                <w:rFonts w:ascii="宋体" w:hAnsi="宋体" w:eastAsia="宋体"/>
                <w:sz w:val="16"/>
              </w:rPr>
              <w:t>93.03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9E0F55">
            <w:pPr>
              <w:jc w:val="center"/>
            </w:pPr>
            <w:r>
              <w:rPr>
                <w:rFonts w:ascii="宋体" w:hAnsi="宋体" w:eastAsia="宋体"/>
                <w:sz w:val="16"/>
              </w:rPr>
              <w:t>85.74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D3B479">
            <w:pPr>
              <w:jc w:val="center"/>
            </w:pPr>
            <w:r>
              <w:rPr>
                <w:rFonts w:ascii="宋体" w:hAnsi="宋体" w:eastAsia="宋体"/>
                <w:sz w:val="16"/>
              </w:rPr>
              <w:t>85.74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37A25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8753A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FB68F0">
            <w:pPr>
              <w:jc w:val="center"/>
            </w:pPr>
            <w:r>
              <w:rPr>
                <w:rFonts w:ascii="宋体" w:hAnsi="宋体" w:eastAsia="宋体"/>
                <w:sz w:val="16"/>
              </w:rPr>
              <w:t>—</w:t>
            </w:r>
          </w:p>
        </w:tc>
      </w:tr>
      <w:tr w14:paraId="0D0A24B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F3787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08E0C6">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1295A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58203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9873A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5CC9A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653E0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BE3D21">
            <w:pPr>
              <w:jc w:val="center"/>
            </w:pPr>
            <w:r>
              <w:rPr>
                <w:rFonts w:ascii="宋体" w:hAnsi="宋体" w:eastAsia="宋体"/>
                <w:sz w:val="16"/>
              </w:rPr>
              <w:t>—</w:t>
            </w:r>
          </w:p>
        </w:tc>
      </w:tr>
      <w:tr w14:paraId="03051B4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B77FF32">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F55A19F">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A4D9FFB">
            <w:pPr>
              <w:jc w:val="center"/>
            </w:pPr>
            <w:r>
              <w:rPr>
                <w:rFonts w:ascii="宋体" w:hAnsi="宋体" w:eastAsia="宋体"/>
                <w:sz w:val="16"/>
              </w:rPr>
              <w:t>实际完成情况</w:t>
            </w:r>
          </w:p>
        </w:tc>
      </w:tr>
      <w:tr w14:paraId="3559CB7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12DB42"/>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3EA5D1A">
            <w:pPr>
              <w:jc w:val="both"/>
            </w:pPr>
            <w:r>
              <w:rPr>
                <w:rFonts w:ascii="宋体" w:hAnsi="宋体" w:eastAsia="宋体"/>
                <w:sz w:val="16"/>
              </w:rPr>
              <w:t>紧紧围绕社会稳定和长治久安的总目标，全力做好消防救援，应急处置各类灭火救援、火灾扑救、抗洪抢险、抗震救灾、社会面抢险救援、公民遇险救助等救援救助工作，为全县消防救援提供保障，做好人民群众安全和利益保障。</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6F0AEEC">
            <w:pPr>
              <w:jc w:val="both"/>
            </w:pPr>
            <w:r>
              <w:rPr>
                <w:rFonts w:ascii="宋体" w:hAnsi="宋体" w:eastAsia="宋体"/>
                <w:sz w:val="16"/>
              </w:rPr>
              <w:t>2024年度完成了36名国家队消防救援人员12次津贴工资，总计85.74万元，切实保障了消防救援人员灭火执勤、抢险救援等社会面救援工作积极性，确保人民群众安全和利益保障。</w:t>
            </w:r>
          </w:p>
        </w:tc>
      </w:tr>
      <w:tr w14:paraId="3E49607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31D631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BDDCF8">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AAAB76">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5C4308">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90CF2E">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3890CD">
            <w:pPr>
              <w:jc w:val="center"/>
            </w:pPr>
            <w:r>
              <w:rPr>
                <w:rFonts w:ascii="宋体" w:hAnsi="宋体" w:eastAsia="宋体"/>
                <w:sz w:val="16"/>
              </w:rPr>
              <w:t>目标值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1992E3">
            <w:pPr>
              <w:jc w:val="center"/>
            </w:pPr>
            <w:r>
              <w:rPr>
                <w:rFonts w:ascii="宋体" w:hAnsi="宋体" w:eastAsia="宋体"/>
                <w:sz w:val="16"/>
              </w:rPr>
              <w:t>业绩值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3F11C3">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B30BA2">
            <w:pPr>
              <w:jc w:val="center"/>
            </w:pPr>
            <w:r>
              <w:rPr>
                <w:rFonts w:ascii="宋体" w:hAnsi="宋体" w:eastAsia="宋体"/>
                <w:sz w:val="16"/>
              </w:rPr>
              <w:t>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21C8C3">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A87BEE">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E3C622">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0A846E">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3BCD13">
            <w:pPr>
              <w:jc w:val="center"/>
            </w:pPr>
            <w:r>
              <w:rPr>
                <w:rFonts w:ascii="宋体" w:hAnsi="宋体" w:eastAsia="宋体"/>
                <w:sz w:val="16"/>
              </w:rPr>
              <w:t>偏差原因分析及改进措施</w:t>
            </w:r>
          </w:p>
        </w:tc>
      </w:tr>
      <w:tr w14:paraId="68C690E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B213D8F">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D97EA21">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5F22844">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6AA248">
            <w:pPr>
              <w:jc w:val="center"/>
            </w:pPr>
            <w:r>
              <w:rPr>
                <w:rFonts w:ascii="宋体" w:hAnsi="宋体" w:eastAsia="宋体"/>
                <w:sz w:val="16"/>
              </w:rPr>
              <w:t>保障人员数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D58C65">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709754">
            <w:pPr>
              <w:jc w:val="center"/>
            </w:pPr>
            <w:r>
              <w:rPr>
                <w:rFonts w:ascii="宋体" w:hAnsi="宋体" w:eastAsia="宋体"/>
                <w:sz w:val="16"/>
              </w:rPr>
              <w:t>=36人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F0E7D5">
            <w:pPr>
              <w:jc w:val="center"/>
            </w:pPr>
            <w:r>
              <w:rPr>
                <w:rFonts w:ascii="宋体" w:hAnsi="宋体" w:eastAsia="宋体"/>
                <w:sz w:val="16"/>
              </w:rPr>
              <w:t>36人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11DB0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EAD55D">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5807D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B7936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1C830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BDA34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E3505B">
            <w:pPr>
              <w:jc w:val="center"/>
            </w:pPr>
          </w:p>
        </w:tc>
      </w:tr>
      <w:tr w14:paraId="3E86138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C8A4E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E69C5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5FB75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FFD37E">
            <w:pPr>
              <w:jc w:val="center"/>
            </w:pPr>
            <w:r>
              <w:rPr>
                <w:rFonts w:ascii="宋体" w:hAnsi="宋体" w:eastAsia="宋体"/>
                <w:sz w:val="16"/>
              </w:rPr>
              <w:t>防火减灾宣传工作开展次数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91112D">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FE2F31">
            <w:pPr>
              <w:jc w:val="center"/>
            </w:pPr>
            <w:r>
              <w:rPr>
                <w:rFonts w:ascii="宋体" w:hAnsi="宋体" w:eastAsia="宋体"/>
                <w:sz w:val="16"/>
              </w:rPr>
              <w:t>=12次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CEA174">
            <w:pPr>
              <w:jc w:val="center"/>
            </w:pPr>
            <w:r>
              <w:rPr>
                <w:rFonts w:ascii="宋体" w:hAnsi="宋体" w:eastAsia="宋体"/>
                <w:sz w:val="16"/>
              </w:rPr>
              <w:t>12次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43C2C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308F8D">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B54C4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E679B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B60DA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479A4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DF0DA0">
            <w:pPr>
              <w:jc w:val="center"/>
            </w:pPr>
          </w:p>
        </w:tc>
      </w:tr>
      <w:tr w14:paraId="652061E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C34D8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19512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682014">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700CEF">
            <w:pPr>
              <w:jc w:val="center"/>
            </w:pPr>
            <w:r>
              <w:rPr>
                <w:rFonts w:ascii="宋体" w:hAnsi="宋体" w:eastAsia="宋体"/>
                <w:sz w:val="16"/>
              </w:rPr>
              <w:t>资金发放准确率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ED585B">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22D80F">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EA4EDF">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60A96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D4D012">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5D901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ED686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004C1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E5D26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B6D76E">
            <w:pPr>
              <w:jc w:val="center"/>
            </w:pPr>
          </w:p>
        </w:tc>
      </w:tr>
      <w:tr w14:paraId="13F1F84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3A3ED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53391F"/>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08307BB">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E41D44">
            <w:pPr>
              <w:jc w:val="center"/>
            </w:pPr>
            <w:r>
              <w:rPr>
                <w:rFonts w:ascii="宋体" w:hAnsi="宋体" w:eastAsia="宋体"/>
                <w:sz w:val="16"/>
              </w:rPr>
              <w:t>资金发放及时率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5799CA">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B7115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4167D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D89D3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A06485">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96D8A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645C4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A3939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2D7A3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1568D9">
            <w:pPr>
              <w:jc w:val="center"/>
            </w:pPr>
          </w:p>
        </w:tc>
      </w:tr>
      <w:tr w14:paraId="7541C45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6A8C6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AE8D4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60328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8264D0">
            <w:pPr>
              <w:jc w:val="center"/>
            </w:pPr>
            <w:r>
              <w:rPr>
                <w:rFonts w:ascii="宋体" w:hAnsi="宋体" w:eastAsia="宋体"/>
                <w:sz w:val="16"/>
              </w:rPr>
              <w:t>出警救援及时率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3D5C95">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51E9F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8F373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B68C2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73F70C">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752F6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AA24B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B5D62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CF999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13435B">
            <w:pPr>
              <w:jc w:val="center"/>
            </w:pPr>
          </w:p>
        </w:tc>
      </w:tr>
      <w:tr w14:paraId="4614F69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6A9A5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B977CF">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2D6C47">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51DF06">
            <w:pPr>
              <w:jc w:val="center"/>
            </w:pPr>
            <w:r>
              <w:rPr>
                <w:rFonts w:ascii="宋体" w:hAnsi="宋体" w:eastAsia="宋体"/>
                <w:sz w:val="16"/>
              </w:rPr>
              <w:t>消防人员人均工资标准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E54735">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ECBFA1">
            <w:pPr>
              <w:jc w:val="center"/>
            </w:pPr>
            <w:r>
              <w:rPr>
                <w:rFonts w:ascii="宋体" w:hAnsi="宋体" w:eastAsia="宋体"/>
                <w:sz w:val="16"/>
              </w:rPr>
              <w:t>&lt;=2.38万元/人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166A18">
            <w:pPr>
              <w:jc w:val="center"/>
            </w:pPr>
            <w:r>
              <w:rPr>
                <w:rFonts w:ascii="宋体" w:hAnsi="宋体" w:eastAsia="宋体"/>
                <w:sz w:val="16"/>
              </w:rPr>
              <w:t>2.38万元/人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D2BB2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EA36E6">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36B6A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03E7F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D15FF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2D0DF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595A8C">
            <w:pPr>
              <w:jc w:val="center"/>
            </w:pPr>
          </w:p>
        </w:tc>
      </w:tr>
      <w:tr w14:paraId="7458A48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5E579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873C3B">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3DBEF3">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C82CB2">
            <w:pPr>
              <w:jc w:val="center"/>
            </w:pPr>
            <w:r>
              <w:rPr>
                <w:rFonts w:ascii="宋体" w:hAnsi="宋体" w:eastAsia="宋体"/>
                <w:sz w:val="16"/>
              </w:rPr>
              <w:t>保障消防救援队伍灭火救援执勤工作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3EE620">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7E8533">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8AFC2A">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D846A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F5821C">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9FCD3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753D0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0723CC">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69321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BDB5BD">
            <w:pPr>
              <w:jc w:val="center"/>
            </w:pPr>
          </w:p>
        </w:tc>
      </w:tr>
      <w:tr w14:paraId="50D69B9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1BB1E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3E17A4">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329F81">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8CD177">
            <w:pPr>
              <w:jc w:val="center"/>
            </w:pPr>
            <w:r>
              <w:rPr>
                <w:rFonts w:ascii="宋体" w:hAnsi="宋体" w:eastAsia="宋体"/>
                <w:sz w:val="16"/>
              </w:rPr>
              <w:t>消防人员满意度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F0443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46B564">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DA7B19">
            <w:pPr>
              <w:jc w:val="center"/>
            </w:pPr>
            <w:r>
              <w:rPr>
                <w:rFonts w:ascii="宋体" w:hAnsi="宋体" w:eastAsia="宋体"/>
                <w:sz w:val="16"/>
              </w:rPr>
              <w:t>92.95%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B82F9F">
            <w:pPr>
              <w:jc w:val="center"/>
            </w:pPr>
            <w:r>
              <w:rPr>
                <w:rFonts w:ascii="宋体" w:hAnsi="宋体" w:eastAsia="宋体"/>
                <w:sz w:val="16"/>
              </w:rPr>
              <w:t>103.27%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D4C6F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01391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E04DE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FBD4D0">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012D4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4873C5">
            <w:pPr>
              <w:jc w:val="center"/>
            </w:pPr>
            <w:r>
              <w:rPr>
                <w:rFonts w:ascii="宋体" w:hAnsi="宋体" w:eastAsia="宋体"/>
                <w:sz w:val="16"/>
              </w:rPr>
              <w:t>消防人员满意度较高。</w:t>
            </w:r>
          </w:p>
        </w:tc>
      </w:tr>
      <w:tr w14:paraId="32D5CCC5">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5B464C8B">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34F26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440A2BE"/>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0D22DE8"/>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FE1054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F966B7">
            <w:pPr>
              <w:jc w:val="center"/>
            </w:pPr>
            <w:r>
              <w:rPr>
                <w:rFonts w:ascii="宋体" w:hAnsi="宋体" w:eastAsia="宋体"/>
                <w:sz w:val="16"/>
              </w:rPr>
              <w:t>100分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A4013A2"/>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9B16893"/>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5F370A2"/>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1537D21"/>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BB5279B"/>
        </w:tc>
      </w:tr>
    </w:tbl>
    <w:p w14:paraId="52E201CE">
      <w:r>
        <w:br w:type="page"/>
      </w:r>
    </w:p>
    <w:tbl>
      <w:tblPr>
        <w:tblStyle w:val="9"/>
        <w:tblW w:w="0" w:type="auto"/>
        <w:tblInd w:w="0" w:type="dxa"/>
        <w:tblLayout w:type="autofit"/>
        <w:tblCellMar>
          <w:top w:w="0" w:type="dxa"/>
          <w:left w:w="108" w:type="dxa"/>
          <w:bottom w:w="0" w:type="dxa"/>
          <w:right w:w="108" w:type="dxa"/>
        </w:tblCellMar>
      </w:tblPr>
      <w:tblGrid>
        <w:gridCol w:w="628"/>
        <w:gridCol w:w="624"/>
        <w:gridCol w:w="624"/>
        <w:gridCol w:w="624"/>
        <w:gridCol w:w="626"/>
        <w:gridCol w:w="856"/>
        <w:gridCol w:w="696"/>
        <w:gridCol w:w="629"/>
        <w:gridCol w:w="626"/>
        <w:gridCol w:w="624"/>
        <w:gridCol w:w="624"/>
        <w:gridCol w:w="624"/>
        <w:gridCol w:w="624"/>
        <w:gridCol w:w="631"/>
      </w:tblGrid>
      <w:tr w14:paraId="6E50ED44">
        <w:tblPrEx>
          <w:tblCellMar>
            <w:top w:w="0" w:type="dxa"/>
            <w:left w:w="108" w:type="dxa"/>
            <w:bottom w:w="0" w:type="dxa"/>
            <w:right w:w="108" w:type="dxa"/>
          </w:tblCellMar>
        </w:tblPrEx>
        <w:tc>
          <w:tcPr>
            <w:tcW w:w="8848" w:type="dxa"/>
            <w:gridSpan w:val="14"/>
            <w:vAlign w:val="center"/>
          </w:tcPr>
          <w:p w14:paraId="73B1C239">
            <w:pPr>
              <w:jc w:val="center"/>
            </w:pPr>
            <w:r>
              <w:rPr>
                <w:rFonts w:ascii="宋体" w:hAnsi="宋体" w:eastAsia="宋体"/>
                <w:sz w:val="24"/>
              </w:rPr>
              <w:t>项目支出绩效自评表</w:t>
            </w:r>
          </w:p>
        </w:tc>
      </w:tr>
      <w:tr w14:paraId="106C6477">
        <w:tblPrEx>
          <w:tblCellMar>
            <w:top w:w="0" w:type="dxa"/>
            <w:left w:w="108" w:type="dxa"/>
            <w:bottom w:w="0" w:type="dxa"/>
            <w:right w:w="108" w:type="dxa"/>
          </w:tblCellMar>
        </w:tblPrEx>
        <w:tc>
          <w:tcPr>
            <w:tcW w:w="8848" w:type="dxa"/>
            <w:gridSpan w:val="14"/>
            <w:vAlign w:val="center"/>
          </w:tcPr>
          <w:p w14:paraId="10B97033">
            <w:pPr>
              <w:jc w:val="center"/>
            </w:pPr>
            <w:r>
              <w:rPr>
                <w:rFonts w:ascii="宋体" w:hAnsi="宋体" w:eastAsia="宋体"/>
                <w:sz w:val="24"/>
              </w:rPr>
              <w:t>(2024年度)</w:t>
            </w:r>
          </w:p>
        </w:tc>
      </w:tr>
      <w:tr w14:paraId="725787A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66B72E">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4D60E91">
            <w:pPr>
              <w:jc w:val="center"/>
            </w:pPr>
            <w:r>
              <w:rPr>
                <w:rFonts w:ascii="宋体" w:hAnsi="宋体" w:eastAsia="宋体"/>
                <w:sz w:val="16"/>
              </w:rPr>
              <w:t>霍城县消防救援大队经费</w:t>
            </w:r>
          </w:p>
        </w:tc>
      </w:tr>
      <w:tr w14:paraId="6D1764D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64D1D3">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DBC30E0">
            <w:pPr>
              <w:jc w:val="center"/>
            </w:pPr>
            <w:r>
              <w:rPr>
                <w:rFonts w:ascii="宋体" w:hAnsi="宋体" w:eastAsia="宋体"/>
                <w:sz w:val="16"/>
              </w:rPr>
              <w:t>霍城县应急管理局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0E9C99">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CFE878B">
            <w:pPr>
              <w:jc w:val="center"/>
            </w:pPr>
            <w:r>
              <w:rPr>
                <w:rFonts w:ascii="宋体" w:hAnsi="宋体" w:eastAsia="宋体"/>
                <w:sz w:val="16"/>
              </w:rPr>
              <w:t>霍城县应急管理局</w:t>
            </w:r>
          </w:p>
        </w:tc>
      </w:tr>
      <w:tr w14:paraId="22EDB58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5423601">
            <w:pPr>
              <w:jc w:val="center"/>
            </w:pPr>
            <w:r>
              <w:rPr>
                <w:rFonts w:ascii="宋体" w:hAnsi="宋体" w:eastAsia="宋体"/>
                <w:sz w:val="16"/>
              </w:rPr>
              <w:t>项目资金（万元）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D4AF13">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577EA4">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B8CA8A">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72220B">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BF3C3B">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8105D5">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2E5193">
            <w:pPr>
              <w:jc w:val="center"/>
            </w:pPr>
            <w:r>
              <w:rPr>
                <w:rFonts w:ascii="宋体" w:hAnsi="宋体" w:eastAsia="宋体"/>
                <w:sz w:val="16"/>
              </w:rPr>
              <w:t>得分</w:t>
            </w:r>
          </w:p>
        </w:tc>
      </w:tr>
      <w:tr w14:paraId="72D0F84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D2600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71DF67">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08FF3F">
            <w:pPr>
              <w:jc w:val="center"/>
            </w:pPr>
            <w:r>
              <w:rPr>
                <w:rFonts w:ascii="宋体" w:hAnsi="宋体" w:eastAsia="宋体"/>
                <w:sz w:val="16"/>
              </w:rPr>
              <w:t>200.00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80FE39">
            <w:pPr>
              <w:jc w:val="center"/>
            </w:pPr>
            <w:r>
              <w:rPr>
                <w:rFonts w:ascii="宋体" w:hAnsi="宋体" w:eastAsia="宋体"/>
                <w:sz w:val="16"/>
              </w:rPr>
              <w:t>295.87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F02F76">
            <w:pPr>
              <w:jc w:val="center"/>
            </w:pPr>
            <w:r>
              <w:rPr>
                <w:rFonts w:ascii="宋体" w:hAnsi="宋体" w:eastAsia="宋体"/>
                <w:sz w:val="16"/>
              </w:rPr>
              <w:t>295.87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6053A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5E7F12">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EA1151">
            <w:pPr>
              <w:jc w:val="center"/>
            </w:pPr>
            <w:r>
              <w:rPr>
                <w:rFonts w:ascii="宋体" w:hAnsi="宋体" w:eastAsia="宋体"/>
                <w:sz w:val="16"/>
              </w:rPr>
              <w:t>10.00</w:t>
            </w:r>
          </w:p>
        </w:tc>
      </w:tr>
      <w:tr w14:paraId="57B4EAB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879E3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F30C24">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95A0D2">
            <w:pPr>
              <w:jc w:val="center"/>
            </w:pPr>
            <w:r>
              <w:rPr>
                <w:rFonts w:ascii="宋体" w:hAnsi="宋体" w:eastAsia="宋体"/>
                <w:sz w:val="16"/>
              </w:rPr>
              <w:t>200.00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A41D1A">
            <w:pPr>
              <w:jc w:val="center"/>
            </w:pPr>
            <w:r>
              <w:rPr>
                <w:rFonts w:ascii="宋体" w:hAnsi="宋体" w:eastAsia="宋体"/>
                <w:sz w:val="16"/>
              </w:rPr>
              <w:t>295.87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5B2C0E">
            <w:pPr>
              <w:jc w:val="center"/>
            </w:pPr>
            <w:r>
              <w:rPr>
                <w:rFonts w:ascii="宋体" w:hAnsi="宋体" w:eastAsia="宋体"/>
                <w:sz w:val="16"/>
              </w:rPr>
              <w:t>295.87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A1F2A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EC644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D1E020">
            <w:pPr>
              <w:jc w:val="center"/>
            </w:pPr>
            <w:r>
              <w:rPr>
                <w:rFonts w:ascii="宋体" w:hAnsi="宋体" w:eastAsia="宋体"/>
                <w:sz w:val="16"/>
              </w:rPr>
              <w:t>—</w:t>
            </w:r>
          </w:p>
        </w:tc>
      </w:tr>
      <w:tr w14:paraId="0A45C3F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E68C1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794DDB">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C0594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4232E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3B762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20F27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BD626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DD27CE">
            <w:pPr>
              <w:jc w:val="center"/>
            </w:pPr>
            <w:r>
              <w:rPr>
                <w:rFonts w:ascii="宋体" w:hAnsi="宋体" w:eastAsia="宋体"/>
                <w:sz w:val="16"/>
              </w:rPr>
              <w:t>—</w:t>
            </w:r>
          </w:p>
        </w:tc>
      </w:tr>
      <w:tr w14:paraId="034E829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5047729">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65B14F7">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76B7254">
            <w:pPr>
              <w:jc w:val="center"/>
            </w:pPr>
            <w:r>
              <w:rPr>
                <w:rFonts w:ascii="宋体" w:hAnsi="宋体" w:eastAsia="宋体"/>
                <w:sz w:val="16"/>
              </w:rPr>
              <w:t>实际完成情况</w:t>
            </w:r>
          </w:p>
        </w:tc>
      </w:tr>
      <w:tr w14:paraId="7A7FB0B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FFAFB3"/>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3557376">
            <w:pPr>
              <w:jc w:val="both"/>
            </w:pPr>
            <w:r>
              <w:rPr>
                <w:rFonts w:ascii="宋体" w:hAnsi="宋体" w:eastAsia="宋体"/>
                <w:sz w:val="16"/>
              </w:rPr>
              <w:t>紧紧围绕社会稳定和长治久安的总目标，全力做好消防救援，应急处置各类灭火救援、火灾扑救、抗洪抢险、抗震救灾、社会面抢险救援、公民遇险救助等救援救助工作，为全县消防救援提供保障，做好人民群众安全和利益保障。具体包括：一、负责救援灭火出警，组织开展消防防火监督检查，协调组织灭火救援救助工作，开展消防培训及宣传工作。二、建立完善消防监查工作，指导全县各类企业及九小场所消防防火灭火工作。三、指导全县相关部门、各企业事业单位、商超及学校等突发事件和防火应急演练工作。四、建立完善的财务管理制度，保障消防业务经费正常支付，保证财政资金监管环节的畅通。</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7FAA8EF">
            <w:pPr>
              <w:jc w:val="both"/>
            </w:pPr>
            <w:r>
              <w:rPr>
                <w:rFonts w:ascii="宋体" w:hAnsi="宋体" w:eastAsia="宋体"/>
                <w:sz w:val="16"/>
              </w:rPr>
              <w:t>2024年完成了36名国家消防救援人员每人4.30万元业务经费，总计155.02万元；完成27名政府专职消防员工资每人每月4013元，发放13次，总计140.85万元；切实保障了消防救援人员灭火执勤、抢险救援等社会面救援工作积极性，确保人民群众安全和利益保障。</w:t>
            </w:r>
          </w:p>
        </w:tc>
      </w:tr>
      <w:tr w14:paraId="6D3E560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34743E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F95436">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FA0D2A">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966B74">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CB7DE5">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6E5853">
            <w:pPr>
              <w:jc w:val="center"/>
            </w:pPr>
            <w:r>
              <w:rPr>
                <w:rFonts w:ascii="宋体" w:hAnsi="宋体" w:eastAsia="宋体"/>
                <w:sz w:val="16"/>
              </w:rPr>
              <w:t>目标值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4537AF">
            <w:pPr>
              <w:jc w:val="center"/>
            </w:pPr>
            <w:r>
              <w:rPr>
                <w:rFonts w:ascii="宋体" w:hAnsi="宋体" w:eastAsia="宋体"/>
                <w:sz w:val="16"/>
              </w:rPr>
              <w:t>业绩值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24097D">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509E0F">
            <w:pPr>
              <w:jc w:val="center"/>
            </w:pPr>
            <w:r>
              <w:rPr>
                <w:rFonts w:ascii="宋体" w:hAnsi="宋体" w:eastAsia="宋体"/>
                <w:sz w:val="16"/>
              </w:rPr>
              <w:t>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CF74ED">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2149C2">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032A70">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1C02A0">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A6AC9A">
            <w:pPr>
              <w:jc w:val="center"/>
            </w:pPr>
            <w:r>
              <w:rPr>
                <w:rFonts w:ascii="宋体" w:hAnsi="宋体" w:eastAsia="宋体"/>
                <w:sz w:val="16"/>
              </w:rPr>
              <w:t>偏差原因分析及改进措施</w:t>
            </w:r>
          </w:p>
        </w:tc>
      </w:tr>
      <w:tr w14:paraId="15643AF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030C568">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670AEF7">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559A41F">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AB8E18">
            <w:pPr>
              <w:jc w:val="center"/>
            </w:pPr>
            <w:r>
              <w:rPr>
                <w:rFonts w:ascii="宋体" w:hAnsi="宋体" w:eastAsia="宋体"/>
                <w:sz w:val="16"/>
              </w:rPr>
              <w:t>保障人员数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E932FA">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A58E25">
            <w:pPr>
              <w:jc w:val="center"/>
            </w:pPr>
            <w:r>
              <w:rPr>
                <w:rFonts w:ascii="宋体" w:hAnsi="宋体" w:eastAsia="宋体"/>
                <w:sz w:val="16"/>
              </w:rPr>
              <w:t>=27人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40ABCE">
            <w:pPr>
              <w:jc w:val="center"/>
            </w:pPr>
            <w:r>
              <w:rPr>
                <w:rFonts w:ascii="宋体" w:hAnsi="宋体" w:eastAsia="宋体"/>
                <w:sz w:val="16"/>
              </w:rPr>
              <w:t>27人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D58AE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963619">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5698F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8F408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48CC7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D9FE3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85713D">
            <w:pPr>
              <w:jc w:val="center"/>
            </w:pPr>
          </w:p>
        </w:tc>
      </w:tr>
      <w:tr w14:paraId="07CD9D8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F8A12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4F6F0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153EC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57C63A">
            <w:pPr>
              <w:jc w:val="center"/>
            </w:pPr>
            <w:r>
              <w:rPr>
                <w:rFonts w:ascii="宋体" w:hAnsi="宋体" w:eastAsia="宋体"/>
                <w:sz w:val="16"/>
              </w:rPr>
              <w:t>防火减灾宣传工作开展次数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DD3E13">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ACC236">
            <w:pPr>
              <w:jc w:val="center"/>
            </w:pPr>
            <w:r>
              <w:rPr>
                <w:rFonts w:ascii="宋体" w:hAnsi="宋体" w:eastAsia="宋体"/>
                <w:sz w:val="16"/>
              </w:rPr>
              <w:t>=12次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FA99B5">
            <w:pPr>
              <w:jc w:val="center"/>
            </w:pPr>
            <w:r>
              <w:rPr>
                <w:rFonts w:ascii="宋体" w:hAnsi="宋体" w:eastAsia="宋体"/>
                <w:sz w:val="16"/>
              </w:rPr>
              <w:t>12次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63033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124D19">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FBEC4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D1E05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A40C3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09754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5335E4">
            <w:pPr>
              <w:jc w:val="center"/>
            </w:pPr>
          </w:p>
        </w:tc>
      </w:tr>
      <w:tr w14:paraId="624CAD3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CCE27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FAA09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2BC2F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E6076E">
            <w:pPr>
              <w:jc w:val="center"/>
            </w:pPr>
            <w:r>
              <w:rPr>
                <w:rFonts w:ascii="宋体" w:hAnsi="宋体" w:eastAsia="宋体"/>
                <w:sz w:val="16"/>
              </w:rPr>
              <w:t>资金发放次数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53AF30">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042A82">
            <w:pPr>
              <w:jc w:val="center"/>
            </w:pPr>
            <w:r>
              <w:rPr>
                <w:rFonts w:ascii="宋体" w:hAnsi="宋体" w:eastAsia="宋体"/>
                <w:sz w:val="16"/>
              </w:rPr>
              <w:t>=13次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E6F05F">
            <w:pPr>
              <w:jc w:val="center"/>
            </w:pPr>
            <w:r>
              <w:rPr>
                <w:rFonts w:ascii="宋体" w:hAnsi="宋体" w:eastAsia="宋体"/>
                <w:sz w:val="16"/>
              </w:rPr>
              <w:t>13次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A5A0E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960597">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E1DF5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E29E7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2939A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F2414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6C3956">
            <w:pPr>
              <w:jc w:val="center"/>
            </w:pPr>
          </w:p>
        </w:tc>
      </w:tr>
      <w:tr w14:paraId="283466D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5D714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86E87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B02400">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21515C">
            <w:pPr>
              <w:jc w:val="center"/>
            </w:pPr>
            <w:r>
              <w:rPr>
                <w:rFonts w:ascii="宋体" w:hAnsi="宋体" w:eastAsia="宋体"/>
                <w:sz w:val="16"/>
              </w:rPr>
              <w:t>资金发放准确率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29536F">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E350F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E7F4F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00052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7C6E0B">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A4FCB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83B07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B6E06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65DD5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F8587B">
            <w:pPr>
              <w:jc w:val="center"/>
            </w:pPr>
          </w:p>
        </w:tc>
      </w:tr>
      <w:tr w14:paraId="7DA9F2A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F172F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4D4CC0"/>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BDA363F">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E19A2C">
            <w:pPr>
              <w:jc w:val="center"/>
            </w:pPr>
            <w:r>
              <w:rPr>
                <w:rFonts w:ascii="宋体" w:hAnsi="宋体" w:eastAsia="宋体"/>
                <w:sz w:val="16"/>
              </w:rPr>
              <w:t>消防业务经费保障及时率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776315">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B2C43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0DF97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56DB1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29B2E8">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6DBE5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31D84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D7AC2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01F5F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0B3720">
            <w:pPr>
              <w:jc w:val="center"/>
            </w:pPr>
          </w:p>
        </w:tc>
      </w:tr>
      <w:tr w14:paraId="3B85CFA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D7266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89D52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1A0F4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B728C6">
            <w:pPr>
              <w:jc w:val="center"/>
            </w:pPr>
            <w:r>
              <w:rPr>
                <w:rFonts w:ascii="宋体" w:hAnsi="宋体" w:eastAsia="宋体"/>
                <w:sz w:val="16"/>
              </w:rPr>
              <w:t>出警救援及时率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3DA785">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DBF4C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946CC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3CB9E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D32430">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A0E8E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49D42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9CA01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2B874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D9AF74">
            <w:pPr>
              <w:jc w:val="center"/>
            </w:pPr>
          </w:p>
        </w:tc>
      </w:tr>
      <w:tr w14:paraId="7203E1E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51C67C"/>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CBE588B">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D6A60C3">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22B247">
            <w:pPr>
              <w:jc w:val="center"/>
            </w:pPr>
            <w:r>
              <w:rPr>
                <w:rFonts w:ascii="宋体" w:hAnsi="宋体" w:eastAsia="宋体"/>
                <w:sz w:val="16"/>
              </w:rPr>
              <w:t>消防人员运转经费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287C8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E70477">
            <w:pPr>
              <w:jc w:val="center"/>
            </w:pPr>
            <w:r>
              <w:rPr>
                <w:rFonts w:ascii="宋体" w:hAnsi="宋体" w:eastAsia="宋体"/>
                <w:sz w:val="16"/>
              </w:rPr>
              <w:t>&lt;=155.02万元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C35581">
            <w:pPr>
              <w:jc w:val="center"/>
            </w:pPr>
            <w:r>
              <w:rPr>
                <w:rFonts w:ascii="宋体" w:hAnsi="宋体" w:eastAsia="宋体"/>
                <w:sz w:val="16"/>
              </w:rPr>
              <w:t>155.02万元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9740E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A6B52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6DF32B">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C7185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D971B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7229F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1D4A6C">
            <w:pPr>
              <w:jc w:val="center"/>
            </w:pPr>
          </w:p>
        </w:tc>
      </w:tr>
      <w:tr w14:paraId="4493561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13546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DB274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39F4C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39EC15">
            <w:pPr>
              <w:jc w:val="center"/>
            </w:pPr>
            <w:r>
              <w:rPr>
                <w:rFonts w:ascii="宋体" w:hAnsi="宋体" w:eastAsia="宋体"/>
                <w:sz w:val="16"/>
              </w:rPr>
              <w:t>消防人均工资标准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B3121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DA34A2">
            <w:pPr>
              <w:jc w:val="center"/>
            </w:pPr>
            <w:r>
              <w:rPr>
                <w:rFonts w:ascii="宋体" w:hAnsi="宋体" w:eastAsia="宋体"/>
                <w:sz w:val="16"/>
              </w:rPr>
              <w:t>&lt;=4013元/人/月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480B44">
            <w:pPr>
              <w:jc w:val="center"/>
            </w:pPr>
            <w:r>
              <w:rPr>
                <w:rFonts w:ascii="宋体" w:hAnsi="宋体" w:eastAsia="宋体"/>
                <w:sz w:val="16"/>
              </w:rPr>
              <w:t>4013元/人/月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3DAF5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0BB71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8506BF">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17D10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038C7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8192E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426183">
            <w:pPr>
              <w:jc w:val="center"/>
            </w:pPr>
          </w:p>
        </w:tc>
      </w:tr>
      <w:tr w14:paraId="341417C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1B4AF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89518C">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AF658B">
            <w:pPr>
              <w:jc w:val="center"/>
            </w:pPr>
            <w:r>
              <w:rPr>
                <w:rFonts w:ascii="宋体" w:hAnsi="宋体" w:eastAsia="宋体"/>
                <w:sz w:val="16"/>
              </w:rPr>
              <w:t>经济效益指标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59BB22">
            <w:pPr>
              <w:jc w:val="center"/>
            </w:pPr>
            <w:r>
              <w:rPr>
                <w:rFonts w:ascii="宋体" w:hAnsi="宋体" w:eastAsia="宋体"/>
                <w:sz w:val="16"/>
              </w:rPr>
              <w:t>保障消防救援队伍灭火救援执勤工作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65B140">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4ACA23">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D7D18D">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9BCC6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EE734F">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ED2D3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1090D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499FE1">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776DC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787D32">
            <w:pPr>
              <w:jc w:val="center"/>
            </w:pPr>
          </w:p>
        </w:tc>
      </w:tr>
      <w:tr w14:paraId="35ED1AF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C5DBF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31A5E5">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CFC74D">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99D170">
            <w:pPr>
              <w:jc w:val="center"/>
            </w:pPr>
            <w:r>
              <w:rPr>
                <w:rFonts w:ascii="宋体" w:hAnsi="宋体" w:eastAsia="宋体"/>
                <w:sz w:val="16"/>
              </w:rPr>
              <w:t>消防人员满意度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D73C8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261822">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F7FC58">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C0925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9CEA8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5BA18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022DB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A7F6C4">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6A335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3704B6">
            <w:pPr>
              <w:jc w:val="center"/>
            </w:pPr>
          </w:p>
        </w:tc>
      </w:tr>
      <w:tr w14:paraId="10127044">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0A7B3D7D">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C1A63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C1254EE"/>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7D531C7"/>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5042A5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4531A1">
            <w:pPr>
              <w:jc w:val="center"/>
            </w:pPr>
            <w:r>
              <w:rPr>
                <w:rFonts w:ascii="宋体" w:hAnsi="宋体" w:eastAsia="宋体"/>
                <w:sz w:val="16"/>
              </w:rPr>
              <w:t>100分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A0426A3"/>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942962B"/>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1F834FF"/>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B7A363A"/>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336C1D1"/>
        </w:tc>
      </w:tr>
    </w:tbl>
    <w:p w14:paraId="1B3A7E8A">
      <w:r>
        <w:br w:type="page"/>
      </w:r>
    </w:p>
    <w:p w14:paraId="2B206C0B">
      <w:pPr>
        <w:spacing w:line="640" w:lineRule="exact"/>
        <w:ind w:firstLine="640"/>
        <w:jc w:val="both"/>
        <w:outlineLvl w:val="2"/>
      </w:pPr>
      <w:r>
        <w:rPr>
          <w:rFonts w:ascii="黑体" w:hAnsi="黑体" w:eastAsia="黑体"/>
          <w:sz w:val="32"/>
        </w:rPr>
        <w:t>十二、其他需说明的事项</w:t>
      </w:r>
    </w:p>
    <w:p w14:paraId="5F6DF3F2">
      <w:pPr>
        <w:spacing w:line="580" w:lineRule="exact"/>
        <w:ind w:firstLine="640"/>
        <w:jc w:val="both"/>
      </w:pPr>
      <w:r>
        <w:rPr>
          <w:rFonts w:ascii="仿宋_GB2312" w:hAnsi="仿宋_GB2312" w:eastAsia="仿宋_GB2312"/>
          <w:b w:val="0"/>
          <w:sz w:val="32"/>
        </w:rPr>
        <w:t>本单位无其他需说明的事项。</w:t>
      </w:r>
    </w:p>
    <w:p w14:paraId="1E6712B3">
      <w:r>
        <w:br w:type="page"/>
      </w:r>
    </w:p>
    <w:p w14:paraId="2ADEC55E">
      <w:pPr>
        <w:spacing w:line="240" w:lineRule="auto"/>
        <w:jc w:val="center"/>
        <w:outlineLvl w:val="1"/>
      </w:pPr>
      <w:r>
        <w:rPr>
          <w:rFonts w:ascii="黑体" w:hAnsi="黑体" w:eastAsia="黑体"/>
          <w:sz w:val="32"/>
        </w:rPr>
        <w:t>第三部分 专业名词解释</w:t>
      </w:r>
    </w:p>
    <w:p w14:paraId="45F7C24E">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65E7991B">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367D34EB">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17866CB9">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1E3C09F0">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6DB11EC3">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4D2D0F17">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5F6A3CDA">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618A7268">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45A4C080">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32FB3157">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09D542DA">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2E02918C">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6EC7C0BF">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00C233C2">
      <w:r>
        <w:br w:type="page"/>
      </w:r>
    </w:p>
    <w:p w14:paraId="0E852C19">
      <w:pPr>
        <w:spacing w:line="240" w:lineRule="auto"/>
        <w:jc w:val="center"/>
        <w:outlineLvl w:val="1"/>
      </w:pPr>
      <w:r>
        <w:rPr>
          <w:rFonts w:ascii="黑体" w:hAnsi="黑体" w:eastAsia="黑体"/>
          <w:sz w:val="32"/>
        </w:rPr>
        <w:t>第四部分 部门决算报表（见附表）</w:t>
      </w:r>
    </w:p>
    <w:p w14:paraId="73269373">
      <w:pPr>
        <w:spacing w:line="240" w:lineRule="auto"/>
        <w:ind w:firstLine="640"/>
        <w:jc w:val="both"/>
      </w:pPr>
      <w:r>
        <w:rPr>
          <w:rFonts w:ascii="仿宋_GB2312" w:hAnsi="仿宋_GB2312" w:eastAsia="仿宋_GB2312"/>
          <w:b w:val="0"/>
          <w:sz w:val="32"/>
        </w:rPr>
        <w:t>一、《收入支出决算总表》</w:t>
      </w:r>
    </w:p>
    <w:p w14:paraId="004FC19F">
      <w:pPr>
        <w:spacing w:line="240" w:lineRule="auto"/>
        <w:ind w:firstLine="640"/>
        <w:jc w:val="both"/>
      </w:pPr>
      <w:r>
        <w:rPr>
          <w:rFonts w:ascii="仿宋_GB2312" w:hAnsi="仿宋_GB2312" w:eastAsia="仿宋_GB2312"/>
          <w:b w:val="0"/>
          <w:sz w:val="32"/>
        </w:rPr>
        <w:t>二、《收入决算表》</w:t>
      </w:r>
    </w:p>
    <w:p w14:paraId="360E1EA9">
      <w:pPr>
        <w:spacing w:line="240" w:lineRule="auto"/>
        <w:ind w:firstLine="640"/>
        <w:jc w:val="both"/>
      </w:pPr>
      <w:r>
        <w:rPr>
          <w:rFonts w:ascii="仿宋_GB2312" w:hAnsi="仿宋_GB2312" w:eastAsia="仿宋_GB2312"/>
          <w:b w:val="0"/>
          <w:sz w:val="32"/>
        </w:rPr>
        <w:t>三、《支出决算表》</w:t>
      </w:r>
    </w:p>
    <w:p w14:paraId="23EAAAC6">
      <w:pPr>
        <w:spacing w:line="240" w:lineRule="auto"/>
        <w:ind w:firstLine="640"/>
        <w:jc w:val="both"/>
      </w:pPr>
      <w:r>
        <w:rPr>
          <w:rFonts w:ascii="仿宋_GB2312" w:hAnsi="仿宋_GB2312" w:eastAsia="仿宋_GB2312"/>
          <w:b w:val="0"/>
          <w:sz w:val="32"/>
        </w:rPr>
        <w:t>四、《财政拨款收入支出决算总表》</w:t>
      </w:r>
    </w:p>
    <w:p w14:paraId="30B1F1BB">
      <w:pPr>
        <w:spacing w:line="240" w:lineRule="auto"/>
        <w:ind w:firstLine="640"/>
        <w:jc w:val="both"/>
      </w:pPr>
      <w:r>
        <w:rPr>
          <w:rFonts w:ascii="仿宋_GB2312" w:hAnsi="仿宋_GB2312" w:eastAsia="仿宋_GB2312"/>
          <w:b w:val="0"/>
          <w:sz w:val="32"/>
        </w:rPr>
        <w:t>五、《一般公共预算财政拨款支出决算表》</w:t>
      </w:r>
    </w:p>
    <w:p w14:paraId="7AF1031B">
      <w:pPr>
        <w:spacing w:line="240" w:lineRule="auto"/>
        <w:ind w:firstLine="640"/>
        <w:jc w:val="both"/>
      </w:pPr>
      <w:r>
        <w:rPr>
          <w:rFonts w:ascii="仿宋_GB2312" w:hAnsi="仿宋_GB2312" w:eastAsia="仿宋_GB2312"/>
          <w:b w:val="0"/>
          <w:sz w:val="32"/>
        </w:rPr>
        <w:t>六、《一般公共预算财政拨款基本支出决算表》</w:t>
      </w:r>
    </w:p>
    <w:p w14:paraId="7A93F20F">
      <w:pPr>
        <w:spacing w:line="240" w:lineRule="auto"/>
        <w:ind w:firstLine="640"/>
        <w:jc w:val="both"/>
      </w:pPr>
      <w:r>
        <w:rPr>
          <w:rFonts w:ascii="仿宋_GB2312" w:hAnsi="仿宋_GB2312" w:eastAsia="仿宋_GB2312"/>
          <w:b w:val="0"/>
          <w:sz w:val="32"/>
        </w:rPr>
        <w:t>七、《政府性基金预算财政拨款收入支出决算表》</w:t>
      </w:r>
    </w:p>
    <w:p w14:paraId="48B539C0">
      <w:pPr>
        <w:spacing w:line="240" w:lineRule="auto"/>
        <w:ind w:firstLine="640"/>
        <w:jc w:val="both"/>
      </w:pPr>
      <w:r>
        <w:rPr>
          <w:rFonts w:ascii="仿宋_GB2312" w:hAnsi="仿宋_GB2312" w:eastAsia="仿宋_GB2312"/>
          <w:b w:val="0"/>
          <w:sz w:val="32"/>
        </w:rPr>
        <w:t>八、《国有资本经营预算财政拨款收入支出决算表》</w:t>
      </w:r>
    </w:p>
    <w:p w14:paraId="526D4488">
      <w:pPr>
        <w:spacing w:line="240" w:lineRule="auto"/>
        <w:ind w:firstLine="640"/>
        <w:jc w:val="both"/>
      </w:pPr>
      <w:r>
        <w:rPr>
          <w:rFonts w:ascii="仿宋_GB2312" w:hAnsi="仿宋_GB2312" w:eastAsia="仿宋_GB2312"/>
          <w:b w:val="0"/>
          <w:sz w:val="32"/>
        </w:rPr>
        <w:t>九、《财政拨款“三公”经费支出决算表》</w:t>
      </w:r>
    </w:p>
    <w:p w14:paraId="5289F6B8">
      <w:pPr>
        <w:spacing w:line="240" w:lineRule="auto"/>
        <w:ind w:firstLine="640"/>
        <w:jc w:val="both"/>
      </w:pPr>
    </w:p>
    <w:p w14:paraId="43DC34EA">
      <w:pPr>
        <w:spacing w:line="240" w:lineRule="auto"/>
        <w:ind w:firstLine="640"/>
        <w:jc w:val="both"/>
      </w:pPr>
    </w:p>
    <w:p w14:paraId="28A119E3">
      <w:pPr>
        <w:spacing w:line="240" w:lineRule="auto"/>
        <w:ind w:firstLine="640"/>
        <w:jc w:val="both"/>
      </w:pPr>
    </w:p>
    <w:p w14:paraId="7A33994B">
      <w:pPr>
        <w:spacing w:line="240" w:lineRule="auto"/>
        <w:ind w:firstLine="640"/>
        <w:jc w:val="both"/>
      </w:pPr>
    </w:p>
    <w:p w14:paraId="68811E6B">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4E780C08-4BD9-4B17-BAA0-9EE1B5CC85F9}"/>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FangSong_GB2312">
    <w:altName w:val="仿宋_GB2312"/>
    <w:panose1 w:val="020B0604020202020204"/>
    <w:charset w:val="86"/>
    <w:family w:val="modern"/>
    <w:pitch w:val="default"/>
    <w:sig w:usb0="00000000" w:usb1="00000000" w:usb2="00000010" w:usb3="00000000" w:csb0="00040000" w:csb1="00000000"/>
  </w:font>
  <w:font w:name="仿宋_GB2312">
    <w:panose1 w:val="02010609030101010101"/>
    <w:charset w:val="86"/>
    <w:family w:val="auto"/>
    <w:pitch w:val="default"/>
    <w:sig w:usb0="00000001" w:usb1="080E0000" w:usb2="00000000" w:usb3="00000000" w:csb0="00040000" w:csb1="00000000"/>
    <w:embedRegular r:id="rId2" w:fontKey="{6D6265EF-BD05-4649-8292-2386559E7489}"/>
  </w:font>
  <w:font w:name="楷体_GB2312">
    <w:panose1 w:val="02010609030101010101"/>
    <w:charset w:val="86"/>
    <w:family w:val="auto"/>
    <w:pitch w:val="default"/>
    <w:sig w:usb0="00000001" w:usb1="080E0000" w:usb2="00000000" w:usb3="00000000" w:csb0="00040000" w:csb1="00000000"/>
    <w:embedRegular r:id="rId3" w:fontKey="{BC788439-B805-4195-87E5-1247BAACC4CA}"/>
  </w:font>
  <w:font w:name="方正小标宋_GBK">
    <w:panose1 w:val="02000000000000000000"/>
    <w:charset w:val="86"/>
    <w:family w:val="script"/>
    <w:pitch w:val="default"/>
    <w:sig w:usb0="A00002BF" w:usb1="38CF7CFA" w:usb2="00082016" w:usb3="00000000" w:csb0="00040001" w:csb1="00000000"/>
    <w:embedRegular r:id="rId4" w:fontKey="{76F50AEB-DB4D-48E4-9791-6E23BF86101E}"/>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1"/>
  <w:embedTrueTypeFonts/>
  <w:saveSubsetFonts/>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87344A"/>
    <w:rsid w:val="0F9811B3"/>
    <w:rsid w:val="11E15093"/>
    <w:rsid w:val="120E0809"/>
    <w:rsid w:val="19071D6C"/>
    <w:rsid w:val="19B5554D"/>
    <w:rsid w:val="1B8F2D19"/>
    <w:rsid w:val="1C317E4F"/>
    <w:rsid w:val="1C472464"/>
    <w:rsid w:val="1DAF458D"/>
    <w:rsid w:val="1E086ACE"/>
    <w:rsid w:val="1E4B5CA5"/>
    <w:rsid w:val="1E780B2E"/>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1C279D0"/>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28</Pages>
  <Words>6545</Words>
  <Characters>7416</Characters>
  <Lines>0</Lines>
  <Paragraphs>0</Paragraphs>
  <TotalTime>15</TotalTime>
  <ScaleCrop>false</ScaleCrop>
  <LinksUpToDate>false</LinksUpToDate>
  <CharactersWithSpaces>7424</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来财&amp;十个晴天</cp:lastModifiedBy>
  <cp:lastPrinted>2024-07-22T11:58:00Z</cp:lastPrinted>
  <dcterms:modified xsi:type="dcterms:W3CDTF">2025-09-25T02:21:54Z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eyJoZGlkIjoiNTBiYjFiYzY0OWM2ODlhYjA1NDAwODJkOGMwZGNkYTMiLCJ1c2VySWQiOiIzNzI2MDMzNTYifQ==</vt:lpwstr>
  </property>
</Properties>
</file>