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霍城县大西沟中心学校2024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6E4F812">
      <w:r>
        <w:br w:type="page"/>
      </w:r>
    </w:p>
    <w:p w14:paraId="79496134">
      <w:pPr>
        <w:spacing w:line="640" w:lineRule="exact"/>
        <w:jc w:val="center"/>
        <w:outlineLvl w:val="1"/>
      </w:pPr>
      <w:r>
        <w:rPr>
          <w:rFonts w:ascii="黑体" w:hAnsi="黑体" w:eastAsia="黑体"/>
          <w:sz w:val="32"/>
        </w:rPr>
        <w:t>第一部分 单位概况</w:t>
      </w:r>
    </w:p>
    <w:p w14:paraId="74AA0BAA">
      <w:pPr>
        <w:spacing w:line="640" w:lineRule="exact"/>
        <w:ind w:firstLine="640"/>
        <w:jc w:val="both"/>
        <w:outlineLvl w:val="2"/>
      </w:pPr>
      <w:r>
        <w:rPr>
          <w:rFonts w:ascii="黑体" w:hAnsi="黑体" w:eastAsia="黑体"/>
          <w:sz w:val="32"/>
        </w:rPr>
        <w:t>一、主要职能</w:t>
      </w:r>
    </w:p>
    <w:p w14:paraId="24CA223D">
      <w:pPr>
        <w:spacing w:line="580" w:lineRule="exact"/>
        <w:ind w:firstLine="640"/>
        <w:jc w:val="both"/>
      </w:pPr>
      <w:r>
        <w:rPr>
          <w:rFonts w:ascii="仿宋_GB2312" w:hAnsi="仿宋_GB2312" w:eastAsia="仿宋_GB2312"/>
          <w:sz w:val="32"/>
        </w:rPr>
        <w:t>霍城县大西沟中心学校系义务教育学校。负责贯彻党的教育方针,坚持正确办学方向,实行教育与生产劳动相结合,对学生进行德育、智育、体育、美育</w:t>
      </w:r>
      <w:r>
        <w:rPr>
          <w:rFonts w:hint="eastAsia" w:ascii="仿宋_GB2312" w:hAnsi="仿宋_GB2312" w:eastAsia="仿宋_GB2312"/>
          <w:sz w:val="32"/>
          <w:lang w:eastAsia="zh-CN"/>
        </w:rPr>
        <w:t>、</w:t>
      </w:r>
      <w:r>
        <w:rPr>
          <w:rFonts w:ascii="仿宋_GB2312" w:hAnsi="仿宋_GB2312" w:eastAsia="仿宋_GB2312"/>
          <w:sz w:val="32"/>
        </w:rPr>
        <w:t>劳动等方面的教育，负责组织适龄儿童、少年入学，严格控制学生辍学，依法保证适龄儿童、少年接受义务教育。</w:t>
      </w:r>
    </w:p>
    <w:p w14:paraId="51107042">
      <w:pPr>
        <w:spacing w:line="640" w:lineRule="exact"/>
        <w:ind w:firstLine="640"/>
        <w:jc w:val="both"/>
        <w:outlineLvl w:val="2"/>
      </w:pPr>
      <w:r>
        <w:rPr>
          <w:rFonts w:ascii="黑体" w:hAnsi="黑体" w:eastAsia="黑体"/>
          <w:sz w:val="32"/>
        </w:rPr>
        <w:t>二、机构设置及人员情况</w:t>
      </w:r>
    </w:p>
    <w:p w14:paraId="72E219A9">
      <w:pPr>
        <w:spacing w:line="580" w:lineRule="exact"/>
        <w:ind w:firstLine="640"/>
        <w:jc w:val="both"/>
      </w:pPr>
      <w:r>
        <w:rPr>
          <w:rFonts w:ascii="仿宋_GB2312" w:hAnsi="仿宋_GB2312" w:eastAsia="仿宋_GB2312"/>
          <w:sz w:val="32"/>
        </w:rPr>
        <w:t>霍城县大西沟中心学校2024年度，实有人数209人，其中：在职人员132人，减少37人；离休人员0人，增加0人；退休人员77人,增加2人。</w:t>
      </w:r>
    </w:p>
    <w:p w14:paraId="3410EAAE">
      <w:pPr>
        <w:spacing w:line="580" w:lineRule="exact"/>
        <w:ind w:firstLine="640"/>
        <w:jc w:val="both"/>
      </w:pPr>
      <w:r>
        <w:rPr>
          <w:rFonts w:ascii="仿宋_GB2312" w:hAnsi="仿宋_GB2312" w:eastAsia="仿宋_GB2312"/>
          <w:sz w:val="32"/>
        </w:rPr>
        <w:t>霍城县大西沟中心学校无下属预算单位，下设10个科室，分别是：平安办、财务室、工会办公室、校长书记室、党建办、政教处、教务处、后勤室、功能室、校医。</w:t>
      </w:r>
    </w:p>
    <w:p w14:paraId="656B51E6">
      <w:r>
        <w:br w:type="page"/>
      </w:r>
    </w:p>
    <w:p w14:paraId="65F72407">
      <w:pPr>
        <w:spacing w:line="240" w:lineRule="auto"/>
        <w:jc w:val="center"/>
        <w:outlineLvl w:val="1"/>
      </w:pPr>
      <w:r>
        <w:rPr>
          <w:rFonts w:ascii="黑体" w:hAnsi="黑体" w:eastAsia="黑体"/>
          <w:sz w:val="32"/>
        </w:rPr>
        <w:t>第二部分 部门决算情况说明</w:t>
      </w:r>
    </w:p>
    <w:p w14:paraId="4AAC2EF8">
      <w:pPr>
        <w:spacing w:line="640" w:lineRule="exact"/>
        <w:ind w:firstLine="640"/>
        <w:jc w:val="both"/>
        <w:outlineLvl w:val="2"/>
      </w:pPr>
      <w:r>
        <w:rPr>
          <w:rFonts w:ascii="黑体" w:hAnsi="黑体" w:eastAsia="黑体"/>
          <w:sz w:val="32"/>
        </w:rPr>
        <w:t>一、收入支出决算总体情况说明</w:t>
      </w:r>
    </w:p>
    <w:p w14:paraId="4FC51969">
      <w:pPr>
        <w:spacing w:line="580" w:lineRule="exact"/>
        <w:ind w:firstLine="640"/>
        <w:jc w:val="both"/>
      </w:pPr>
      <w:r>
        <w:rPr>
          <w:rFonts w:ascii="仿宋_GB2312" w:hAnsi="仿宋_GB2312" w:eastAsia="仿宋_GB2312"/>
          <w:b/>
          <w:sz w:val="32"/>
        </w:rPr>
        <w:t>2024年度收入总计2,785.84万元，</w:t>
      </w:r>
      <w:r>
        <w:rPr>
          <w:rFonts w:ascii="仿宋_GB2312" w:hAnsi="仿宋_GB2312" w:eastAsia="仿宋_GB2312"/>
          <w:b w:val="0"/>
          <w:sz w:val="32"/>
        </w:rPr>
        <w:t>其中：本年收入合计2,785.84万元，使用非财政拨款结余（含专用结余）0.00万元，年初结转和结余0.00万元。</w:t>
      </w:r>
    </w:p>
    <w:p w14:paraId="0EEFAD1B">
      <w:pPr>
        <w:spacing w:line="580" w:lineRule="exact"/>
        <w:ind w:firstLine="640"/>
        <w:jc w:val="both"/>
      </w:pPr>
      <w:r>
        <w:rPr>
          <w:rFonts w:ascii="仿宋_GB2312" w:hAnsi="仿宋_GB2312" w:eastAsia="仿宋_GB2312"/>
          <w:b/>
          <w:sz w:val="32"/>
        </w:rPr>
        <w:t>2024年度支出总计2,785.84万元，</w:t>
      </w:r>
      <w:r>
        <w:rPr>
          <w:rFonts w:ascii="仿宋_GB2312" w:hAnsi="仿宋_GB2312" w:eastAsia="仿宋_GB2312"/>
          <w:b w:val="0"/>
          <w:sz w:val="32"/>
        </w:rPr>
        <w:t>其中：本年支出合计2,785.84万元，结余分配0.00万元，年末结转和结余0.00万元。</w:t>
      </w:r>
    </w:p>
    <w:p w14:paraId="25F95952">
      <w:pPr>
        <w:spacing w:line="580" w:lineRule="exact"/>
        <w:ind w:firstLine="640"/>
        <w:jc w:val="both"/>
      </w:pPr>
      <w:r>
        <w:rPr>
          <w:rFonts w:ascii="仿宋_GB2312" w:hAnsi="仿宋_GB2312" w:eastAsia="仿宋_GB2312"/>
          <w:b w:val="0"/>
          <w:sz w:val="32"/>
        </w:rPr>
        <w:t>收入支出总体与上年相比，减少722.79万元，下降20.60%，主要原因是：本年在职人员及临聘人员减少，相关人员经费减少。</w:t>
      </w:r>
    </w:p>
    <w:p w14:paraId="18B6213B">
      <w:pPr>
        <w:spacing w:line="640" w:lineRule="exact"/>
        <w:ind w:firstLine="640"/>
        <w:jc w:val="both"/>
        <w:outlineLvl w:val="2"/>
      </w:pPr>
      <w:r>
        <w:rPr>
          <w:rFonts w:ascii="黑体" w:hAnsi="黑体" w:eastAsia="黑体"/>
          <w:sz w:val="32"/>
        </w:rPr>
        <w:t>二、收入决算情况说明</w:t>
      </w:r>
    </w:p>
    <w:p w14:paraId="0D6D2F79">
      <w:pPr>
        <w:spacing w:line="580" w:lineRule="exact"/>
        <w:ind w:firstLine="640"/>
        <w:jc w:val="both"/>
      </w:pPr>
      <w:r>
        <w:rPr>
          <w:rFonts w:ascii="仿宋_GB2312" w:hAnsi="仿宋_GB2312" w:eastAsia="仿宋_GB2312"/>
          <w:b/>
          <w:sz w:val="32"/>
        </w:rPr>
        <w:t>本年收入2,785.84万元，</w:t>
      </w:r>
      <w:r>
        <w:rPr>
          <w:rFonts w:ascii="仿宋_GB2312" w:hAnsi="仿宋_GB2312" w:eastAsia="仿宋_GB2312"/>
          <w:b w:val="0"/>
          <w:sz w:val="32"/>
        </w:rPr>
        <w:t>其中：财政拨款收入2,785.84万元，占100.00%；上级补助收入0.00万元，占0.00%；事业收入0.00万元，占0.00%；经营收入0.00万元，占0.00%；附属单位上缴收入0.00万元，占0.00%；其他收入0.00万元，占0.00%。</w:t>
      </w:r>
    </w:p>
    <w:p w14:paraId="054DC7B7">
      <w:pPr>
        <w:spacing w:line="640" w:lineRule="exact"/>
        <w:ind w:firstLine="640"/>
        <w:jc w:val="both"/>
        <w:outlineLvl w:val="2"/>
      </w:pPr>
      <w:r>
        <w:rPr>
          <w:rFonts w:ascii="黑体" w:hAnsi="黑体" w:eastAsia="黑体"/>
          <w:sz w:val="32"/>
        </w:rPr>
        <w:t>三、支出决算情况说明</w:t>
      </w:r>
    </w:p>
    <w:p w14:paraId="77B8603C">
      <w:pPr>
        <w:spacing w:line="580" w:lineRule="exact"/>
        <w:ind w:firstLine="640"/>
        <w:jc w:val="both"/>
      </w:pPr>
      <w:r>
        <w:rPr>
          <w:rFonts w:ascii="仿宋_GB2312" w:hAnsi="仿宋_GB2312" w:eastAsia="仿宋_GB2312"/>
          <w:b/>
          <w:sz w:val="32"/>
        </w:rPr>
        <w:t>本年支出2,785.84万元，</w:t>
      </w:r>
      <w:r>
        <w:rPr>
          <w:rFonts w:ascii="仿宋_GB2312" w:hAnsi="仿宋_GB2312" w:eastAsia="仿宋_GB2312"/>
          <w:b w:val="0"/>
          <w:sz w:val="32"/>
        </w:rPr>
        <w:t>其中：基本支出2,785.84万元，占100.00%；项目支出0.00万元，占0.00%；上缴上级支出0.00万元，占0.00%；经营支出0.00万元，占0.00%；对附属单位补助支出0.00万元，占0.00%。</w:t>
      </w:r>
    </w:p>
    <w:p w14:paraId="3582083E">
      <w:pPr>
        <w:spacing w:line="640" w:lineRule="exact"/>
        <w:ind w:firstLine="640"/>
        <w:jc w:val="both"/>
        <w:outlineLvl w:val="2"/>
      </w:pPr>
      <w:r>
        <w:rPr>
          <w:rFonts w:ascii="黑体" w:hAnsi="黑体" w:eastAsia="黑体"/>
          <w:sz w:val="32"/>
        </w:rPr>
        <w:t>四、财政拨款收入支出决算总体情况说明</w:t>
      </w:r>
    </w:p>
    <w:p w14:paraId="3D76DA23">
      <w:pPr>
        <w:spacing w:line="580" w:lineRule="exact"/>
        <w:ind w:firstLine="640"/>
        <w:jc w:val="both"/>
      </w:pPr>
      <w:r>
        <w:rPr>
          <w:rFonts w:ascii="仿宋_GB2312" w:hAnsi="仿宋_GB2312" w:eastAsia="仿宋_GB2312"/>
          <w:b/>
          <w:sz w:val="32"/>
        </w:rPr>
        <w:t>2024年度财政拨款收入总计2,785.84万元，</w:t>
      </w:r>
      <w:r>
        <w:rPr>
          <w:rFonts w:ascii="仿宋_GB2312" w:hAnsi="仿宋_GB2312" w:eastAsia="仿宋_GB2312"/>
          <w:b w:val="0"/>
          <w:sz w:val="32"/>
        </w:rPr>
        <w:t>其中：年初财政拨款结转和结余0.00万元，本年财政拨款收入2,785.84万元。</w:t>
      </w:r>
      <w:r>
        <w:rPr>
          <w:rFonts w:ascii="仿宋_GB2312" w:hAnsi="仿宋_GB2312" w:eastAsia="仿宋_GB2312"/>
          <w:b/>
          <w:sz w:val="32"/>
        </w:rPr>
        <w:t>财政拨款支出总计2,785.84万元，</w:t>
      </w:r>
      <w:r>
        <w:rPr>
          <w:rFonts w:ascii="仿宋_GB2312" w:hAnsi="仿宋_GB2312" w:eastAsia="仿宋_GB2312"/>
          <w:b w:val="0"/>
          <w:sz w:val="32"/>
        </w:rPr>
        <w:t>其中：年末财政拨款结转和结余0.00万元，本年财政拨款支出2,785.84万元。</w:t>
      </w:r>
    </w:p>
    <w:p w14:paraId="6E02E6B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减少718.94万元，下降20.51%，主要原因是：本年在职人员及临聘人员减少，相关人员经费减少。</w:t>
      </w:r>
      <w:r>
        <w:rPr>
          <w:rFonts w:ascii="仿宋_GB2312" w:hAnsi="仿宋_GB2312" w:eastAsia="仿宋_GB2312"/>
          <w:b/>
          <w:sz w:val="32"/>
        </w:rPr>
        <w:t>与年初预算相比，</w:t>
      </w:r>
      <w:r>
        <w:rPr>
          <w:rFonts w:ascii="仿宋_GB2312" w:hAnsi="仿宋_GB2312" w:eastAsia="仿宋_GB2312"/>
          <w:b w:val="0"/>
          <w:sz w:val="32"/>
        </w:rPr>
        <w:t>年初预算数3,020.23万元，决算数2,785.84万元，预决算差异率-7.76%，主要原因是：本年在职人员减少，年中调减人员经费，导致预决算存在差异。</w:t>
      </w:r>
    </w:p>
    <w:p w14:paraId="42DCC454">
      <w:pPr>
        <w:spacing w:line="640" w:lineRule="exact"/>
        <w:ind w:firstLine="640"/>
        <w:jc w:val="both"/>
        <w:outlineLvl w:val="2"/>
      </w:pPr>
      <w:r>
        <w:rPr>
          <w:rFonts w:ascii="黑体" w:hAnsi="黑体" w:eastAsia="黑体"/>
          <w:sz w:val="32"/>
        </w:rPr>
        <w:t>五、一般公共预算财政拨款支出决算情况说明</w:t>
      </w:r>
    </w:p>
    <w:p w14:paraId="4DEF7C45">
      <w:pPr>
        <w:spacing w:line="640" w:lineRule="exact"/>
        <w:ind w:firstLine="640"/>
        <w:jc w:val="both"/>
        <w:outlineLvl w:val="3"/>
      </w:pPr>
      <w:r>
        <w:rPr>
          <w:rFonts w:ascii="楷体_GB2312" w:hAnsi="楷体_GB2312" w:eastAsia="楷体_GB2312"/>
          <w:b/>
          <w:sz w:val="32"/>
        </w:rPr>
        <w:t>（一）一般公共预算财政拨款支出决算总体情况</w:t>
      </w:r>
    </w:p>
    <w:p w14:paraId="4C4F9F08">
      <w:pPr>
        <w:spacing w:line="580" w:lineRule="exact"/>
        <w:ind w:firstLine="640"/>
        <w:jc w:val="both"/>
      </w:pPr>
      <w:r>
        <w:rPr>
          <w:rFonts w:ascii="仿宋_GB2312" w:hAnsi="仿宋_GB2312" w:eastAsia="仿宋_GB2312"/>
          <w:b/>
          <w:sz w:val="32"/>
        </w:rPr>
        <w:t>2024年度一般公共预算财政拨款支出2,785.84万元，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减少718.94万元，下降20.51%，主要原因是：本年在职人员及临聘人员减少，相关人员经费减少。</w:t>
      </w:r>
      <w:r>
        <w:rPr>
          <w:rFonts w:ascii="仿宋_GB2312" w:hAnsi="仿宋_GB2312" w:eastAsia="仿宋_GB2312"/>
          <w:b/>
          <w:sz w:val="32"/>
        </w:rPr>
        <w:t>与年初预算相比,</w:t>
      </w:r>
      <w:r>
        <w:rPr>
          <w:rFonts w:ascii="仿宋_GB2312" w:hAnsi="仿宋_GB2312" w:eastAsia="仿宋_GB2312"/>
          <w:b w:val="0"/>
          <w:sz w:val="32"/>
        </w:rPr>
        <w:t>年初预算数3,020.23万元，决算数2,785.84万元，预决算差异率-7.76%，主要原因是：本年在职人员减少，年中调减人员经费，导致预决算存在差异。</w:t>
      </w:r>
    </w:p>
    <w:p w14:paraId="13559AA7">
      <w:pPr>
        <w:spacing w:line="640" w:lineRule="exact"/>
        <w:ind w:firstLine="640"/>
        <w:jc w:val="both"/>
        <w:outlineLvl w:val="3"/>
      </w:pPr>
      <w:r>
        <w:rPr>
          <w:rFonts w:ascii="楷体_GB2312" w:hAnsi="楷体_GB2312" w:eastAsia="楷体_GB2312"/>
          <w:b/>
          <w:sz w:val="32"/>
        </w:rPr>
        <w:t>（二）一般公共预算财政拨款支出决算结构情况</w:t>
      </w:r>
    </w:p>
    <w:p w14:paraId="3E47EF7C">
      <w:pPr>
        <w:spacing w:line="580" w:lineRule="exact"/>
        <w:ind w:firstLine="640"/>
        <w:jc w:val="both"/>
      </w:pPr>
      <w:r>
        <w:rPr>
          <w:rFonts w:ascii="仿宋_GB2312" w:hAnsi="仿宋_GB2312" w:eastAsia="仿宋_GB2312"/>
          <w:b w:val="0"/>
          <w:sz w:val="32"/>
        </w:rPr>
        <w:t>1.教育支出(类)2,355.20万元,占84.54%。</w:t>
      </w:r>
    </w:p>
    <w:p w14:paraId="0AEDF679">
      <w:pPr>
        <w:spacing w:line="580" w:lineRule="exact"/>
        <w:ind w:firstLine="640"/>
        <w:jc w:val="both"/>
      </w:pPr>
      <w:r>
        <w:rPr>
          <w:rFonts w:ascii="仿宋_GB2312" w:hAnsi="仿宋_GB2312" w:eastAsia="仿宋_GB2312"/>
          <w:b w:val="0"/>
          <w:sz w:val="32"/>
        </w:rPr>
        <w:t>2.社会保障和就业支出(类)315.70万元,占11.33%。</w:t>
      </w:r>
    </w:p>
    <w:p w14:paraId="0946EE91">
      <w:pPr>
        <w:spacing w:line="580" w:lineRule="exact"/>
        <w:ind w:firstLine="640"/>
        <w:jc w:val="both"/>
      </w:pPr>
      <w:r>
        <w:rPr>
          <w:rFonts w:ascii="仿宋_GB2312" w:hAnsi="仿宋_GB2312" w:eastAsia="仿宋_GB2312"/>
          <w:b w:val="0"/>
          <w:sz w:val="32"/>
        </w:rPr>
        <w:t>3.卫生健康支出(类)114.94万元,占4.13%。</w:t>
      </w:r>
    </w:p>
    <w:p w14:paraId="5D0A9A0D">
      <w:pPr>
        <w:spacing w:line="640" w:lineRule="exact"/>
        <w:ind w:firstLine="640"/>
        <w:jc w:val="both"/>
        <w:outlineLvl w:val="3"/>
      </w:pPr>
      <w:r>
        <w:rPr>
          <w:rFonts w:ascii="楷体_GB2312" w:hAnsi="楷体_GB2312" w:eastAsia="楷体_GB2312"/>
          <w:b/>
          <w:sz w:val="32"/>
        </w:rPr>
        <w:t>（三）一般公共预算财政拨款支出决算具体情况</w:t>
      </w:r>
    </w:p>
    <w:p w14:paraId="24E7C731">
      <w:pPr>
        <w:spacing w:line="580" w:lineRule="exact"/>
        <w:ind w:firstLine="640"/>
        <w:jc w:val="both"/>
      </w:pPr>
      <w:r>
        <w:rPr>
          <w:rFonts w:ascii="仿宋_GB2312" w:hAnsi="仿宋_GB2312" w:eastAsia="仿宋_GB2312"/>
          <w:b w:val="0"/>
          <w:sz w:val="32"/>
        </w:rPr>
        <w:t>1.教育支出(类)普通教育(款)学前教育(项):支出决算数为555.20万元，比上年决算增加34.78万元，增长6.68%,主要原因是：本年在职人员工资调增，相关人员经费增加；本年功能科目调整，班主任津贴上年在其他教育支出(项)科目列支，本年调整至学前教育(项)列支；部分住房公积金调整至此科目，导致经费较上年增加。</w:t>
      </w:r>
    </w:p>
    <w:p w14:paraId="0E2B9129">
      <w:pPr>
        <w:spacing w:line="580" w:lineRule="exact"/>
        <w:ind w:firstLine="640"/>
        <w:jc w:val="both"/>
      </w:pPr>
      <w:r>
        <w:rPr>
          <w:rFonts w:ascii="仿宋_GB2312" w:hAnsi="仿宋_GB2312" w:eastAsia="仿宋_GB2312"/>
          <w:b w:val="0"/>
          <w:sz w:val="32"/>
        </w:rPr>
        <w:t>2.教育支出(类)普通教育(款)小学教育(项):支出决算数为1,489.76万元，比上年决算减少462.77万元，下降23.70%,主要原因是：本年在职人员减少，相关人员经费减少。</w:t>
      </w:r>
    </w:p>
    <w:p w14:paraId="2607B298">
      <w:pPr>
        <w:spacing w:line="580" w:lineRule="exact"/>
        <w:ind w:firstLine="640"/>
        <w:jc w:val="both"/>
      </w:pPr>
      <w:r>
        <w:rPr>
          <w:rFonts w:ascii="仿宋_GB2312" w:hAnsi="仿宋_GB2312" w:eastAsia="仿宋_GB2312"/>
          <w:b w:val="0"/>
          <w:sz w:val="32"/>
        </w:rPr>
        <w:t>3.教育支出(类)普通教育(款)其他普通教育支出(项):支出决算数为143.61万元，比上年决算减少44.39万元，下降23.61%,主要原因是：本年临聘人员减少，相关人员经费减少。</w:t>
      </w:r>
    </w:p>
    <w:p w14:paraId="5D648A2A">
      <w:pPr>
        <w:spacing w:line="580" w:lineRule="exact"/>
        <w:ind w:firstLine="640"/>
        <w:jc w:val="both"/>
      </w:pPr>
      <w:r>
        <w:rPr>
          <w:rFonts w:ascii="仿宋_GB2312" w:hAnsi="仿宋_GB2312" w:eastAsia="仿宋_GB2312"/>
          <w:b w:val="0"/>
          <w:sz w:val="32"/>
        </w:rPr>
        <w:t>4.教育支出(类)教育费附加安排的支出(款)农村中小学校舍建设(项):支出决算数为0.00万元，比上年决算减少34.60万元，下降100.00%,主要原因是：本年功能科目调整，义务教育薄弱环节改造与能力提升</w:t>
      </w:r>
      <w:r>
        <w:rPr>
          <w:rFonts w:hint="eastAsia" w:ascii="仿宋_GB2312" w:hAnsi="仿宋_GB2312" w:eastAsia="仿宋_GB2312"/>
          <w:b w:val="0"/>
          <w:sz w:val="32"/>
          <w:lang w:eastAsia="zh-CN"/>
        </w:rPr>
        <w:t>补助</w:t>
      </w:r>
      <w:r>
        <w:rPr>
          <w:rFonts w:ascii="仿宋_GB2312" w:hAnsi="仿宋_GB2312" w:eastAsia="仿宋_GB2312"/>
          <w:b w:val="0"/>
          <w:sz w:val="32"/>
        </w:rPr>
        <w:t>资金项目上年在农村中小学校舍建设(项)科目列支，本年调整至农村中小学教学设施(项)科目列支，导致经费减少。</w:t>
      </w:r>
    </w:p>
    <w:p w14:paraId="77D31B1C">
      <w:pPr>
        <w:spacing w:line="580" w:lineRule="exact"/>
        <w:ind w:firstLine="640"/>
        <w:jc w:val="both"/>
      </w:pPr>
      <w:r>
        <w:rPr>
          <w:rFonts w:ascii="仿宋_GB2312" w:hAnsi="仿宋_GB2312" w:eastAsia="仿宋_GB2312"/>
          <w:b w:val="0"/>
          <w:sz w:val="32"/>
        </w:rPr>
        <w:t>5.教育支出(类)教育费附加安排的支出(款)农村中小学教学设施(项):支出决算数为166.63万元，比上年决算增加166.63万元，增长100.00%,主要原因是：本年功能科目调整，义务教育薄弱环节改造与能力提升</w:t>
      </w:r>
      <w:r>
        <w:rPr>
          <w:rFonts w:hint="eastAsia" w:ascii="仿宋_GB2312" w:hAnsi="仿宋_GB2312" w:eastAsia="仿宋_GB2312"/>
          <w:b w:val="0"/>
          <w:sz w:val="32"/>
          <w:lang w:eastAsia="zh-CN"/>
        </w:rPr>
        <w:t>补助</w:t>
      </w:r>
      <w:r>
        <w:rPr>
          <w:rFonts w:ascii="仿宋_GB2312" w:hAnsi="仿宋_GB2312" w:eastAsia="仿宋_GB2312"/>
          <w:b w:val="0"/>
          <w:sz w:val="32"/>
        </w:rPr>
        <w:t>资金项目上年在农村中小学校舍建设(项)科目列支，本年调整至农村中小学教学设施(项)科目列支，导致经费增加。</w:t>
      </w:r>
    </w:p>
    <w:p w14:paraId="1AEE3523">
      <w:pPr>
        <w:spacing w:line="580" w:lineRule="exact"/>
        <w:ind w:firstLine="640"/>
        <w:jc w:val="both"/>
      </w:pPr>
      <w:r>
        <w:rPr>
          <w:rFonts w:ascii="仿宋_GB2312" w:hAnsi="仿宋_GB2312" w:eastAsia="仿宋_GB2312"/>
          <w:b w:val="0"/>
          <w:sz w:val="32"/>
        </w:rPr>
        <w:t>6.教育支出(类)教育费附加安排的支出(款)其他教育费附加安排的支出(项):支出决算数为0.00万元，比上年决算减少1.36万元，下降100.00%,主要原因是：本年减少继续教育教育费附加安排项目，导致经费较上年减少。</w:t>
      </w:r>
    </w:p>
    <w:p w14:paraId="5CE85DBC">
      <w:pPr>
        <w:spacing w:line="580" w:lineRule="exact"/>
        <w:ind w:firstLine="640"/>
        <w:jc w:val="both"/>
      </w:pPr>
      <w:r>
        <w:rPr>
          <w:rFonts w:ascii="仿宋_GB2312" w:hAnsi="仿宋_GB2312" w:eastAsia="仿宋_GB2312"/>
          <w:b w:val="0"/>
          <w:sz w:val="32"/>
        </w:rPr>
        <w:t>7.教育支出(类)其他教育支出(款)其他教育支出(项):支出决算数为0.00万元，比上年决算减少2.60万元，下降100.00%,主要原因是：本年功能科目调整，班主任津贴上年在其他教育支出(项)科目列支，本年调整至学前教育(项)列支，导致经费较上年减少。</w:t>
      </w:r>
    </w:p>
    <w:p w14:paraId="2EC791A6">
      <w:pPr>
        <w:spacing w:line="580" w:lineRule="exact"/>
        <w:ind w:firstLine="640"/>
        <w:jc w:val="both"/>
      </w:pPr>
      <w:r>
        <w:rPr>
          <w:rFonts w:ascii="仿宋_GB2312" w:hAnsi="仿宋_GB2312" w:eastAsia="仿宋_GB2312"/>
          <w:b w:val="0"/>
          <w:sz w:val="32"/>
        </w:rPr>
        <w:t>8.社会保障和就业支出(类)行政事业单位养老支出(款)事业单位离退休(项):支出决算数为53.25万元，比上年决算增加40.82万元，增长328.40%,主要原因是：本年增加退休人员基础绩效奖，退休费支出增加。</w:t>
      </w:r>
    </w:p>
    <w:p w14:paraId="57BEBF41">
      <w:pPr>
        <w:spacing w:line="580" w:lineRule="exact"/>
        <w:ind w:firstLine="640"/>
        <w:jc w:val="both"/>
      </w:pPr>
      <w:r>
        <w:rPr>
          <w:rFonts w:ascii="仿宋_GB2312" w:hAnsi="仿宋_GB2312" w:eastAsia="仿宋_GB2312"/>
          <w:b w:val="0"/>
          <w:sz w:val="32"/>
        </w:rPr>
        <w:t>9.社会保障和就业支出(类)行政事业单位养老支出(款)机关事业单位基本养老保险缴费支出(项):支出决算数为224.10万元，比上年决算减少37.57万元，下降14.36%,主要原因是：本年在职人员减少，单位基本养老保险缴费较上年减少。</w:t>
      </w:r>
    </w:p>
    <w:p w14:paraId="13646B07">
      <w:pPr>
        <w:spacing w:line="580" w:lineRule="exact"/>
        <w:ind w:firstLine="640"/>
        <w:jc w:val="both"/>
      </w:pPr>
      <w:r>
        <w:rPr>
          <w:rFonts w:ascii="仿宋_GB2312" w:hAnsi="仿宋_GB2312" w:eastAsia="仿宋_GB2312"/>
          <w:b w:val="0"/>
          <w:sz w:val="32"/>
        </w:rPr>
        <w:t>10.社会保障和就业支出(类)行政事业单位养老支出(款)机关事业单位职业年金缴费支出(项):支出决算数为31.33万元，比上年决算减少63.11万元，下降66.83%,主要原因是：本年新增退休人员、辞职调出人员较上年减少，职业年金缴费较上年减少。</w:t>
      </w:r>
    </w:p>
    <w:p w14:paraId="363FDFCF">
      <w:pPr>
        <w:spacing w:line="580" w:lineRule="exact"/>
        <w:ind w:firstLine="640"/>
        <w:jc w:val="both"/>
      </w:pPr>
      <w:r>
        <w:rPr>
          <w:rFonts w:ascii="仿宋_GB2312" w:hAnsi="仿宋_GB2312" w:eastAsia="仿宋_GB2312"/>
          <w:b w:val="0"/>
          <w:sz w:val="32"/>
        </w:rPr>
        <w:t>11.社会保障和就业支出(类)抚恤(款)死亡抚恤(项):支出决算数为7.01万元，比上年决算减少40.22万元，下降85.16%,主要原因是：本年新增死亡人员较上年减少，死亡抚恤支出较上年减少。</w:t>
      </w:r>
    </w:p>
    <w:p w14:paraId="191F0B6B">
      <w:pPr>
        <w:spacing w:line="580" w:lineRule="exact"/>
        <w:ind w:firstLine="640"/>
        <w:jc w:val="both"/>
      </w:pPr>
      <w:r>
        <w:rPr>
          <w:rFonts w:ascii="仿宋_GB2312" w:hAnsi="仿宋_GB2312" w:eastAsia="仿宋_GB2312"/>
          <w:b w:val="0"/>
          <w:sz w:val="32"/>
        </w:rPr>
        <w:t>12.卫生健康支出(类)行政事业单位医疗(款)事业单位医疗(项):支出决算数为114.94万元，比上年决算减少57.10万元，下降33.19%,主要原因是：本年在职人员减少，事业单位医疗支出较上年减少。</w:t>
      </w:r>
    </w:p>
    <w:p w14:paraId="0639E448">
      <w:pPr>
        <w:spacing w:line="580" w:lineRule="exact"/>
        <w:ind w:firstLine="640"/>
        <w:jc w:val="both"/>
      </w:pPr>
      <w:r>
        <w:rPr>
          <w:rFonts w:ascii="仿宋_GB2312" w:hAnsi="仿宋_GB2312" w:eastAsia="仿宋_GB2312"/>
          <w:b w:val="0"/>
          <w:sz w:val="32"/>
        </w:rPr>
        <w:t>13.住房保障支出(类)住房改革支出(款)住房公积金(项):支出决算数为0.00万元，比上年决算减少217.47万元，下降100.00%,主要原因是：本年功能科目调整，住房公积金上年度单独列支，本年调整至学前教育、小学教育列支，导致经费较上年减少。</w:t>
      </w:r>
    </w:p>
    <w:p w14:paraId="054D2E1A">
      <w:pPr>
        <w:spacing w:line="640" w:lineRule="exact"/>
        <w:ind w:firstLine="640"/>
        <w:jc w:val="both"/>
        <w:outlineLvl w:val="2"/>
      </w:pPr>
      <w:r>
        <w:rPr>
          <w:rFonts w:ascii="黑体" w:hAnsi="黑体" w:eastAsia="黑体"/>
          <w:sz w:val="32"/>
        </w:rPr>
        <w:t>六、一般公共预算财政拨款基本支出决算情况说明</w:t>
      </w:r>
    </w:p>
    <w:p w14:paraId="46CF4E3A">
      <w:pPr>
        <w:spacing w:line="580" w:lineRule="exact"/>
        <w:ind w:firstLine="640"/>
        <w:jc w:val="both"/>
      </w:pPr>
      <w:r>
        <w:rPr>
          <w:rFonts w:ascii="仿宋_GB2312" w:hAnsi="仿宋_GB2312" w:eastAsia="仿宋_GB2312"/>
          <w:b w:val="0"/>
          <w:sz w:val="32"/>
        </w:rPr>
        <w:t>2024年度一般公共预算财政拨款基本支出2,785.84万元，其中：</w:t>
      </w:r>
      <w:r>
        <w:rPr>
          <w:rFonts w:ascii="仿宋_GB2312" w:hAnsi="仿宋_GB2312" w:eastAsia="仿宋_GB2312"/>
          <w:b/>
          <w:sz w:val="32"/>
        </w:rPr>
        <w:t>人员经费2,503.42万元，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助学金、奖励金。</w:t>
      </w:r>
    </w:p>
    <w:p w14:paraId="1F844CF4">
      <w:pPr>
        <w:spacing w:line="580" w:lineRule="exact"/>
        <w:ind w:firstLine="640"/>
        <w:jc w:val="both"/>
      </w:pPr>
      <w:r>
        <w:rPr>
          <w:rFonts w:ascii="仿宋_GB2312" w:hAnsi="仿宋_GB2312" w:eastAsia="仿宋_GB2312"/>
          <w:b/>
          <w:sz w:val="32"/>
        </w:rPr>
        <w:t>公用经费282.42万元，</w:t>
      </w:r>
      <w:r>
        <w:rPr>
          <w:rFonts w:ascii="仿宋_GB2312" w:hAnsi="仿宋_GB2312" w:eastAsia="仿宋_GB2312"/>
          <w:b w:val="0"/>
          <w:sz w:val="32"/>
        </w:rPr>
        <w:t>包括：办公费、电费、邮电费、取暖费、物业管理费、差旅费、维修（护）费、培训费、工会经费、福利费、办公设备购置、专用设备购置。</w:t>
      </w:r>
    </w:p>
    <w:p w14:paraId="518668EE">
      <w:pPr>
        <w:spacing w:line="640" w:lineRule="exact"/>
        <w:ind w:firstLine="640"/>
        <w:jc w:val="both"/>
        <w:outlineLvl w:val="2"/>
      </w:pPr>
      <w:r>
        <w:rPr>
          <w:rFonts w:ascii="黑体" w:hAnsi="黑体" w:eastAsia="黑体"/>
          <w:sz w:val="32"/>
        </w:rPr>
        <w:t>七、政府性基金预算财政拨款收入支出决算情况说明</w:t>
      </w:r>
    </w:p>
    <w:p w14:paraId="545683D1">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CA21DEB">
      <w:pPr>
        <w:spacing w:line="640" w:lineRule="exact"/>
        <w:ind w:firstLine="640"/>
        <w:jc w:val="both"/>
        <w:outlineLvl w:val="2"/>
      </w:pPr>
      <w:r>
        <w:rPr>
          <w:rFonts w:ascii="黑体" w:hAnsi="黑体" w:eastAsia="黑体"/>
          <w:sz w:val="32"/>
        </w:rPr>
        <w:t>八、国有资本经营预算财政拨款收入支出决算情况说明</w:t>
      </w:r>
    </w:p>
    <w:p w14:paraId="7102FB9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F6C411D">
      <w:pPr>
        <w:spacing w:line="640" w:lineRule="exact"/>
        <w:ind w:firstLine="640"/>
        <w:jc w:val="both"/>
        <w:outlineLvl w:val="2"/>
      </w:pPr>
      <w:r>
        <w:rPr>
          <w:rFonts w:ascii="黑体" w:hAnsi="黑体" w:eastAsia="黑体"/>
          <w:sz w:val="32"/>
        </w:rPr>
        <w:t>九、财政拨款“三公”经费支出决算情况说明</w:t>
      </w:r>
    </w:p>
    <w:p w14:paraId="42DBB57E">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46F3E65">
      <w:pPr>
        <w:spacing w:line="580" w:lineRule="exact"/>
        <w:ind w:firstLine="640"/>
        <w:jc w:val="both"/>
      </w:pPr>
      <w:r>
        <w:rPr>
          <w:rFonts w:ascii="仿宋_GB2312" w:hAnsi="仿宋_GB2312" w:eastAsia="仿宋_GB2312"/>
          <w:b/>
          <w:sz w:val="32"/>
        </w:rPr>
        <w:t>具体情况如下：</w:t>
      </w:r>
    </w:p>
    <w:p w14:paraId="4BC8F0E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413B21A">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7EC6155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39C92A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81D435A">
      <w:pPr>
        <w:spacing w:line="640" w:lineRule="exact"/>
        <w:ind w:firstLine="640"/>
        <w:jc w:val="both"/>
        <w:outlineLvl w:val="2"/>
      </w:pPr>
      <w:r>
        <w:rPr>
          <w:rFonts w:ascii="黑体" w:hAnsi="黑体" w:eastAsia="黑体"/>
          <w:sz w:val="32"/>
        </w:rPr>
        <w:t>十、其他重要事项的情况说明</w:t>
      </w:r>
    </w:p>
    <w:p w14:paraId="25BF10C2">
      <w:pPr>
        <w:spacing w:line="640" w:lineRule="exact"/>
        <w:ind w:firstLine="640"/>
        <w:jc w:val="both"/>
        <w:outlineLvl w:val="3"/>
      </w:pPr>
      <w:r>
        <w:rPr>
          <w:rFonts w:ascii="楷体_GB2312" w:hAnsi="楷体_GB2312" w:eastAsia="楷体_GB2312"/>
          <w:b/>
          <w:sz w:val="32"/>
        </w:rPr>
        <w:t>（一）机关运行经费及公用经费支出情况</w:t>
      </w:r>
    </w:p>
    <w:p w14:paraId="287AC5CF">
      <w:pPr>
        <w:spacing w:line="580" w:lineRule="exact"/>
        <w:ind w:firstLine="640"/>
        <w:jc w:val="both"/>
      </w:pPr>
      <w:r>
        <w:rPr>
          <w:rFonts w:ascii="仿宋_GB2312" w:hAnsi="仿宋_GB2312" w:eastAsia="仿宋_GB2312"/>
          <w:b w:val="0"/>
          <w:sz w:val="32"/>
        </w:rPr>
        <w:t>2024年度霍城县大西沟中心学校（事业单位）公用经费支出282.42万元，比上年增加90.36万元，增长47.05%，主要原因是：本年办公设备购置费增加，导致公用经费较上年增加。</w:t>
      </w:r>
    </w:p>
    <w:p w14:paraId="56A6B482">
      <w:pPr>
        <w:spacing w:line="640" w:lineRule="exact"/>
        <w:ind w:firstLine="640"/>
        <w:jc w:val="both"/>
        <w:outlineLvl w:val="3"/>
      </w:pPr>
      <w:r>
        <w:rPr>
          <w:rFonts w:ascii="楷体_GB2312" w:hAnsi="楷体_GB2312" w:eastAsia="楷体_GB2312"/>
          <w:b/>
          <w:sz w:val="32"/>
        </w:rPr>
        <w:t>（二）政府采购情况</w:t>
      </w:r>
    </w:p>
    <w:p w14:paraId="072AEA2F">
      <w:pPr>
        <w:spacing w:line="580" w:lineRule="exact"/>
        <w:ind w:firstLine="640"/>
        <w:jc w:val="both"/>
      </w:pPr>
      <w:r>
        <w:rPr>
          <w:rFonts w:ascii="仿宋_GB2312" w:hAnsi="仿宋_GB2312" w:eastAsia="仿宋_GB2312"/>
          <w:b w:val="0"/>
          <w:sz w:val="32"/>
        </w:rPr>
        <w:t>2024年度政府采购支出总额6.32万元，其中：政府采购货物支出6.32万元、政府采购工程支出0.00万元、政府采购服务支出0.00万元。</w:t>
      </w:r>
    </w:p>
    <w:p w14:paraId="051C03ED">
      <w:pPr>
        <w:spacing w:line="580" w:lineRule="exact"/>
        <w:ind w:firstLine="640"/>
        <w:jc w:val="both"/>
      </w:pPr>
      <w:r>
        <w:rPr>
          <w:rFonts w:ascii="仿宋_GB2312" w:hAnsi="仿宋_GB2312" w:eastAsia="仿宋_GB2312"/>
          <w:b w:val="0"/>
          <w:sz w:val="32"/>
        </w:rPr>
        <w:t>授予中小企业合同金额6.32万元，占政府采购支出总额的100.00%，其中：授予小微企业合同金额6.32万元，占政府采购支出总额的100.00%。</w:t>
      </w:r>
    </w:p>
    <w:p w14:paraId="1EB5F3A5">
      <w:pPr>
        <w:spacing w:line="640" w:lineRule="exact"/>
        <w:ind w:firstLine="640"/>
        <w:jc w:val="both"/>
        <w:outlineLvl w:val="3"/>
      </w:pPr>
      <w:r>
        <w:rPr>
          <w:rFonts w:ascii="楷体_GB2312" w:hAnsi="楷体_GB2312" w:eastAsia="楷体_GB2312"/>
          <w:b/>
          <w:sz w:val="32"/>
        </w:rPr>
        <w:t>（三）国有资产占用情况说明</w:t>
      </w:r>
    </w:p>
    <w:p w14:paraId="53771351">
      <w:pPr>
        <w:spacing w:line="580" w:lineRule="exact"/>
        <w:ind w:firstLine="640"/>
        <w:jc w:val="both"/>
      </w:pPr>
      <w:r>
        <w:rPr>
          <w:rFonts w:ascii="仿宋_GB2312" w:hAnsi="仿宋_GB2312" w:eastAsia="仿宋_GB2312"/>
          <w:b w:val="0"/>
          <w:sz w:val="32"/>
        </w:rPr>
        <w:t>截至2024年12月31日，房屋27,929.84平方米，价值3,332.53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112F46CD">
      <w:pPr>
        <w:spacing w:line="640" w:lineRule="exact"/>
        <w:ind w:firstLine="640"/>
        <w:jc w:val="both"/>
        <w:outlineLvl w:val="2"/>
      </w:pPr>
      <w:r>
        <w:rPr>
          <w:rFonts w:ascii="黑体" w:hAnsi="黑体" w:eastAsia="黑体"/>
          <w:sz w:val="32"/>
        </w:rPr>
        <w:t>十一、预算绩效的情况说明</w:t>
      </w:r>
    </w:p>
    <w:p w14:paraId="43A3C035">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2,785.84万元，实际执行总额2,785.84万元；预算绩效评价项目0个，全年预算数0.00万元，全年执行数0.00万元。预算绩效管理取得的成效：一是目标达成率提高：明确的预算绩效目标和定期的评估机制，使得学校各项工作计划的目标达成率显著提升，如教学质量的改善、科研成果的增加等。二是成本控制有效：对各项支出进行严格的监控和分析，有效控制了不必要的开支，降低了学校的运营成本。发现的问题及原因：一是人员绩效意识薄弱：部分教职工对预算绩效管理的重要性认识不足，参与度不高，导致工作执行不到位。这可能是由于培训宣传不足，缺乏激励机制。二是预算调整机制不灵活：当外部环境变化或学校发展需求调整时，预算调整的流程繁琐，不够灵活，影响了工作的推进。原因在于预算管理制度的僵化，缺乏应对突发情况的弹性条款。下一步改进措施：一是强化培训与宣传：开展预算绩效管理的培训活动，提高教职工的绩效意识，建立相应的激励机制，鼓励积极参与。二是优化预算调整流程：制定灵活的预算调整规则，明确调整的条件和程序，提高预算对学校发展变化的适应性。具体附整体支出绩效自评表。</w:t>
      </w:r>
    </w:p>
    <w:p w14:paraId="3AAEFA9B">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63AAB5EF">
        <w:tblPrEx>
          <w:tblCellMar>
            <w:top w:w="0" w:type="dxa"/>
            <w:left w:w="108" w:type="dxa"/>
            <w:bottom w:w="0" w:type="dxa"/>
            <w:right w:w="108" w:type="dxa"/>
          </w:tblCellMar>
        </w:tblPrEx>
        <w:tc>
          <w:tcPr>
            <w:tcW w:w="8840" w:type="dxa"/>
            <w:gridSpan w:val="8"/>
            <w:vAlign w:val="center"/>
          </w:tcPr>
          <w:p w14:paraId="5FF4A7EB">
            <w:pPr>
              <w:jc w:val="center"/>
            </w:pPr>
            <w:r>
              <w:rPr>
                <w:rFonts w:ascii="宋体" w:hAnsi="宋体" w:eastAsia="宋体"/>
                <w:sz w:val="24"/>
              </w:rPr>
              <w:t>单位整体支出绩效自评表</w:t>
            </w:r>
          </w:p>
        </w:tc>
      </w:tr>
      <w:tr w14:paraId="2F5CA0BB">
        <w:tblPrEx>
          <w:tblCellMar>
            <w:top w:w="0" w:type="dxa"/>
            <w:left w:w="108" w:type="dxa"/>
            <w:bottom w:w="0" w:type="dxa"/>
            <w:right w:w="108" w:type="dxa"/>
          </w:tblCellMar>
        </w:tblPrEx>
        <w:tc>
          <w:tcPr>
            <w:tcW w:w="8840" w:type="dxa"/>
            <w:gridSpan w:val="8"/>
            <w:vAlign w:val="center"/>
          </w:tcPr>
          <w:p w14:paraId="4F9CC972">
            <w:pPr>
              <w:jc w:val="center"/>
            </w:pPr>
            <w:r>
              <w:rPr>
                <w:rFonts w:ascii="宋体" w:hAnsi="宋体" w:eastAsia="宋体"/>
                <w:sz w:val="24"/>
              </w:rPr>
              <w:t>（2024年度）</w:t>
            </w:r>
          </w:p>
        </w:tc>
      </w:tr>
      <w:tr w14:paraId="17624EA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C7E522">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5D0F7F">
            <w:pPr>
              <w:jc w:val="center"/>
            </w:pPr>
            <w:r>
              <w:rPr>
                <w:rFonts w:ascii="宋体" w:hAnsi="宋体" w:eastAsia="宋体"/>
                <w:sz w:val="16"/>
              </w:rPr>
              <w:t>霍城县大西沟中心学校</w:t>
            </w:r>
          </w:p>
        </w:tc>
      </w:tr>
      <w:tr w14:paraId="692125D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FFEB29">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D198AA">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1CD70A">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461CB9">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9D4C96">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AC2F4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D2C75A">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3A9A5C">
            <w:pPr>
              <w:jc w:val="center"/>
            </w:pPr>
            <w:r>
              <w:rPr>
                <w:rFonts w:ascii="宋体" w:hAnsi="宋体" w:eastAsia="宋体"/>
                <w:sz w:val="16"/>
              </w:rPr>
              <w:t>得分</w:t>
            </w:r>
          </w:p>
        </w:tc>
      </w:tr>
      <w:tr w14:paraId="075521F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54CC5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50989A">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3D62CD">
            <w:pPr>
              <w:jc w:val="center"/>
            </w:pPr>
            <w:r>
              <w:rPr>
                <w:rFonts w:ascii="宋体" w:hAnsi="宋体" w:eastAsia="宋体"/>
                <w:sz w:val="16"/>
              </w:rPr>
              <w:t>3,020.23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B86859">
            <w:pPr>
              <w:jc w:val="center"/>
            </w:pPr>
            <w:r>
              <w:rPr>
                <w:rFonts w:ascii="宋体" w:hAnsi="宋体" w:eastAsia="宋体"/>
                <w:sz w:val="16"/>
              </w:rPr>
              <w:t>2,785.84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A845F5">
            <w:pPr>
              <w:jc w:val="center"/>
            </w:pPr>
            <w:r>
              <w:rPr>
                <w:rFonts w:ascii="宋体" w:hAnsi="宋体" w:eastAsia="宋体"/>
                <w:sz w:val="16"/>
              </w:rPr>
              <w:t>2,785.84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F3C91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646AF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4D2C98">
            <w:pPr>
              <w:jc w:val="center"/>
            </w:pPr>
            <w:r>
              <w:rPr>
                <w:rFonts w:ascii="宋体" w:hAnsi="宋体" w:eastAsia="宋体"/>
                <w:sz w:val="16"/>
              </w:rPr>
              <w:t>10</w:t>
            </w:r>
          </w:p>
        </w:tc>
      </w:tr>
      <w:tr w14:paraId="636DB11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383D30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0CB042">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575351">
            <w:pPr>
              <w:jc w:val="center"/>
            </w:pPr>
            <w:r>
              <w:rPr>
                <w:rFonts w:ascii="宋体" w:hAnsi="宋体" w:eastAsia="宋体"/>
                <w:sz w:val="16"/>
              </w:rPr>
              <w:t>165.53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1F24CF">
            <w:pPr>
              <w:jc w:val="center"/>
            </w:pPr>
            <w:r>
              <w:rPr>
                <w:rFonts w:ascii="宋体" w:hAnsi="宋体" w:eastAsia="宋体"/>
                <w:sz w:val="16"/>
              </w:rPr>
              <w:t>165.53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1306A1">
            <w:pPr>
              <w:jc w:val="center"/>
            </w:pPr>
            <w:r>
              <w:rPr>
                <w:rFonts w:ascii="宋体" w:hAnsi="宋体" w:eastAsia="宋体"/>
                <w:sz w:val="16"/>
              </w:rPr>
              <w:t>165.53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CC5F2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7F623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774CCB">
            <w:pPr>
              <w:jc w:val="center"/>
            </w:pPr>
            <w:r>
              <w:rPr>
                <w:rFonts w:ascii="宋体" w:hAnsi="宋体" w:eastAsia="宋体"/>
                <w:sz w:val="16"/>
              </w:rPr>
              <w:t>-</w:t>
            </w:r>
          </w:p>
        </w:tc>
      </w:tr>
      <w:tr w14:paraId="23518B0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F700E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F4EE85">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6640C4">
            <w:pPr>
              <w:jc w:val="center"/>
            </w:pPr>
            <w:r>
              <w:rPr>
                <w:rFonts w:ascii="宋体" w:hAnsi="宋体" w:eastAsia="宋体"/>
                <w:sz w:val="16"/>
              </w:rPr>
              <w:t>2,854.70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888639">
            <w:pPr>
              <w:jc w:val="center"/>
            </w:pPr>
            <w:r>
              <w:rPr>
                <w:rFonts w:ascii="宋体" w:hAnsi="宋体" w:eastAsia="宋体"/>
                <w:sz w:val="16"/>
              </w:rPr>
              <w:t>2,620.31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A9DFDE">
            <w:pPr>
              <w:jc w:val="center"/>
            </w:pPr>
            <w:r>
              <w:rPr>
                <w:rFonts w:ascii="宋体" w:hAnsi="宋体" w:eastAsia="宋体"/>
                <w:sz w:val="16"/>
              </w:rPr>
              <w:t>2,620.31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B93E4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9A68F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0F0CD7">
            <w:pPr>
              <w:jc w:val="center"/>
            </w:pPr>
            <w:r>
              <w:rPr>
                <w:rFonts w:ascii="宋体" w:hAnsi="宋体" w:eastAsia="宋体"/>
                <w:sz w:val="16"/>
              </w:rPr>
              <w:t>-</w:t>
            </w:r>
          </w:p>
        </w:tc>
      </w:tr>
      <w:tr w14:paraId="7CE87C0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FF80D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349F7E">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5920C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93485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2690F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102C0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8F856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73DB21">
            <w:pPr>
              <w:jc w:val="center"/>
            </w:pPr>
            <w:r>
              <w:rPr>
                <w:rFonts w:ascii="宋体" w:hAnsi="宋体" w:eastAsia="宋体"/>
                <w:sz w:val="16"/>
              </w:rPr>
              <w:t>-</w:t>
            </w:r>
          </w:p>
        </w:tc>
      </w:tr>
      <w:tr w14:paraId="5133070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CB4E4F">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5433858">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6214B0C">
            <w:pPr>
              <w:jc w:val="center"/>
            </w:pPr>
            <w:r>
              <w:rPr>
                <w:rFonts w:ascii="宋体" w:hAnsi="宋体" w:eastAsia="宋体"/>
                <w:sz w:val="16"/>
              </w:rPr>
              <w:t>实际完成情况</w:t>
            </w:r>
          </w:p>
        </w:tc>
      </w:tr>
      <w:tr w14:paraId="5F5EBAC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C78718F"/>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29FE65D">
            <w:pPr>
              <w:jc w:val="both"/>
            </w:pPr>
            <w:r>
              <w:rPr>
                <w:rFonts w:ascii="宋体" w:hAnsi="宋体" w:eastAsia="宋体"/>
                <w:sz w:val="16"/>
              </w:rPr>
              <w:t>贯彻落实中央、自治区党委决策部署的各项重大工作决定和安排，一、充分发挥教育经费保障教育发展、推动教育改革、推进教育公平、提高教育质量的政策引领作用，进一步优化结构、深化改革、强化监管，花好每一分钱，把教育经费用到最关键处，切实提高教育经费使用效益。二、完善城乡义务教育经费保障机制，保障小学正常运转，保证学校校舍安全。三、按照</w:t>
            </w:r>
            <w:r>
              <w:rPr>
                <w:rFonts w:hint="eastAsia" w:ascii="宋体" w:hAnsi="宋体"/>
                <w:sz w:val="16"/>
                <w:lang w:eastAsia="zh-CN"/>
              </w:rPr>
              <w:t>加快建设高质量教育体系</w:t>
            </w:r>
            <w:r>
              <w:rPr>
                <w:rFonts w:ascii="宋体" w:hAnsi="宋体" w:eastAsia="宋体"/>
                <w:sz w:val="16"/>
              </w:rPr>
              <w:t>部署要求，全面贯彻党的教育方针，坚持立德树人，健全学校家庭社会协同育人机制，增强学生文明素养、社会责任意识、实践本领，重视青少年身体素质和心理健康教育，加强师德师风建设，培养德智体美劳全面发展的社会主义建设者和接班人。四、加强资源统筹，构建终身教育体系，服务群众终身学习和全面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2685363">
            <w:pPr>
              <w:jc w:val="both"/>
            </w:pPr>
            <w:r>
              <w:rPr>
                <w:rFonts w:ascii="宋体" w:hAnsi="宋体" w:eastAsia="宋体"/>
                <w:sz w:val="16"/>
              </w:rPr>
              <w:t>一是在协同育人与学生素养培养上，构建了较为完善的学校、家庭、社会协同育人机制。通过家校互动活动、社区实践项目，有效增强了学生文明素养、责任意识与实践能力。同时，学校增设了心理健康课程和体育特色活动，青少年身心健康发展得到有力保障。二是师德师风建设方面，开展了多场专题培训与师德楷模评选活动，教师职业道德水平显著提升，为培养德智体美劳全面发展的学生奠定了坚实基础。三是教育经费使用上，严格贯彻中央及自治区党委要求，充分发挥经费政策引领作用。通过优化资源配置，深化教育改革项目，强化财务监管，将每一分钱都用在刀刃上，提升了经费使用效益，有力推动了教育公平与质量提升。</w:t>
            </w:r>
          </w:p>
        </w:tc>
      </w:tr>
      <w:tr w14:paraId="7D2C228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99085E">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0FCFEF">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D902C3">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C5B8F8">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B15812">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17C12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67825E">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DCBCE4">
            <w:pPr>
              <w:jc w:val="center"/>
            </w:pPr>
            <w:r>
              <w:rPr>
                <w:rFonts w:ascii="宋体" w:hAnsi="宋体" w:eastAsia="宋体"/>
                <w:sz w:val="16"/>
              </w:rPr>
              <w:t>得分</w:t>
            </w:r>
          </w:p>
        </w:tc>
      </w:tr>
      <w:tr w14:paraId="347E81E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FE3455">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81D6CA">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C34F77">
            <w:pPr>
              <w:jc w:val="center"/>
            </w:pPr>
            <w:r>
              <w:rPr>
                <w:rFonts w:ascii="宋体" w:hAnsi="宋体" w:eastAsia="宋体"/>
                <w:sz w:val="16"/>
              </w:rPr>
              <w:t>义务教育巩固率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C3E302">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A7E3AC">
            <w:pPr>
              <w:jc w:val="center"/>
            </w:pPr>
            <w:r>
              <w:rPr>
                <w:rFonts w:ascii="宋体" w:hAnsi="宋体" w:eastAsia="宋体"/>
                <w:sz w:val="16"/>
              </w:rPr>
              <w:t>教育事业综合统计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6430B1">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FDA49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DDCAFD">
            <w:pPr>
              <w:jc w:val="center"/>
            </w:pPr>
            <w:r>
              <w:rPr>
                <w:rFonts w:ascii="宋体" w:hAnsi="宋体" w:eastAsia="宋体"/>
                <w:sz w:val="16"/>
              </w:rPr>
              <w:t>20</w:t>
            </w:r>
          </w:p>
        </w:tc>
      </w:tr>
      <w:tr w14:paraId="1B79AA7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59771B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C3BBE0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6B2AB2">
            <w:pPr>
              <w:jc w:val="center"/>
            </w:pPr>
            <w:r>
              <w:rPr>
                <w:rFonts w:ascii="宋体" w:hAnsi="宋体" w:eastAsia="宋体"/>
                <w:sz w:val="16"/>
              </w:rPr>
              <w:t>残疾儿童入学率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5BBF65">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705DE0">
            <w:pPr>
              <w:jc w:val="center"/>
            </w:pPr>
            <w:r>
              <w:rPr>
                <w:rFonts w:ascii="宋体" w:hAnsi="宋体" w:eastAsia="宋体"/>
                <w:sz w:val="16"/>
              </w:rPr>
              <w:t>霍城县</w:t>
            </w:r>
            <w:bookmarkStart w:id="0" w:name="_GoBack"/>
            <w:r>
              <w:rPr>
                <w:rFonts w:hint="eastAsia" w:ascii="宋体" w:hAnsi="宋体"/>
                <w:sz w:val="16"/>
                <w:lang w:eastAsia="zh-CN"/>
              </w:rPr>
              <w:t>“十四五”规划</w:t>
            </w:r>
            <w:bookmarkEnd w:id="0"/>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745779">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72913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6588FE">
            <w:pPr>
              <w:jc w:val="center"/>
            </w:pPr>
            <w:r>
              <w:rPr>
                <w:rFonts w:ascii="宋体" w:hAnsi="宋体" w:eastAsia="宋体"/>
                <w:sz w:val="16"/>
              </w:rPr>
              <w:t>20</w:t>
            </w:r>
          </w:p>
        </w:tc>
      </w:tr>
      <w:tr w14:paraId="4C126FA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8BE25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C5C0A7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368647">
            <w:pPr>
              <w:jc w:val="center"/>
            </w:pPr>
            <w:r>
              <w:rPr>
                <w:rFonts w:ascii="宋体" w:hAnsi="宋体" w:eastAsia="宋体"/>
                <w:sz w:val="16"/>
              </w:rPr>
              <w:t>学前教育毛入园率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F7013C">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E21F94">
            <w:pPr>
              <w:jc w:val="center"/>
            </w:pPr>
            <w:r>
              <w:rPr>
                <w:rFonts w:ascii="宋体" w:hAnsi="宋体" w:eastAsia="宋体"/>
                <w:sz w:val="16"/>
              </w:rPr>
              <w:t>霍城县</w:t>
            </w:r>
            <w:r>
              <w:rPr>
                <w:rFonts w:hint="eastAsia" w:ascii="宋体" w:hAnsi="宋体"/>
                <w:sz w:val="16"/>
                <w:lang w:eastAsia="zh-CN"/>
              </w:rPr>
              <w:t>“十四五”规划</w:t>
            </w:r>
            <w:r>
              <w:rPr>
                <w:rFonts w:ascii="宋体" w:hAnsi="宋体" w:eastAsia="宋体"/>
                <w:sz w:val="16"/>
              </w:rPr>
              <w:t>纲要</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22E8DE">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F2A71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A4AA63">
            <w:pPr>
              <w:jc w:val="center"/>
            </w:pPr>
            <w:r>
              <w:rPr>
                <w:rFonts w:ascii="宋体" w:hAnsi="宋体" w:eastAsia="宋体"/>
                <w:sz w:val="16"/>
              </w:rPr>
              <w:t>20</w:t>
            </w:r>
          </w:p>
        </w:tc>
      </w:tr>
      <w:tr w14:paraId="7F1EA86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6558A9"/>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2F5FD5">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0546A3">
            <w:pPr>
              <w:jc w:val="center"/>
            </w:pPr>
            <w:r>
              <w:rPr>
                <w:rFonts w:ascii="宋体" w:hAnsi="宋体" w:eastAsia="宋体"/>
                <w:sz w:val="16"/>
              </w:rPr>
              <w:t>国家通用语言文字教育教学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EFC5E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F710AC">
            <w:pPr>
              <w:jc w:val="center"/>
            </w:pPr>
            <w:r>
              <w:rPr>
                <w:rFonts w:ascii="宋体" w:hAnsi="宋体" w:eastAsia="宋体"/>
                <w:sz w:val="16"/>
              </w:rPr>
              <w:t>霍城县</w:t>
            </w:r>
            <w:r>
              <w:rPr>
                <w:rFonts w:hint="eastAsia" w:ascii="宋体" w:hAnsi="宋体"/>
                <w:sz w:val="16"/>
                <w:lang w:eastAsia="zh-CN"/>
              </w:rPr>
              <w:t>“十四五”规划</w:t>
            </w:r>
            <w:r>
              <w:rPr>
                <w:rFonts w:ascii="宋体" w:hAnsi="宋体" w:eastAsia="宋体"/>
                <w:sz w:val="16"/>
              </w:rPr>
              <w:t>纲要</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947B88">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19CDC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A7A541">
            <w:pPr>
              <w:jc w:val="center"/>
            </w:pPr>
            <w:r>
              <w:rPr>
                <w:rFonts w:ascii="宋体" w:hAnsi="宋体" w:eastAsia="宋体"/>
                <w:sz w:val="16"/>
              </w:rPr>
              <w:t>15</w:t>
            </w:r>
          </w:p>
        </w:tc>
      </w:tr>
      <w:tr w14:paraId="38032E9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2EE6A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19373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40CF1B">
            <w:pPr>
              <w:jc w:val="center"/>
            </w:pPr>
            <w:r>
              <w:rPr>
                <w:rFonts w:ascii="宋体" w:hAnsi="宋体" w:eastAsia="宋体"/>
                <w:sz w:val="16"/>
              </w:rPr>
              <w:t>义务教育优质均衡率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AACE65">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A3AC30">
            <w:pPr>
              <w:jc w:val="center"/>
            </w:pPr>
            <w:r>
              <w:rPr>
                <w:rFonts w:ascii="宋体" w:hAnsi="宋体" w:eastAsia="宋体"/>
                <w:sz w:val="16"/>
              </w:rPr>
              <w:t>霍城县</w:t>
            </w:r>
            <w:r>
              <w:rPr>
                <w:rFonts w:hint="eastAsia" w:ascii="宋体" w:hAnsi="宋体"/>
                <w:sz w:val="16"/>
                <w:lang w:eastAsia="zh-CN"/>
              </w:rPr>
              <w:t>“十四五”规划</w:t>
            </w:r>
            <w:r>
              <w:rPr>
                <w:rFonts w:ascii="宋体" w:hAnsi="宋体" w:eastAsia="宋体"/>
                <w:sz w:val="16"/>
              </w:rPr>
              <w:t>纲要</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4F0D7F">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F47ED3">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46F53A">
            <w:pPr>
              <w:jc w:val="center"/>
            </w:pPr>
            <w:r>
              <w:rPr>
                <w:rFonts w:ascii="宋体" w:hAnsi="宋体" w:eastAsia="宋体"/>
                <w:sz w:val="16"/>
              </w:rPr>
              <w:t>15</w:t>
            </w:r>
          </w:p>
        </w:tc>
      </w:tr>
    </w:tbl>
    <w:p w14:paraId="220F9B55">
      <w:r>
        <w:br w:type="page"/>
      </w:r>
    </w:p>
    <w:p w14:paraId="1D159FE2">
      <w:pPr>
        <w:spacing w:line="640" w:lineRule="exact"/>
        <w:ind w:firstLine="640"/>
        <w:jc w:val="both"/>
        <w:outlineLvl w:val="2"/>
      </w:pPr>
      <w:r>
        <w:rPr>
          <w:rFonts w:ascii="黑体" w:hAnsi="黑体" w:eastAsia="黑体"/>
          <w:sz w:val="32"/>
        </w:rPr>
        <w:t>十二、其他需说明的事项</w:t>
      </w:r>
    </w:p>
    <w:p w14:paraId="4B8F7CA6">
      <w:pPr>
        <w:spacing w:line="580" w:lineRule="exact"/>
        <w:ind w:firstLine="640"/>
        <w:jc w:val="both"/>
      </w:pPr>
      <w:r>
        <w:rPr>
          <w:rFonts w:ascii="仿宋_GB2312" w:hAnsi="仿宋_GB2312" w:eastAsia="仿宋_GB2312"/>
          <w:b w:val="0"/>
          <w:sz w:val="32"/>
        </w:rPr>
        <w:t>本单位无其他需说明的事项。</w:t>
      </w:r>
    </w:p>
    <w:p w14:paraId="44A71CF6">
      <w:r>
        <w:br w:type="page"/>
      </w:r>
    </w:p>
    <w:p w14:paraId="1AAFC438">
      <w:pPr>
        <w:spacing w:line="240" w:lineRule="auto"/>
        <w:jc w:val="center"/>
        <w:outlineLvl w:val="1"/>
      </w:pPr>
      <w:r>
        <w:rPr>
          <w:rFonts w:ascii="黑体" w:hAnsi="黑体" w:eastAsia="黑体"/>
          <w:sz w:val="32"/>
        </w:rPr>
        <w:t>第三部分 专业名词解释</w:t>
      </w:r>
    </w:p>
    <w:p w14:paraId="571620B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FC8CF3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384DD1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9B8093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5954D7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722AE9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14C988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F7FE3C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AD156A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C22234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FB6852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F43A41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1DD500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69AAD6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52B16CE">
      <w:r>
        <w:br w:type="page"/>
      </w:r>
    </w:p>
    <w:p w14:paraId="1C76EBE3">
      <w:pPr>
        <w:spacing w:line="240" w:lineRule="auto"/>
        <w:jc w:val="center"/>
        <w:outlineLvl w:val="1"/>
      </w:pPr>
      <w:r>
        <w:rPr>
          <w:rFonts w:ascii="黑体" w:hAnsi="黑体" w:eastAsia="黑体"/>
          <w:sz w:val="32"/>
        </w:rPr>
        <w:t>第四部分 部门决算报表（见附表）</w:t>
      </w:r>
    </w:p>
    <w:p w14:paraId="72751AC8">
      <w:pPr>
        <w:spacing w:line="240" w:lineRule="auto"/>
        <w:ind w:firstLine="640"/>
        <w:jc w:val="both"/>
      </w:pPr>
      <w:r>
        <w:rPr>
          <w:rFonts w:ascii="仿宋_GB2312" w:hAnsi="仿宋_GB2312" w:eastAsia="仿宋_GB2312"/>
          <w:b w:val="0"/>
          <w:sz w:val="32"/>
        </w:rPr>
        <w:t>一、《收入支出决算总表》</w:t>
      </w:r>
    </w:p>
    <w:p w14:paraId="67640E17">
      <w:pPr>
        <w:spacing w:line="240" w:lineRule="auto"/>
        <w:ind w:firstLine="640"/>
        <w:jc w:val="both"/>
      </w:pPr>
      <w:r>
        <w:rPr>
          <w:rFonts w:ascii="仿宋_GB2312" w:hAnsi="仿宋_GB2312" w:eastAsia="仿宋_GB2312"/>
          <w:b w:val="0"/>
          <w:sz w:val="32"/>
        </w:rPr>
        <w:t>二、《收入决算表》</w:t>
      </w:r>
    </w:p>
    <w:p w14:paraId="19F7A17C">
      <w:pPr>
        <w:spacing w:line="240" w:lineRule="auto"/>
        <w:ind w:firstLine="640"/>
        <w:jc w:val="both"/>
      </w:pPr>
      <w:r>
        <w:rPr>
          <w:rFonts w:ascii="仿宋_GB2312" w:hAnsi="仿宋_GB2312" w:eastAsia="仿宋_GB2312"/>
          <w:b w:val="0"/>
          <w:sz w:val="32"/>
        </w:rPr>
        <w:t>三、《支出决算表》</w:t>
      </w:r>
    </w:p>
    <w:p w14:paraId="457AD46B">
      <w:pPr>
        <w:spacing w:line="240" w:lineRule="auto"/>
        <w:ind w:firstLine="640"/>
        <w:jc w:val="both"/>
      </w:pPr>
      <w:r>
        <w:rPr>
          <w:rFonts w:ascii="仿宋_GB2312" w:hAnsi="仿宋_GB2312" w:eastAsia="仿宋_GB2312"/>
          <w:b w:val="0"/>
          <w:sz w:val="32"/>
        </w:rPr>
        <w:t>四、《财政拨款收入支出决算总表》</w:t>
      </w:r>
    </w:p>
    <w:p w14:paraId="34742860">
      <w:pPr>
        <w:spacing w:line="240" w:lineRule="auto"/>
        <w:ind w:firstLine="640"/>
        <w:jc w:val="both"/>
      </w:pPr>
      <w:r>
        <w:rPr>
          <w:rFonts w:ascii="仿宋_GB2312" w:hAnsi="仿宋_GB2312" w:eastAsia="仿宋_GB2312"/>
          <w:b w:val="0"/>
          <w:sz w:val="32"/>
        </w:rPr>
        <w:t>五、《一般公共预算财政拨款支出决算表》</w:t>
      </w:r>
    </w:p>
    <w:p w14:paraId="5EEEF943">
      <w:pPr>
        <w:spacing w:line="240" w:lineRule="auto"/>
        <w:ind w:firstLine="640"/>
        <w:jc w:val="both"/>
      </w:pPr>
      <w:r>
        <w:rPr>
          <w:rFonts w:ascii="仿宋_GB2312" w:hAnsi="仿宋_GB2312" w:eastAsia="仿宋_GB2312"/>
          <w:b w:val="0"/>
          <w:sz w:val="32"/>
        </w:rPr>
        <w:t>六、《一般公共预算财政拨款基本支出决算表》</w:t>
      </w:r>
    </w:p>
    <w:p w14:paraId="19DE1B9A">
      <w:pPr>
        <w:spacing w:line="240" w:lineRule="auto"/>
        <w:ind w:firstLine="640"/>
        <w:jc w:val="both"/>
      </w:pPr>
      <w:r>
        <w:rPr>
          <w:rFonts w:ascii="仿宋_GB2312" w:hAnsi="仿宋_GB2312" w:eastAsia="仿宋_GB2312"/>
          <w:b w:val="0"/>
          <w:sz w:val="32"/>
        </w:rPr>
        <w:t>七、《政府性基金预算财政拨款收入支出决算表》</w:t>
      </w:r>
    </w:p>
    <w:p w14:paraId="067F8CC7">
      <w:pPr>
        <w:spacing w:line="240" w:lineRule="auto"/>
        <w:ind w:firstLine="640"/>
        <w:jc w:val="both"/>
      </w:pPr>
      <w:r>
        <w:rPr>
          <w:rFonts w:ascii="仿宋_GB2312" w:hAnsi="仿宋_GB2312" w:eastAsia="仿宋_GB2312"/>
          <w:b w:val="0"/>
          <w:sz w:val="32"/>
        </w:rPr>
        <w:t>八、《国有资本经营预算财政拨款收入支出决算表》</w:t>
      </w:r>
    </w:p>
    <w:p w14:paraId="0B4DAC2E">
      <w:pPr>
        <w:spacing w:line="240" w:lineRule="auto"/>
        <w:ind w:firstLine="640"/>
        <w:jc w:val="both"/>
      </w:pPr>
      <w:r>
        <w:rPr>
          <w:rFonts w:ascii="仿宋_GB2312" w:hAnsi="仿宋_GB2312" w:eastAsia="仿宋_GB2312"/>
          <w:b w:val="0"/>
          <w:sz w:val="32"/>
        </w:rPr>
        <w:t>九、《财政拨款“三公”经费支出决算表》</w:t>
      </w:r>
    </w:p>
    <w:p w14:paraId="4D0299B5">
      <w:pPr>
        <w:spacing w:line="240" w:lineRule="auto"/>
        <w:ind w:firstLine="640"/>
        <w:jc w:val="both"/>
      </w:pPr>
    </w:p>
    <w:p w14:paraId="3ABA97B3">
      <w:pPr>
        <w:spacing w:line="240" w:lineRule="auto"/>
        <w:ind w:firstLine="640"/>
        <w:jc w:val="both"/>
      </w:pPr>
    </w:p>
    <w:p w14:paraId="4161D7E5">
      <w:pPr>
        <w:spacing w:line="240" w:lineRule="auto"/>
        <w:ind w:firstLine="640"/>
        <w:jc w:val="both"/>
      </w:pPr>
    </w:p>
    <w:p w14:paraId="59F15D70">
      <w:pPr>
        <w:spacing w:line="240" w:lineRule="auto"/>
        <w:ind w:firstLine="640"/>
        <w:jc w:val="both"/>
      </w:pPr>
    </w:p>
    <w:p w14:paraId="3D0A028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6A9CAAD-D8E3-4706-B60D-4A78FAB3E7B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42EB3056-309D-4576-9F19-D9D9130AE046}"/>
  </w:font>
  <w:font w:name="仿宋_GB2312">
    <w:altName w:val="仿宋"/>
    <w:panose1 w:val="02010609030101010101"/>
    <w:charset w:val="86"/>
    <w:family w:val="modern"/>
    <w:pitch w:val="default"/>
    <w:sig w:usb0="00000000" w:usb1="00000000" w:usb2="00000000" w:usb3="00000000" w:csb0="00040000" w:csb1="00000000"/>
    <w:embedRegular r:id="rId3" w:fontKey="{B408E4FE-C1E3-4B05-B847-FB3780F4E5C8}"/>
  </w:font>
  <w:font w:name="楷体_GB2312">
    <w:altName w:val="楷体"/>
    <w:panose1 w:val="00000000000000000000"/>
    <w:charset w:val="00"/>
    <w:family w:val="auto"/>
    <w:pitch w:val="default"/>
    <w:sig w:usb0="00000000" w:usb1="00000000" w:usb2="00000000" w:usb3="00000000" w:csb0="00000000" w:csb1="00000000"/>
    <w:embedRegular r:id="rId4" w:fontKey="{729F84E8-6A12-467A-BF20-E6326548ABC2}"/>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38213BA"/>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5067</Words>
  <Characters>5875</Characters>
  <Lines>0</Lines>
  <Paragraphs>0</Paragraphs>
  <TotalTime>1</TotalTime>
  <ScaleCrop>false</ScaleCrop>
  <LinksUpToDate>false</LinksUpToDate>
  <CharactersWithSpaces>5883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2025-09-24T11:25:17Z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