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霍城县发展和改革委员会2024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09928DE">
      <w:r>
        <w:br w:type="page"/>
      </w:r>
    </w:p>
    <w:p w14:paraId="5880F229">
      <w:pPr>
        <w:spacing w:line="640" w:lineRule="exact"/>
        <w:jc w:val="center"/>
        <w:outlineLvl w:val="1"/>
      </w:pPr>
      <w:r>
        <w:rPr>
          <w:rFonts w:ascii="黑体" w:hAnsi="黑体" w:eastAsia="黑体"/>
          <w:sz w:val="32"/>
        </w:rPr>
        <w:t>第一部分 单位概况</w:t>
      </w:r>
    </w:p>
    <w:p w14:paraId="45DC830C">
      <w:pPr>
        <w:spacing w:line="640" w:lineRule="exact"/>
        <w:ind w:firstLine="640"/>
        <w:jc w:val="both"/>
        <w:outlineLvl w:val="2"/>
      </w:pPr>
      <w:r>
        <w:rPr>
          <w:rFonts w:ascii="黑体" w:hAnsi="黑体" w:eastAsia="黑体"/>
          <w:sz w:val="32"/>
        </w:rPr>
        <w:t>一、主要职能</w:t>
      </w:r>
    </w:p>
    <w:p w14:paraId="3207A12C">
      <w:pPr>
        <w:spacing w:line="580" w:lineRule="exact"/>
        <w:ind w:firstLine="640"/>
        <w:jc w:val="both"/>
      </w:pPr>
      <w:r>
        <w:rPr>
          <w:rFonts w:ascii="仿宋_GB2312" w:hAnsi="仿宋_GB2312" w:eastAsia="仿宋_GB2312"/>
          <w:sz w:val="32"/>
        </w:rPr>
        <w:t>霍城县发展和改革委员会贯彻落实党中央关于发展改革工作的方针政策和决策部署以及自治区党委、自治州党委和县委工作要求，在履行职责过程中坚持和加强党对发展改革工作的集中统一领导。主要职责是。</w:t>
      </w:r>
    </w:p>
    <w:p w14:paraId="4234994F">
      <w:pPr>
        <w:spacing w:line="580" w:lineRule="exact"/>
        <w:ind w:firstLine="640"/>
        <w:jc w:val="both"/>
      </w:pPr>
      <w:r>
        <w:rPr>
          <w:rFonts w:ascii="仿宋_GB2312" w:hAnsi="仿宋_GB2312" w:eastAsia="仿宋_GB2312"/>
          <w:sz w:val="32"/>
        </w:rPr>
        <w:t>(一)研究提出霍城县国民经济和社会发展中长期规划和年度发展计划</w:t>
      </w:r>
      <w:r>
        <w:rPr>
          <w:rFonts w:hint="eastAsia" w:ascii="仿宋_GB2312" w:hAnsi="仿宋_GB2312" w:eastAsia="仿宋_GB2312"/>
          <w:sz w:val="32"/>
          <w:lang w:eastAsia="zh-CN"/>
        </w:rPr>
        <w:t>；</w:t>
      </w:r>
      <w:r>
        <w:rPr>
          <w:rFonts w:ascii="仿宋_GB2312" w:hAnsi="仿宋_GB2312" w:eastAsia="仿宋_GB2312"/>
          <w:sz w:val="32"/>
        </w:rPr>
        <w:t>贯彻执行国家、自治区、自治州国民经济和社会发展方针、政策</w:t>
      </w:r>
      <w:r>
        <w:rPr>
          <w:rFonts w:hint="eastAsia" w:ascii="仿宋_GB2312" w:hAnsi="仿宋_GB2312" w:eastAsia="仿宋_GB2312"/>
          <w:sz w:val="32"/>
          <w:lang w:eastAsia="zh-CN"/>
        </w:rPr>
        <w:t>；</w:t>
      </w:r>
      <w:r>
        <w:rPr>
          <w:rFonts w:ascii="仿宋_GB2312" w:hAnsi="仿宋_GB2312" w:eastAsia="仿宋_GB2312"/>
          <w:sz w:val="32"/>
        </w:rPr>
        <w:t>贯彻落实国家、自治区、自治州粮食和物资储备的方针政策和法律法规</w:t>
      </w:r>
      <w:r>
        <w:rPr>
          <w:rFonts w:hint="eastAsia" w:ascii="仿宋_GB2312" w:hAnsi="仿宋_GB2312" w:eastAsia="仿宋_GB2312"/>
          <w:sz w:val="32"/>
          <w:lang w:eastAsia="zh-CN"/>
        </w:rPr>
        <w:t>；</w:t>
      </w:r>
      <w:r>
        <w:rPr>
          <w:rFonts w:ascii="仿宋_GB2312" w:hAnsi="仿宋_GB2312" w:eastAsia="仿宋_GB2312"/>
          <w:sz w:val="32"/>
        </w:rPr>
        <w:t>统筹协调霍城县经济社会发展，研究分析国内外、区内外、州内外经济形势，提出国民经济发展、价格总水平调控和优化重大经济结构的目标、政策措施，提出综合运用各种经济手段和政策的建议</w:t>
      </w:r>
      <w:r>
        <w:rPr>
          <w:rFonts w:hint="eastAsia" w:ascii="仿宋_GB2312" w:hAnsi="仿宋_GB2312" w:eastAsia="仿宋_GB2312"/>
          <w:sz w:val="32"/>
          <w:lang w:eastAsia="zh-CN"/>
        </w:rPr>
        <w:t>；</w:t>
      </w:r>
      <w:r>
        <w:rPr>
          <w:rFonts w:ascii="仿宋_GB2312" w:hAnsi="仿宋_GB2312" w:eastAsia="仿宋_GB2312"/>
          <w:sz w:val="32"/>
        </w:rPr>
        <w:t>组织研究、协调实施重点专项规划，衔接、平衡主要行业的规划</w:t>
      </w:r>
      <w:r>
        <w:rPr>
          <w:rFonts w:hint="eastAsia" w:ascii="仿宋_GB2312" w:hAnsi="仿宋_GB2312" w:eastAsia="仿宋_GB2312"/>
          <w:sz w:val="32"/>
          <w:lang w:eastAsia="zh-CN"/>
        </w:rPr>
        <w:t>；</w:t>
      </w:r>
      <w:r>
        <w:rPr>
          <w:rFonts w:ascii="仿宋_GB2312" w:hAnsi="仿宋_GB2312" w:eastAsia="仿宋_GB2312"/>
          <w:sz w:val="32"/>
        </w:rPr>
        <w:t>受霍城县人民政府委托向霍城县人大提交国民经济和社会发展计划的报告。</w:t>
      </w:r>
    </w:p>
    <w:p w14:paraId="26F06423">
      <w:pPr>
        <w:spacing w:line="580" w:lineRule="exact"/>
        <w:ind w:firstLine="640"/>
        <w:jc w:val="both"/>
      </w:pPr>
      <w:r>
        <w:rPr>
          <w:rFonts w:ascii="仿宋_GB2312" w:hAnsi="仿宋_GB2312" w:eastAsia="仿宋_GB2312"/>
          <w:sz w:val="32"/>
        </w:rPr>
        <w:t>(二)负责监测霍城县宏观经济和社会发展态势，承担预测预警和信息引导的责任，提出促进霍城县经济高质量发展的政策建议</w:t>
      </w:r>
      <w:r>
        <w:rPr>
          <w:rFonts w:hint="eastAsia" w:ascii="仿宋_GB2312" w:hAnsi="仿宋_GB2312" w:eastAsia="仿宋_GB2312"/>
          <w:sz w:val="32"/>
          <w:lang w:eastAsia="zh-CN"/>
        </w:rPr>
        <w:t>；</w:t>
      </w:r>
      <w:r>
        <w:rPr>
          <w:rFonts w:ascii="仿宋_GB2312" w:hAnsi="仿宋_GB2312" w:eastAsia="仿宋_GB2312"/>
          <w:sz w:val="32"/>
        </w:rPr>
        <w:t>研究涉及经济安全及总体产业安全等重要问题，提出政策措施和建议。组织实施地方储备粮油、食糖、食盐等物资的储备、轮换和日常管理。承担中央级生活类救灾物资储备管理及自治区、自治州救灾物资采购和储备管理工作，落实有关动用计划和指令。负责地方储备粮油行政管理工作，指导和协调地方储备粮油管理，研究提出地方储备粮油总体布局和收购、销售、轮换计划建议。承担粮食监测预警和应急责任，承担粮食安全县长责任制考核的日常工作。承担粮食和物资储备系统军民融合工作。</w:t>
      </w:r>
    </w:p>
    <w:p w14:paraId="51E62104">
      <w:pPr>
        <w:spacing w:line="580" w:lineRule="exact"/>
        <w:ind w:firstLine="640"/>
        <w:jc w:val="both"/>
      </w:pPr>
      <w:r>
        <w:rPr>
          <w:rFonts w:ascii="仿宋_GB2312" w:hAnsi="仿宋_GB2312" w:eastAsia="仿宋_GB2312"/>
          <w:sz w:val="32"/>
        </w:rPr>
        <w:t>(三)负责汇总分析霍城县财政、金融、产业、价格政策等方面的情况和执行效果,提出政策建议</w:t>
      </w:r>
      <w:r>
        <w:rPr>
          <w:rFonts w:hint="eastAsia" w:ascii="仿宋_GB2312" w:hAnsi="仿宋_GB2312" w:eastAsia="仿宋_GB2312"/>
          <w:sz w:val="32"/>
          <w:lang w:eastAsia="zh-CN"/>
        </w:rPr>
        <w:t>；</w:t>
      </w:r>
      <w:r>
        <w:rPr>
          <w:rFonts w:ascii="仿宋_GB2312" w:hAnsi="仿宋_GB2312" w:eastAsia="仿宋_GB2312"/>
          <w:sz w:val="32"/>
        </w:rPr>
        <w:t>执行组织实施价格政策</w:t>
      </w:r>
      <w:r>
        <w:rPr>
          <w:rFonts w:hint="eastAsia" w:ascii="仿宋_GB2312" w:hAnsi="仿宋_GB2312" w:eastAsia="仿宋_GB2312"/>
          <w:sz w:val="32"/>
          <w:lang w:eastAsia="zh-CN"/>
        </w:rPr>
        <w:t>；</w:t>
      </w:r>
      <w:r>
        <w:rPr>
          <w:rFonts w:ascii="仿宋_GB2312" w:hAnsi="仿宋_GB2312" w:eastAsia="仿宋_GB2312"/>
          <w:sz w:val="32"/>
        </w:rPr>
        <w:t>制定和调整政府管理的重要商品价格、服务价格和收费项目、标准，发布重大价格信息，规范市场价格行为等。</w:t>
      </w:r>
    </w:p>
    <w:p w14:paraId="35376700">
      <w:pPr>
        <w:spacing w:line="580" w:lineRule="exact"/>
        <w:ind w:firstLine="640"/>
        <w:jc w:val="both"/>
      </w:pPr>
      <w:r>
        <w:rPr>
          <w:rFonts w:ascii="仿宋_GB2312" w:hAnsi="仿宋_GB2312" w:eastAsia="仿宋_GB2312"/>
          <w:sz w:val="32"/>
        </w:rPr>
        <w:t>(四)承担经济体制改革责任，研究霍城县经济体制改革和对外开放的重大问题，组织拟订霍城县综合性经济体制改革方</w:t>
      </w:r>
      <w:r>
        <w:rPr>
          <w:rFonts w:hint="eastAsia" w:ascii="仿宋_GB2312" w:hAnsi="仿宋_GB2312" w:eastAsia="仿宋_GB2312"/>
          <w:sz w:val="32"/>
          <w:lang w:eastAsia="zh-CN"/>
        </w:rPr>
        <w:t>案和</w:t>
      </w:r>
      <w:r>
        <w:rPr>
          <w:rFonts w:ascii="仿宋_GB2312" w:hAnsi="仿宋_GB2312" w:eastAsia="仿宋_GB2312"/>
          <w:sz w:val="32"/>
        </w:rPr>
        <w:t>协调有关专项经济体制改革方案，指导经济体制改革试点工作；组织实施区域经济协调发展规划和政策</w:t>
      </w:r>
      <w:r>
        <w:rPr>
          <w:rFonts w:hint="eastAsia" w:ascii="仿宋_GB2312" w:hAnsi="仿宋_GB2312" w:eastAsia="仿宋_GB2312"/>
          <w:sz w:val="32"/>
          <w:lang w:eastAsia="zh-CN"/>
        </w:rPr>
        <w:t>；</w:t>
      </w:r>
      <w:r>
        <w:rPr>
          <w:rFonts w:ascii="仿宋_GB2312" w:hAnsi="仿宋_GB2312" w:eastAsia="仿宋_GB2312"/>
          <w:sz w:val="32"/>
        </w:rPr>
        <w:t>负责霍城县对口援疆有关综合协调工作</w:t>
      </w:r>
      <w:r>
        <w:rPr>
          <w:rFonts w:hint="eastAsia" w:ascii="仿宋_GB2312" w:hAnsi="仿宋_GB2312" w:eastAsia="仿宋_GB2312"/>
          <w:sz w:val="32"/>
          <w:lang w:eastAsia="zh-CN"/>
        </w:rPr>
        <w:t>；</w:t>
      </w:r>
      <w:r>
        <w:rPr>
          <w:rFonts w:ascii="仿宋_GB2312" w:hAnsi="仿宋_GB2312" w:eastAsia="仿宋_GB2312"/>
          <w:sz w:val="32"/>
        </w:rPr>
        <w:t>负责霍城县推进实施“一带一路”建设的日常组织协调工作</w:t>
      </w:r>
      <w:r>
        <w:rPr>
          <w:rFonts w:hint="eastAsia" w:ascii="仿宋_GB2312" w:hAnsi="仿宋_GB2312" w:eastAsia="仿宋_GB2312"/>
          <w:sz w:val="32"/>
          <w:lang w:eastAsia="zh-CN"/>
        </w:rPr>
        <w:t>；</w:t>
      </w:r>
      <w:r>
        <w:rPr>
          <w:rFonts w:ascii="仿宋_GB2312" w:hAnsi="仿宋_GB2312" w:eastAsia="仿宋_GB2312"/>
          <w:sz w:val="32"/>
        </w:rPr>
        <w:t>推进西部大开发战略和重大政策的实施</w:t>
      </w:r>
      <w:r>
        <w:rPr>
          <w:rFonts w:hint="eastAsia" w:ascii="仿宋_GB2312" w:hAnsi="仿宋_GB2312" w:eastAsia="仿宋_GB2312"/>
          <w:sz w:val="32"/>
          <w:lang w:eastAsia="zh-CN"/>
        </w:rPr>
        <w:t>；</w:t>
      </w:r>
      <w:r>
        <w:rPr>
          <w:rFonts w:ascii="仿宋_GB2312" w:hAnsi="仿宋_GB2312" w:eastAsia="仿宋_GB2312"/>
          <w:sz w:val="32"/>
        </w:rPr>
        <w:t>推进霍城县城镇化建设。</w:t>
      </w:r>
    </w:p>
    <w:p w14:paraId="4E0A8C34">
      <w:pPr>
        <w:spacing w:line="580" w:lineRule="exact"/>
        <w:ind w:firstLine="640"/>
        <w:jc w:val="both"/>
      </w:pPr>
      <w:r>
        <w:rPr>
          <w:rFonts w:ascii="仿宋_GB2312" w:hAnsi="仿宋_GB2312" w:eastAsia="仿宋_GB2312"/>
          <w:sz w:val="32"/>
        </w:rPr>
        <w:t>(五)研究提出霍城县全社会固定资产投资总规模和投资结构的目标政策及措施，规划重大项目和生产力布局</w:t>
      </w:r>
      <w:r>
        <w:rPr>
          <w:rFonts w:hint="eastAsia" w:ascii="仿宋_GB2312" w:hAnsi="仿宋_GB2312" w:eastAsia="仿宋_GB2312"/>
          <w:sz w:val="32"/>
          <w:lang w:eastAsia="zh-CN"/>
        </w:rPr>
        <w:t>；</w:t>
      </w:r>
      <w:r>
        <w:rPr>
          <w:rFonts w:ascii="仿宋_GB2312" w:hAnsi="仿宋_GB2312" w:eastAsia="仿宋_GB2312"/>
          <w:sz w:val="32"/>
        </w:rPr>
        <w:t>衔接平衡需要中央财政、自治区财政投资、自治州和涉及重大建设项目的专项规划</w:t>
      </w:r>
      <w:r>
        <w:rPr>
          <w:rFonts w:hint="eastAsia" w:ascii="仿宋_GB2312" w:hAnsi="仿宋_GB2312" w:eastAsia="仿宋_GB2312"/>
          <w:sz w:val="32"/>
          <w:lang w:eastAsia="zh-CN"/>
        </w:rPr>
        <w:t>；</w:t>
      </w:r>
      <w:r>
        <w:rPr>
          <w:rFonts w:ascii="仿宋_GB2312" w:hAnsi="仿宋_GB2312" w:eastAsia="仿宋_GB2312"/>
          <w:sz w:val="32"/>
        </w:rPr>
        <w:t>编制、下达霍城县固定资产投资计划、重点项目建设计划和前期项目计划，负责霍城县重大项目的管理和组织协调</w:t>
      </w:r>
      <w:r>
        <w:rPr>
          <w:rFonts w:hint="eastAsia" w:ascii="仿宋_GB2312" w:hAnsi="仿宋_GB2312" w:eastAsia="仿宋_GB2312"/>
          <w:sz w:val="32"/>
          <w:lang w:eastAsia="zh-CN"/>
        </w:rPr>
        <w:t>；</w:t>
      </w:r>
      <w:r>
        <w:rPr>
          <w:rFonts w:ascii="仿宋_GB2312" w:hAnsi="仿宋_GB2312" w:eastAsia="仿宋_GB2312"/>
          <w:sz w:val="32"/>
        </w:rPr>
        <w:t>安排霍城县财政预算内建设资金，引导社会投资方向</w:t>
      </w:r>
      <w:r>
        <w:rPr>
          <w:rFonts w:hint="eastAsia" w:ascii="仿宋_GB2312" w:hAnsi="仿宋_GB2312" w:eastAsia="仿宋_GB2312"/>
          <w:sz w:val="32"/>
          <w:lang w:eastAsia="zh-CN"/>
        </w:rPr>
        <w:t>；</w:t>
      </w:r>
      <w:r>
        <w:rPr>
          <w:rFonts w:ascii="仿宋_GB2312" w:hAnsi="仿宋_GB2312" w:eastAsia="仿宋_GB2312"/>
          <w:sz w:val="32"/>
        </w:rPr>
        <w:t>按照管理权限，负责审核上报、审批、核准、备案固定资产投资项目，审查、审批项目初步设计</w:t>
      </w:r>
      <w:r>
        <w:rPr>
          <w:rFonts w:hint="eastAsia" w:ascii="仿宋_GB2312" w:hAnsi="仿宋_GB2312" w:eastAsia="仿宋_GB2312"/>
          <w:sz w:val="32"/>
          <w:lang w:eastAsia="zh-CN"/>
        </w:rPr>
        <w:t>；</w:t>
      </w:r>
      <w:r>
        <w:rPr>
          <w:rFonts w:ascii="仿宋_GB2312" w:hAnsi="仿宋_GB2312" w:eastAsia="仿宋_GB2312"/>
          <w:sz w:val="32"/>
        </w:rPr>
        <w:t>组织实施霍城县固定资产投资项目节能评估审查工作</w:t>
      </w:r>
      <w:r>
        <w:rPr>
          <w:rFonts w:hint="eastAsia" w:ascii="仿宋_GB2312" w:hAnsi="仿宋_GB2312" w:eastAsia="仿宋_GB2312"/>
          <w:sz w:val="32"/>
          <w:lang w:eastAsia="zh-CN"/>
        </w:rPr>
        <w:t>；</w:t>
      </w:r>
      <w:r>
        <w:rPr>
          <w:rFonts w:ascii="仿宋_GB2312" w:hAnsi="仿宋_GB2312" w:eastAsia="仿宋_GB2312"/>
          <w:sz w:val="32"/>
        </w:rPr>
        <w:t>指导和协调霍城县招投标工作</w:t>
      </w:r>
      <w:r>
        <w:rPr>
          <w:rFonts w:hint="eastAsia" w:ascii="仿宋_GB2312" w:hAnsi="仿宋_GB2312" w:eastAsia="仿宋_GB2312"/>
          <w:sz w:val="32"/>
          <w:lang w:eastAsia="zh-CN"/>
        </w:rPr>
        <w:t>；</w:t>
      </w:r>
      <w:r>
        <w:rPr>
          <w:rFonts w:ascii="仿宋_GB2312" w:hAnsi="仿宋_GB2312" w:eastAsia="仿宋_GB2312"/>
          <w:sz w:val="32"/>
        </w:rPr>
        <w:t>会同有关部门拟定霍城县招投标配套法规、综合性政策</w:t>
      </w:r>
      <w:r>
        <w:rPr>
          <w:rFonts w:hint="eastAsia" w:ascii="仿宋_GB2312" w:hAnsi="仿宋_GB2312" w:eastAsia="仿宋_GB2312"/>
          <w:sz w:val="32"/>
          <w:lang w:eastAsia="zh-CN"/>
        </w:rPr>
        <w:t>；</w:t>
      </w:r>
      <w:r>
        <w:rPr>
          <w:rFonts w:ascii="仿宋_GB2312" w:hAnsi="仿宋_GB2312" w:eastAsia="仿宋_GB2312"/>
          <w:sz w:val="32"/>
        </w:rPr>
        <w:t>负责霍城县重大项目招投标活动有关监督管理工作。</w:t>
      </w:r>
    </w:p>
    <w:p w14:paraId="5A8A80F3">
      <w:pPr>
        <w:spacing w:line="580" w:lineRule="exact"/>
        <w:ind w:firstLine="640"/>
        <w:jc w:val="both"/>
      </w:pPr>
      <w:r>
        <w:rPr>
          <w:rFonts w:ascii="仿宋_GB2312" w:hAnsi="仿宋_GB2312" w:eastAsia="仿宋_GB2312"/>
          <w:sz w:val="32"/>
        </w:rPr>
        <w:t>(六)推进产业结构战略性调整和升级。组织拟定综合性产业政策，负责协调第一、二、三产业发展的重大问题，做好与国民经济和社会发展规划、计划的</w:t>
      </w:r>
      <w:r>
        <w:rPr>
          <w:rFonts w:hint="eastAsia" w:ascii="仿宋_GB2312" w:hAnsi="仿宋_GB2312" w:eastAsia="仿宋_GB2312"/>
          <w:sz w:val="32"/>
          <w:lang w:eastAsia="zh-CN"/>
        </w:rPr>
        <w:t>衔接</w:t>
      </w:r>
      <w:r>
        <w:rPr>
          <w:rFonts w:ascii="仿宋_GB2312" w:hAnsi="仿宋_GB2312" w:eastAsia="仿宋_GB2312"/>
          <w:sz w:val="32"/>
        </w:rPr>
        <w:t>平衡</w:t>
      </w:r>
      <w:r>
        <w:rPr>
          <w:rFonts w:hint="eastAsia" w:ascii="仿宋_GB2312" w:hAnsi="仿宋_GB2312" w:eastAsia="仿宋_GB2312"/>
          <w:sz w:val="32"/>
          <w:lang w:eastAsia="zh-CN"/>
        </w:rPr>
        <w:t>；</w:t>
      </w:r>
      <w:r>
        <w:rPr>
          <w:rFonts w:ascii="仿宋_GB2312" w:hAnsi="仿宋_GB2312" w:eastAsia="仿宋_GB2312"/>
          <w:sz w:val="32"/>
        </w:rPr>
        <w:t>提出国民经济重要产业的发展战略和规划，组织审核上报、审批专项规划</w:t>
      </w:r>
      <w:r>
        <w:rPr>
          <w:rFonts w:hint="eastAsia" w:ascii="仿宋_GB2312" w:hAnsi="仿宋_GB2312" w:eastAsia="仿宋_GB2312"/>
          <w:sz w:val="32"/>
          <w:lang w:eastAsia="zh-CN"/>
        </w:rPr>
        <w:t>；</w:t>
      </w:r>
      <w:r>
        <w:rPr>
          <w:rFonts w:ascii="仿宋_GB2312" w:hAnsi="仿宋_GB2312" w:eastAsia="仿宋_GB2312"/>
          <w:sz w:val="32"/>
        </w:rPr>
        <w:t>研究农业和农村经济社会发展的有关重大问题，衔接农村专项规划和政策</w:t>
      </w:r>
      <w:r>
        <w:rPr>
          <w:rFonts w:hint="eastAsia" w:ascii="仿宋_GB2312" w:hAnsi="仿宋_GB2312" w:eastAsia="仿宋_GB2312"/>
          <w:sz w:val="32"/>
          <w:lang w:eastAsia="zh-CN"/>
        </w:rPr>
        <w:t>；</w:t>
      </w:r>
      <w:r>
        <w:rPr>
          <w:rFonts w:ascii="仿宋_GB2312" w:hAnsi="仿宋_GB2312" w:eastAsia="仿宋_GB2312"/>
          <w:sz w:val="32"/>
        </w:rPr>
        <w:t>拟订并实施以工代赈规划和计划</w:t>
      </w:r>
      <w:r>
        <w:rPr>
          <w:rFonts w:hint="eastAsia" w:ascii="仿宋_GB2312" w:hAnsi="仿宋_GB2312" w:eastAsia="仿宋_GB2312"/>
          <w:sz w:val="32"/>
          <w:lang w:eastAsia="zh-CN"/>
        </w:rPr>
        <w:t>；</w:t>
      </w:r>
      <w:r>
        <w:rPr>
          <w:rFonts w:ascii="仿宋_GB2312" w:hAnsi="仿宋_GB2312" w:eastAsia="仿宋_GB2312"/>
          <w:sz w:val="32"/>
        </w:rPr>
        <w:t>研究提出能源发展战略、规划</w:t>
      </w:r>
      <w:r>
        <w:rPr>
          <w:rFonts w:hint="eastAsia" w:ascii="仿宋_GB2312" w:hAnsi="仿宋_GB2312" w:eastAsia="仿宋_GB2312"/>
          <w:sz w:val="32"/>
          <w:lang w:eastAsia="zh-CN"/>
        </w:rPr>
        <w:t>；</w:t>
      </w:r>
      <w:r>
        <w:rPr>
          <w:rFonts w:ascii="仿宋_GB2312" w:hAnsi="仿宋_GB2312" w:eastAsia="仿宋_GB2312"/>
          <w:sz w:val="32"/>
        </w:rPr>
        <w:t>组织拟定高技术产业发展、产业技术进步的战略和规划，推动高技术产业化发展:规划、指导服务业的建设与发展。根据粮食和物资储备总体发展规划，统一负责储备基础设施建设和管理。拟订储备基础设施、粮食流通设施规划并组织实施，管理有关储备基础设施和粮食流通设施国家和自治区、自治州投资项目。</w:t>
      </w:r>
    </w:p>
    <w:p w14:paraId="0E7BF85F">
      <w:pPr>
        <w:spacing w:line="580" w:lineRule="exact"/>
        <w:ind w:firstLine="640"/>
        <w:jc w:val="both"/>
      </w:pPr>
      <w:r>
        <w:rPr>
          <w:rFonts w:ascii="仿宋_GB2312" w:hAnsi="仿宋_GB2312" w:eastAsia="仿宋_GB2312"/>
          <w:sz w:val="32"/>
        </w:rPr>
        <w:t>(七)研究提出利用外资和境外投资的战略、总量平衡和结构优化的目标和政策</w:t>
      </w:r>
      <w:r>
        <w:rPr>
          <w:rFonts w:hint="eastAsia" w:ascii="仿宋_GB2312" w:hAnsi="仿宋_GB2312" w:eastAsia="仿宋_GB2312"/>
          <w:sz w:val="32"/>
          <w:lang w:eastAsia="zh-CN"/>
        </w:rPr>
        <w:t>；</w:t>
      </w:r>
      <w:r>
        <w:rPr>
          <w:rFonts w:ascii="仿宋_GB2312" w:hAnsi="仿宋_GB2312" w:eastAsia="仿宋_GB2312"/>
          <w:sz w:val="32"/>
        </w:rPr>
        <w:t>监测国外资金利用和境外投资情况及霍城县外债结构优化状况</w:t>
      </w:r>
      <w:r>
        <w:rPr>
          <w:rFonts w:hint="eastAsia" w:ascii="仿宋_GB2312" w:hAnsi="仿宋_GB2312" w:eastAsia="仿宋_GB2312"/>
          <w:sz w:val="32"/>
          <w:lang w:eastAsia="zh-CN"/>
        </w:rPr>
        <w:t>；</w:t>
      </w:r>
      <w:r>
        <w:rPr>
          <w:rFonts w:ascii="仿宋_GB2312" w:hAnsi="仿宋_GB2312" w:eastAsia="仿宋_GB2312"/>
          <w:sz w:val="32"/>
        </w:rPr>
        <w:t>按照管理权限，负责审核上报国外贷款项目、外商直接投资项目和境外投资项目</w:t>
      </w:r>
      <w:r>
        <w:rPr>
          <w:rFonts w:hint="eastAsia" w:ascii="仿宋_GB2312" w:hAnsi="仿宋_GB2312" w:eastAsia="仿宋_GB2312"/>
          <w:sz w:val="32"/>
          <w:lang w:eastAsia="zh-CN"/>
        </w:rPr>
        <w:t>；</w:t>
      </w:r>
      <w:r>
        <w:rPr>
          <w:rFonts w:ascii="仿宋_GB2312" w:hAnsi="仿宋_GB2312" w:eastAsia="仿宋_GB2312"/>
          <w:sz w:val="32"/>
        </w:rPr>
        <w:t>会同有关部门协调和审查利用重大内外资项目</w:t>
      </w:r>
      <w:r>
        <w:rPr>
          <w:rFonts w:hint="eastAsia" w:ascii="仿宋_GB2312" w:hAnsi="仿宋_GB2312" w:eastAsia="仿宋_GB2312"/>
          <w:sz w:val="32"/>
          <w:lang w:eastAsia="zh-CN"/>
        </w:rPr>
        <w:t>；</w:t>
      </w:r>
      <w:r>
        <w:rPr>
          <w:rFonts w:ascii="仿宋_GB2312" w:hAnsi="仿宋_GB2312" w:eastAsia="仿宋_GB2312"/>
          <w:sz w:val="32"/>
        </w:rPr>
        <w:t>会同有关部门做好</w:t>
      </w:r>
      <w:r>
        <w:rPr>
          <w:rFonts w:hint="eastAsia" w:ascii="仿宋_GB2312" w:hAnsi="仿宋_GB2312" w:eastAsia="仿宋_GB2312"/>
          <w:sz w:val="32"/>
          <w:lang w:eastAsia="zh-CN"/>
        </w:rPr>
        <w:t>招</w:t>
      </w:r>
      <w:r>
        <w:rPr>
          <w:rFonts w:ascii="仿宋_GB2312" w:hAnsi="仿宋_GB2312" w:eastAsia="仿宋_GB2312"/>
          <w:sz w:val="32"/>
        </w:rPr>
        <w:t>商引资工作</w:t>
      </w:r>
      <w:r>
        <w:rPr>
          <w:rFonts w:hint="eastAsia" w:ascii="仿宋_GB2312" w:hAnsi="仿宋_GB2312" w:eastAsia="仿宋_GB2312"/>
          <w:sz w:val="32"/>
          <w:lang w:eastAsia="zh-CN"/>
        </w:rPr>
        <w:t>；</w:t>
      </w:r>
      <w:r>
        <w:rPr>
          <w:rFonts w:ascii="仿宋_GB2312" w:hAnsi="仿宋_GB2312" w:eastAsia="仿宋_GB2312"/>
          <w:sz w:val="32"/>
        </w:rPr>
        <w:t>会同有关部门指导、协调霍城县各类开发区等特殊经济区和开放地区的规划、布局及设立。</w:t>
      </w:r>
    </w:p>
    <w:p w14:paraId="530F6595">
      <w:pPr>
        <w:spacing w:line="580" w:lineRule="exact"/>
        <w:ind w:firstLine="640"/>
        <w:jc w:val="both"/>
      </w:pPr>
      <w:r>
        <w:rPr>
          <w:rFonts w:ascii="仿宋_GB2312" w:hAnsi="仿宋_GB2312" w:eastAsia="仿宋_GB2312"/>
          <w:sz w:val="32"/>
        </w:rPr>
        <w:t>(八)承担重要商品总量平衡和宏观调控的责任，研究分析国内外市场的供求状况，编制霍城县重要农产品、工业品和原材料进出口总量计划并监督执行。</w:t>
      </w:r>
    </w:p>
    <w:p w14:paraId="7DE5FB58">
      <w:pPr>
        <w:spacing w:line="580" w:lineRule="exact"/>
        <w:ind w:firstLine="640"/>
        <w:jc w:val="both"/>
      </w:pPr>
      <w:r>
        <w:rPr>
          <w:rFonts w:ascii="仿宋_GB2312" w:hAnsi="仿宋_GB2312" w:eastAsia="仿宋_GB2312"/>
          <w:sz w:val="32"/>
        </w:rPr>
        <w:t>(九)负责霍城县社会发展与国民经济发展的政策衔接，组织拟订社会发展战略、总体规划，参与拟订文化、卫生、民政等发展政策，协调霍城县社会事业发展的重大问题</w:t>
      </w:r>
      <w:r>
        <w:rPr>
          <w:rFonts w:hint="eastAsia" w:ascii="仿宋_GB2312" w:hAnsi="仿宋_GB2312" w:eastAsia="仿宋_GB2312"/>
          <w:sz w:val="32"/>
          <w:lang w:eastAsia="zh-CN"/>
        </w:rPr>
        <w:t>；</w:t>
      </w:r>
      <w:r>
        <w:rPr>
          <w:rFonts w:ascii="仿宋_GB2312" w:hAnsi="仿宋_GB2312" w:eastAsia="仿宋_GB2312"/>
          <w:sz w:val="32"/>
        </w:rPr>
        <w:t>研究提出促进就业、消费、调整收入分配、完善社会保障与经济协调发展的政策。</w:t>
      </w:r>
    </w:p>
    <w:p w14:paraId="5DCC6576">
      <w:pPr>
        <w:spacing w:line="580" w:lineRule="exact"/>
        <w:ind w:firstLine="640"/>
        <w:jc w:val="both"/>
      </w:pPr>
      <w:r>
        <w:rPr>
          <w:rFonts w:ascii="仿宋_GB2312" w:hAnsi="仿宋_GB2312" w:eastAsia="仿宋_GB2312"/>
          <w:sz w:val="32"/>
        </w:rPr>
        <w:t>(十)推进可持续发展战略，负责霍城县全社会节能综合协调工作，组织拟订发展循环经济、全社会能源资源节约和综合利用规划及政策措施并协调实施</w:t>
      </w:r>
      <w:r>
        <w:rPr>
          <w:rFonts w:hint="eastAsia" w:ascii="仿宋_GB2312" w:hAnsi="仿宋_GB2312" w:eastAsia="仿宋_GB2312"/>
          <w:sz w:val="32"/>
          <w:lang w:eastAsia="zh-CN"/>
        </w:rPr>
        <w:t>；</w:t>
      </w:r>
      <w:r>
        <w:rPr>
          <w:rFonts w:ascii="仿宋_GB2312" w:hAnsi="仿宋_GB2312" w:eastAsia="仿宋_GB2312"/>
          <w:sz w:val="32"/>
        </w:rPr>
        <w:t>会同有关部门研究提出霍城县生态建设、环境保护规划、资源节约综合利用规划和政策</w:t>
      </w:r>
      <w:r>
        <w:rPr>
          <w:rFonts w:hint="eastAsia" w:ascii="仿宋_GB2312" w:hAnsi="仿宋_GB2312" w:eastAsia="仿宋_GB2312"/>
          <w:sz w:val="32"/>
          <w:lang w:eastAsia="zh-CN"/>
        </w:rPr>
        <w:t>；</w:t>
      </w:r>
      <w:r>
        <w:rPr>
          <w:rFonts w:ascii="仿宋_GB2312" w:hAnsi="仿宋_GB2312" w:eastAsia="仿宋_GB2312"/>
          <w:sz w:val="32"/>
        </w:rPr>
        <w:t>协调生态建设、环保产业和资源节约利用的重大问题</w:t>
      </w:r>
      <w:r>
        <w:rPr>
          <w:rFonts w:hint="eastAsia" w:ascii="仿宋_GB2312" w:hAnsi="仿宋_GB2312" w:eastAsia="仿宋_GB2312"/>
          <w:sz w:val="32"/>
          <w:lang w:eastAsia="zh-CN"/>
        </w:rPr>
        <w:t>；</w:t>
      </w:r>
      <w:r>
        <w:rPr>
          <w:rFonts w:ascii="仿宋_GB2312" w:hAnsi="仿宋_GB2312" w:eastAsia="仿宋_GB2312"/>
          <w:sz w:val="32"/>
        </w:rPr>
        <w:t>综合协调环保产业和清洁生产促进有关工作</w:t>
      </w:r>
      <w:r>
        <w:rPr>
          <w:rFonts w:hint="eastAsia" w:ascii="仿宋_GB2312" w:hAnsi="仿宋_GB2312" w:eastAsia="仿宋_GB2312"/>
          <w:sz w:val="32"/>
          <w:lang w:eastAsia="zh-CN"/>
        </w:rPr>
        <w:t>；</w:t>
      </w:r>
      <w:r>
        <w:rPr>
          <w:rFonts w:ascii="仿宋_GB2312" w:hAnsi="仿宋_GB2312" w:eastAsia="仿宋_GB2312"/>
          <w:sz w:val="32"/>
        </w:rPr>
        <w:t>起草霍城县国民经济和社会发展以及经济体制改革、对外开放的有关规范性文件。</w:t>
      </w:r>
    </w:p>
    <w:p w14:paraId="211BC737">
      <w:pPr>
        <w:spacing w:line="580" w:lineRule="exact"/>
        <w:ind w:firstLine="640"/>
        <w:jc w:val="both"/>
      </w:pPr>
      <w:r>
        <w:rPr>
          <w:rFonts w:ascii="仿宋_GB2312" w:hAnsi="仿宋_GB2312" w:eastAsia="仿宋_GB2312"/>
          <w:sz w:val="32"/>
        </w:rPr>
        <w:t>(十一)组织实施国家粮食和物资储备仓储管理有关技术标准和规范，指导粮食流通和物资储备承储单位安全生产工作。负责对管理的政府储备、企业储备</w:t>
      </w:r>
      <w:r>
        <w:rPr>
          <w:rFonts w:hint="eastAsia" w:ascii="仿宋_GB2312" w:hAnsi="仿宋_GB2312" w:eastAsia="仿宋_GB2312"/>
          <w:sz w:val="32"/>
          <w:lang w:eastAsia="zh-CN"/>
        </w:rPr>
        <w:t>以及</w:t>
      </w:r>
      <w:r>
        <w:rPr>
          <w:rFonts w:ascii="仿宋_GB2312" w:hAnsi="仿宋_GB2312" w:eastAsia="仿宋_GB2312"/>
          <w:sz w:val="32"/>
        </w:rPr>
        <w:t>储备政策落实情况和粮食流通进行监督检查，负责粮食收购、储存、运输环节质量安全和原粮卫生的监督检查，组织实施粮食库存检查工作。负责粮食流通行政管理、行业指导，组织实施国家和自治区粮食流通和物资储备有关标准、粮食质量标准和技术规范，监督执行粮食流通和物资储备有关地方标准和技术规范。承担粮食流通的对外合作与交流。</w:t>
      </w:r>
    </w:p>
    <w:p w14:paraId="5508C434">
      <w:pPr>
        <w:spacing w:line="580" w:lineRule="exact"/>
        <w:ind w:firstLine="640"/>
        <w:jc w:val="both"/>
      </w:pPr>
      <w:r>
        <w:rPr>
          <w:rFonts w:ascii="仿宋_GB2312" w:hAnsi="仿宋_GB2312" w:eastAsia="仿宋_GB2312"/>
          <w:sz w:val="32"/>
        </w:rPr>
        <w:t>(十二)完成县委、县人民政府交办的其他任务。</w:t>
      </w:r>
    </w:p>
    <w:p w14:paraId="01CB175E">
      <w:pPr>
        <w:spacing w:line="640" w:lineRule="exact"/>
        <w:ind w:firstLine="640"/>
        <w:jc w:val="both"/>
        <w:outlineLvl w:val="2"/>
      </w:pPr>
      <w:r>
        <w:rPr>
          <w:rFonts w:ascii="黑体" w:hAnsi="黑体" w:eastAsia="黑体"/>
          <w:sz w:val="32"/>
        </w:rPr>
        <w:t>二、机构设置及人员情况</w:t>
      </w:r>
    </w:p>
    <w:p w14:paraId="592A622E">
      <w:pPr>
        <w:spacing w:line="580" w:lineRule="exact"/>
        <w:ind w:firstLine="640"/>
        <w:jc w:val="both"/>
      </w:pPr>
      <w:r>
        <w:rPr>
          <w:rFonts w:ascii="仿宋_GB2312" w:hAnsi="仿宋_GB2312" w:eastAsia="仿宋_GB2312"/>
          <w:sz w:val="32"/>
        </w:rPr>
        <w:t>霍城县发展和改革委员会2024年度，实有人数73人，其中：在职人员34人，增加1人；离休人员0人，增加0人；退休人员39人,增加0人。</w:t>
      </w:r>
    </w:p>
    <w:p w14:paraId="3C27710D">
      <w:pPr>
        <w:spacing w:line="580" w:lineRule="exact"/>
        <w:ind w:firstLine="640"/>
        <w:jc w:val="both"/>
      </w:pPr>
      <w:r>
        <w:rPr>
          <w:rFonts w:ascii="仿宋_GB2312" w:hAnsi="仿宋_GB2312" w:eastAsia="仿宋_GB2312"/>
          <w:sz w:val="32"/>
        </w:rPr>
        <w:t>霍城县发展和改革委员会无下属预算单位，下设5个科室，分别是：办公室、价格管理科、国民经济综合科、能源发展科、投资管理科。</w:t>
      </w:r>
    </w:p>
    <w:p w14:paraId="7FEEA88B">
      <w:r>
        <w:br w:type="page"/>
      </w:r>
    </w:p>
    <w:p w14:paraId="1D10FB6A">
      <w:pPr>
        <w:spacing w:line="240" w:lineRule="auto"/>
        <w:jc w:val="center"/>
        <w:outlineLvl w:val="1"/>
      </w:pPr>
      <w:r>
        <w:rPr>
          <w:rFonts w:ascii="黑体" w:hAnsi="黑体" w:eastAsia="黑体"/>
          <w:sz w:val="32"/>
        </w:rPr>
        <w:t>第二部分 部门决算情况说明</w:t>
      </w:r>
    </w:p>
    <w:p w14:paraId="59F11412">
      <w:pPr>
        <w:spacing w:line="640" w:lineRule="exact"/>
        <w:ind w:firstLine="640"/>
        <w:jc w:val="both"/>
        <w:outlineLvl w:val="2"/>
      </w:pPr>
      <w:r>
        <w:rPr>
          <w:rFonts w:ascii="黑体" w:hAnsi="黑体" w:eastAsia="黑体"/>
          <w:sz w:val="32"/>
        </w:rPr>
        <w:t>一、收入支出决算总体情况说明</w:t>
      </w:r>
    </w:p>
    <w:p w14:paraId="2A9B99FE">
      <w:pPr>
        <w:spacing w:line="580" w:lineRule="exact"/>
        <w:ind w:firstLine="640"/>
        <w:jc w:val="both"/>
      </w:pPr>
      <w:r>
        <w:rPr>
          <w:rFonts w:ascii="仿宋_GB2312" w:hAnsi="仿宋_GB2312" w:eastAsia="仿宋_GB2312"/>
          <w:b/>
          <w:sz w:val="32"/>
        </w:rPr>
        <w:t>2024年度收入总计3,951.03万元，</w:t>
      </w:r>
      <w:r>
        <w:rPr>
          <w:rFonts w:ascii="仿宋_GB2312" w:hAnsi="仿宋_GB2312" w:eastAsia="仿宋_GB2312"/>
          <w:b w:val="0"/>
          <w:sz w:val="32"/>
        </w:rPr>
        <w:t>其中：本年收入合计3,945.56万元，使用非财政拨款结余（含专用结余）0.00万元，年初结转和结余5.47万元。</w:t>
      </w:r>
    </w:p>
    <w:p w14:paraId="5D50B1BB">
      <w:pPr>
        <w:spacing w:line="580" w:lineRule="exact"/>
        <w:ind w:firstLine="640"/>
        <w:jc w:val="both"/>
      </w:pPr>
      <w:r>
        <w:rPr>
          <w:rFonts w:ascii="仿宋_GB2312" w:hAnsi="仿宋_GB2312" w:eastAsia="仿宋_GB2312"/>
          <w:b/>
          <w:sz w:val="32"/>
        </w:rPr>
        <w:t>2024年度支出总计3,951.03万元，</w:t>
      </w:r>
      <w:r>
        <w:rPr>
          <w:rFonts w:ascii="仿宋_GB2312" w:hAnsi="仿宋_GB2312" w:eastAsia="仿宋_GB2312"/>
          <w:b w:val="0"/>
          <w:sz w:val="32"/>
        </w:rPr>
        <w:t>其中：本年支出合计3,930.63万元，结余分配0.00万元，年末结转和结余20.39万元。</w:t>
      </w:r>
    </w:p>
    <w:p w14:paraId="24C61C4C">
      <w:pPr>
        <w:spacing w:line="580" w:lineRule="exact"/>
        <w:ind w:firstLine="640"/>
        <w:jc w:val="both"/>
      </w:pPr>
      <w:r>
        <w:rPr>
          <w:rFonts w:ascii="仿宋_GB2312" w:hAnsi="仿宋_GB2312" w:eastAsia="仿宋_GB2312"/>
          <w:b w:val="0"/>
          <w:sz w:val="32"/>
        </w:rPr>
        <w:t>收入支出总体与上年相比，增加867.52万元，增长28.13%，主要原因是：在职人员职务职级调整、正常晋升及津贴补贴标准提高，职工工资基数增加，相应人员经费增加，2024年7月新招录引进人才1名；本年增加霍城县粮食购销有限责任公司土地变性确权出让金、项目前期费，江阴援疆两霍两伊一体化研究及行动规划资金。</w:t>
      </w:r>
    </w:p>
    <w:p w14:paraId="4598BBBF">
      <w:pPr>
        <w:spacing w:line="640" w:lineRule="exact"/>
        <w:ind w:firstLine="640"/>
        <w:jc w:val="both"/>
        <w:outlineLvl w:val="2"/>
      </w:pPr>
      <w:r>
        <w:rPr>
          <w:rFonts w:ascii="黑体" w:hAnsi="黑体" w:eastAsia="黑体"/>
          <w:sz w:val="32"/>
        </w:rPr>
        <w:t>二、收入决算情况说明</w:t>
      </w:r>
    </w:p>
    <w:p w14:paraId="0BCEC725">
      <w:pPr>
        <w:spacing w:line="580" w:lineRule="exact"/>
        <w:ind w:firstLine="640"/>
        <w:jc w:val="both"/>
      </w:pPr>
      <w:r>
        <w:rPr>
          <w:rFonts w:ascii="仿宋_GB2312" w:hAnsi="仿宋_GB2312" w:eastAsia="仿宋_GB2312"/>
          <w:b/>
          <w:sz w:val="32"/>
        </w:rPr>
        <w:t>本年收入3,945.56万元，</w:t>
      </w:r>
      <w:r>
        <w:rPr>
          <w:rFonts w:ascii="仿宋_GB2312" w:hAnsi="仿宋_GB2312" w:eastAsia="仿宋_GB2312"/>
          <w:b w:val="0"/>
          <w:sz w:val="32"/>
        </w:rPr>
        <w:t>其中：财政拨款收入3,789.95万元，占96.06%；上级补助收入0.00万元，占0.00%；事业收入0.00万元，占0.00%；经营收入0.00万元，占0.00%；附属单位上缴收入0.00万元，占0.00%；其他收入155.61万元，占3.94%。</w:t>
      </w:r>
    </w:p>
    <w:p w14:paraId="71089672">
      <w:pPr>
        <w:spacing w:line="640" w:lineRule="exact"/>
        <w:ind w:firstLine="640"/>
        <w:jc w:val="both"/>
        <w:outlineLvl w:val="2"/>
      </w:pPr>
      <w:r>
        <w:rPr>
          <w:rFonts w:ascii="黑体" w:hAnsi="黑体" w:eastAsia="黑体"/>
          <w:sz w:val="32"/>
        </w:rPr>
        <w:t>三、支出决算情况说明</w:t>
      </w:r>
    </w:p>
    <w:p w14:paraId="60839C8B">
      <w:pPr>
        <w:spacing w:line="580" w:lineRule="exact"/>
        <w:ind w:firstLine="640"/>
        <w:jc w:val="both"/>
      </w:pPr>
      <w:r>
        <w:rPr>
          <w:rFonts w:ascii="仿宋_GB2312" w:hAnsi="仿宋_GB2312" w:eastAsia="仿宋_GB2312"/>
          <w:b/>
          <w:sz w:val="32"/>
        </w:rPr>
        <w:t>本年支出3,930.63万元，</w:t>
      </w:r>
      <w:r>
        <w:rPr>
          <w:rFonts w:ascii="仿宋_GB2312" w:hAnsi="仿宋_GB2312" w:eastAsia="仿宋_GB2312"/>
          <w:b w:val="0"/>
          <w:sz w:val="32"/>
        </w:rPr>
        <w:t>其中：基本支出807.66万元，占20.55%；项目支出3,122.97万元，占79.45%；上缴上级支出0.00万元，占0.00%；经营支出0.00万元，占0.00%；对附属单位补助支出0.00万元，占0.00%。</w:t>
      </w:r>
    </w:p>
    <w:p w14:paraId="23BB196C">
      <w:pPr>
        <w:spacing w:line="640" w:lineRule="exact"/>
        <w:ind w:firstLine="640"/>
        <w:jc w:val="both"/>
        <w:outlineLvl w:val="2"/>
      </w:pPr>
      <w:r>
        <w:rPr>
          <w:rFonts w:ascii="黑体" w:hAnsi="黑体" w:eastAsia="黑体"/>
          <w:sz w:val="32"/>
        </w:rPr>
        <w:t>四、财政拨款收入支出决算总体情况说明</w:t>
      </w:r>
    </w:p>
    <w:p w14:paraId="37DF51D1">
      <w:pPr>
        <w:spacing w:line="580" w:lineRule="exact"/>
        <w:ind w:firstLine="640"/>
        <w:jc w:val="both"/>
      </w:pPr>
      <w:r>
        <w:rPr>
          <w:rFonts w:ascii="仿宋_GB2312" w:hAnsi="仿宋_GB2312" w:eastAsia="仿宋_GB2312"/>
          <w:b/>
          <w:sz w:val="32"/>
        </w:rPr>
        <w:t>2024年度财政拨款收入总计3,789.95万元，</w:t>
      </w:r>
      <w:r>
        <w:rPr>
          <w:rFonts w:ascii="仿宋_GB2312" w:hAnsi="仿宋_GB2312" w:eastAsia="仿宋_GB2312"/>
          <w:b w:val="0"/>
          <w:sz w:val="32"/>
        </w:rPr>
        <w:t>其中：年初财政拨款结转和结余0.00万元，本年财政拨款收入3,789.95万元。</w:t>
      </w:r>
      <w:r>
        <w:rPr>
          <w:rFonts w:ascii="仿宋_GB2312" w:hAnsi="仿宋_GB2312" w:eastAsia="仿宋_GB2312"/>
          <w:b/>
          <w:sz w:val="32"/>
        </w:rPr>
        <w:t>财政拨款支出总计3,789.95万元，</w:t>
      </w:r>
      <w:r>
        <w:rPr>
          <w:rFonts w:ascii="仿宋_GB2312" w:hAnsi="仿宋_GB2312" w:eastAsia="仿宋_GB2312"/>
          <w:b w:val="0"/>
          <w:sz w:val="32"/>
        </w:rPr>
        <w:t>其中：年末财政拨款结转和结余0.00万元，本年财政拨款支出3,789.95万元。</w:t>
      </w:r>
    </w:p>
    <w:p w14:paraId="63FFDFF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增加744.66万元，增长24.45%，主要原因是：1.本年在职人员增加，在职人员工资调增、社保、公积金基数调增；2.本年增加霍城县粮食购销有限责任公司土地变性确权出让金项目，2024年</w:t>
      </w:r>
      <w:r>
        <w:rPr>
          <w:rFonts w:hint="eastAsia" w:ascii="仿宋_GB2312" w:hAnsi="仿宋_GB2312" w:eastAsia="仿宋_GB2312"/>
          <w:b w:val="0"/>
          <w:sz w:val="32"/>
          <w:lang w:eastAsia="zh-CN"/>
        </w:rPr>
        <w:t>第三季度</w:t>
      </w:r>
      <w:r>
        <w:rPr>
          <w:rFonts w:ascii="仿宋_GB2312" w:hAnsi="仿宋_GB2312" w:eastAsia="仿宋_GB2312"/>
          <w:b w:val="0"/>
          <w:sz w:val="32"/>
        </w:rPr>
        <w:t>县储小麦贷款利息保管费和成品粮油贷款利息保管费，霍城县热电联产</w:t>
      </w:r>
      <w:r>
        <w:rPr>
          <w:rFonts w:hint="eastAsia" w:ascii="仿宋_GB2312" w:hAnsi="仿宋_GB2312" w:eastAsia="仿宋_GB2312"/>
          <w:b w:val="0"/>
          <w:sz w:val="32"/>
          <w:lang w:eastAsia="zh-CN"/>
        </w:rPr>
        <w:t>项目</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年初预算数1,916.12万元，决算数3,789.95万元，预决算差异率97.79%，主要原因是：1.年中追加霍城县粮食购销有限责任公司土地变性确权出让金项目；2024年</w:t>
      </w:r>
      <w:r>
        <w:rPr>
          <w:rFonts w:hint="eastAsia" w:ascii="仿宋_GB2312" w:hAnsi="仿宋_GB2312" w:eastAsia="仿宋_GB2312"/>
          <w:b w:val="0"/>
          <w:sz w:val="32"/>
          <w:lang w:eastAsia="zh-CN"/>
        </w:rPr>
        <w:t>第三季度</w:t>
      </w:r>
      <w:r>
        <w:rPr>
          <w:rFonts w:ascii="仿宋_GB2312" w:hAnsi="仿宋_GB2312" w:eastAsia="仿宋_GB2312"/>
          <w:b w:val="0"/>
          <w:sz w:val="32"/>
        </w:rPr>
        <w:t>县储小麦贷款利息保管费和成品粮油贷款利息保管费，霍城县热电联产项目；2.本年在职人员增加，年中追加人员经费及人员工资、社保、公积金基数调增部分资金，导致预决算存在差异。</w:t>
      </w:r>
    </w:p>
    <w:p w14:paraId="5F96E59D">
      <w:pPr>
        <w:spacing w:line="640" w:lineRule="exact"/>
        <w:ind w:firstLine="640"/>
        <w:jc w:val="both"/>
        <w:outlineLvl w:val="2"/>
      </w:pPr>
      <w:r>
        <w:rPr>
          <w:rFonts w:ascii="黑体" w:hAnsi="黑体" w:eastAsia="黑体"/>
          <w:sz w:val="32"/>
        </w:rPr>
        <w:t>五、一般公共预算财政拨款支出决算情况说明</w:t>
      </w:r>
    </w:p>
    <w:p w14:paraId="739F35C7">
      <w:pPr>
        <w:spacing w:line="640" w:lineRule="exact"/>
        <w:ind w:firstLine="640"/>
        <w:jc w:val="both"/>
        <w:outlineLvl w:val="3"/>
      </w:pPr>
      <w:r>
        <w:rPr>
          <w:rFonts w:ascii="楷体_GB2312" w:hAnsi="楷体_GB2312" w:eastAsia="楷体_GB2312"/>
          <w:b/>
          <w:sz w:val="32"/>
        </w:rPr>
        <w:t>（一）一般公共预算财政拨款支出决算总体情况</w:t>
      </w:r>
    </w:p>
    <w:p w14:paraId="6E9EAACB">
      <w:pPr>
        <w:spacing w:line="580" w:lineRule="exact"/>
        <w:ind w:firstLine="640"/>
        <w:jc w:val="both"/>
      </w:pPr>
      <w:r>
        <w:rPr>
          <w:rFonts w:ascii="仿宋_GB2312" w:hAnsi="仿宋_GB2312" w:eastAsia="仿宋_GB2312"/>
          <w:b/>
          <w:sz w:val="32"/>
        </w:rPr>
        <w:t>2024年度一般公共预算财政拨款支出3,789.95万元，</w:t>
      </w:r>
      <w:r>
        <w:rPr>
          <w:rFonts w:ascii="仿宋_GB2312" w:hAnsi="仿宋_GB2312" w:eastAsia="仿宋_GB2312"/>
          <w:b w:val="0"/>
          <w:sz w:val="32"/>
        </w:rPr>
        <w:t>占本年支出合计的96.42%。</w:t>
      </w:r>
      <w:r>
        <w:rPr>
          <w:rFonts w:ascii="仿宋_GB2312" w:hAnsi="仿宋_GB2312" w:eastAsia="仿宋_GB2312"/>
          <w:b/>
          <w:sz w:val="32"/>
        </w:rPr>
        <w:t>与上年相比，</w:t>
      </w:r>
      <w:r>
        <w:rPr>
          <w:rFonts w:ascii="仿宋_GB2312" w:hAnsi="仿宋_GB2312" w:eastAsia="仿宋_GB2312"/>
          <w:b w:val="0"/>
          <w:sz w:val="32"/>
        </w:rPr>
        <w:t>增加744.66万元，增长24.45%，主要原因是：1.本年在职人员增加，在职人员工资调增、社保、公积金基数调增；2.本年增加霍城县粮食购销有限责任公司土地变性确权出让金项目，2024年</w:t>
      </w:r>
      <w:r>
        <w:rPr>
          <w:rFonts w:hint="eastAsia" w:ascii="仿宋_GB2312" w:hAnsi="仿宋_GB2312" w:eastAsia="仿宋_GB2312"/>
          <w:b w:val="0"/>
          <w:sz w:val="32"/>
          <w:lang w:eastAsia="zh-CN"/>
        </w:rPr>
        <w:t>第三季度</w:t>
      </w:r>
      <w:r>
        <w:rPr>
          <w:rFonts w:ascii="仿宋_GB2312" w:hAnsi="仿宋_GB2312" w:eastAsia="仿宋_GB2312"/>
          <w:b w:val="0"/>
          <w:sz w:val="32"/>
        </w:rPr>
        <w:t>县储小麦贷款利息保管费和成品粮油贷款利息保管费，霍城县热电联产</w:t>
      </w:r>
      <w:r>
        <w:rPr>
          <w:rFonts w:hint="eastAsia" w:ascii="仿宋_GB2312" w:hAnsi="仿宋_GB2312" w:eastAsia="仿宋_GB2312"/>
          <w:b w:val="0"/>
          <w:sz w:val="32"/>
          <w:lang w:eastAsia="zh-CN"/>
        </w:rPr>
        <w:t>项目</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年初预算数1,916.12万元，决算数3,789.95万元，预决算差异率97.79%，主要原因是：1.年中追加霍城县粮食购销有限责任公司土地变性确权出让金项目，2024年</w:t>
      </w:r>
      <w:r>
        <w:rPr>
          <w:rFonts w:hint="eastAsia" w:ascii="仿宋_GB2312" w:hAnsi="仿宋_GB2312" w:eastAsia="仿宋_GB2312"/>
          <w:b w:val="0"/>
          <w:sz w:val="32"/>
          <w:lang w:eastAsia="zh-CN"/>
        </w:rPr>
        <w:t>第三季度</w:t>
      </w:r>
      <w:r>
        <w:rPr>
          <w:rFonts w:ascii="仿宋_GB2312" w:hAnsi="仿宋_GB2312" w:eastAsia="仿宋_GB2312"/>
          <w:b w:val="0"/>
          <w:sz w:val="32"/>
        </w:rPr>
        <w:t>县储小麦贷款利息保管费和成品粮油贷款利息保管费，霍城县热电联产项目；2.本年在职人员增加，年中追加人员经费及人员工资、社保、公积金基数调增部分资金，导致预决算存在差异。</w:t>
      </w:r>
    </w:p>
    <w:p w14:paraId="68C84D4F">
      <w:pPr>
        <w:spacing w:line="640" w:lineRule="exact"/>
        <w:ind w:firstLine="640"/>
        <w:jc w:val="both"/>
        <w:outlineLvl w:val="3"/>
      </w:pPr>
      <w:r>
        <w:rPr>
          <w:rFonts w:ascii="楷体_GB2312" w:hAnsi="楷体_GB2312" w:eastAsia="楷体_GB2312"/>
          <w:b/>
          <w:sz w:val="32"/>
        </w:rPr>
        <w:t>（二）一般公共预算财政拨款支出决算结构情况</w:t>
      </w:r>
    </w:p>
    <w:p w14:paraId="4ACD5B3D">
      <w:pPr>
        <w:spacing w:line="580" w:lineRule="exact"/>
        <w:ind w:firstLine="640"/>
        <w:jc w:val="both"/>
      </w:pPr>
      <w:r>
        <w:rPr>
          <w:rFonts w:ascii="仿宋_GB2312" w:hAnsi="仿宋_GB2312" w:eastAsia="仿宋_GB2312"/>
          <w:b w:val="0"/>
          <w:sz w:val="32"/>
        </w:rPr>
        <w:t>1.一般公共服务支出(类)660.06万元,占17.42%。</w:t>
      </w:r>
    </w:p>
    <w:p w14:paraId="59A78AC7">
      <w:pPr>
        <w:spacing w:line="580" w:lineRule="exact"/>
        <w:ind w:firstLine="640"/>
        <w:jc w:val="both"/>
      </w:pPr>
      <w:r>
        <w:rPr>
          <w:rFonts w:ascii="仿宋_GB2312" w:hAnsi="仿宋_GB2312" w:eastAsia="仿宋_GB2312"/>
          <w:b w:val="0"/>
          <w:sz w:val="32"/>
        </w:rPr>
        <w:t>2.社会保障和就业支出(类)133.31万元,占3.52%。</w:t>
      </w:r>
    </w:p>
    <w:p w14:paraId="0753CBB5">
      <w:pPr>
        <w:spacing w:line="580" w:lineRule="exact"/>
        <w:ind w:firstLine="640"/>
        <w:jc w:val="both"/>
      </w:pPr>
      <w:r>
        <w:rPr>
          <w:rFonts w:ascii="仿宋_GB2312" w:hAnsi="仿宋_GB2312" w:eastAsia="仿宋_GB2312"/>
          <w:b w:val="0"/>
          <w:sz w:val="32"/>
        </w:rPr>
        <w:t>3.卫生健康支出(类)29.02万元,占0.77%。</w:t>
      </w:r>
    </w:p>
    <w:p w14:paraId="0D575F57">
      <w:pPr>
        <w:spacing w:line="580" w:lineRule="exact"/>
        <w:ind w:firstLine="640"/>
        <w:jc w:val="both"/>
      </w:pPr>
      <w:r>
        <w:rPr>
          <w:rFonts w:ascii="仿宋_GB2312" w:hAnsi="仿宋_GB2312" w:eastAsia="仿宋_GB2312"/>
          <w:b w:val="0"/>
          <w:sz w:val="32"/>
        </w:rPr>
        <w:t>4.农林水支出(类)1,096.43万元,占28.93%。</w:t>
      </w:r>
    </w:p>
    <w:p w14:paraId="2E56B71D">
      <w:pPr>
        <w:spacing w:line="580" w:lineRule="exact"/>
        <w:ind w:firstLine="640"/>
        <w:jc w:val="both"/>
      </w:pPr>
      <w:r>
        <w:rPr>
          <w:rFonts w:ascii="仿宋_GB2312" w:hAnsi="仿宋_GB2312" w:eastAsia="仿宋_GB2312"/>
          <w:b w:val="0"/>
          <w:sz w:val="32"/>
        </w:rPr>
        <w:t>5.住房保障支出(类)46.32万元,占1.22%。</w:t>
      </w:r>
    </w:p>
    <w:p w14:paraId="151832F0">
      <w:pPr>
        <w:spacing w:line="580" w:lineRule="exact"/>
        <w:ind w:firstLine="640"/>
        <w:jc w:val="both"/>
      </w:pPr>
      <w:r>
        <w:rPr>
          <w:rFonts w:ascii="仿宋_GB2312" w:hAnsi="仿宋_GB2312" w:eastAsia="仿宋_GB2312"/>
          <w:b w:val="0"/>
          <w:sz w:val="32"/>
        </w:rPr>
        <w:t>6.粮油物资储备支出(类)1,824.80万元,占48.15%。</w:t>
      </w:r>
    </w:p>
    <w:p w14:paraId="6CFE827A">
      <w:pPr>
        <w:spacing w:line="640" w:lineRule="exact"/>
        <w:ind w:firstLine="640"/>
        <w:jc w:val="both"/>
        <w:outlineLvl w:val="3"/>
      </w:pPr>
      <w:r>
        <w:rPr>
          <w:rFonts w:ascii="楷体_GB2312" w:hAnsi="楷体_GB2312" w:eastAsia="楷体_GB2312"/>
          <w:b/>
          <w:sz w:val="32"/>
        </w:rPr>
        <w:t>（三）一般公共预算财政拨款支出决算具体情况</w:t>
      </w:r>
    </w:p>
    <w:p w14:paraId="063B664C">
      <w:pPr>
        <w:spacing w:line="580" w:lineRule="exact"/>
        <w:ind w:firstLine="640"/>
        <w:jc w:val="both"/>
      </w:pPr>
      <w:r>
        <w:rPr>
          <w:rFonts w:ascii="仿宋_GB2312" w:hAnsi="仿宋_GB2312" w:eastAsia="仿宋_GB2312"/>
          <w:b w:val="0"/>
          <w:sz w:val="32"/>
        </w:rPr>
        <w:t>1.一般公共服务支出(类)发展与改革事务(款)行政运行(项):支出决算数为244.28万元，比上年决算增加25.49万元，增长11.65%,主要原因是：本年在职人员工资调增，新增在职人员，人员经费增加，导致经费较上年有所增加。</w:t>
      </w:r>
    </w:p>
    <w:p w14:paraId="76DF3CA2">
      <w:pPr>
        <w:spacing w:line="580" w:lineRule="exact"/>
        <w:ind w:firstLine="640"/>
        <w:jc w:val="both"/>
      </w:pPr>
      <w:r>
        <w:rPr>
          <w:rFonts w:ascii="仿宋_GB2312" w:hAnsi="仿宋_GB2312" w:eastAsia="仿宋_GB2312"/>
          <w:b w:val="0"/>
          <w:sz w:val="32"/>
        </w:rPr>
        <w:t>2.一般公共服务支出(类)发展与改革事务(款)战略规划与实施(项):支出决算数为99.40万元，比上年决算增加34.40万元，增长52.92%,主要原因是：本年增加霍城县热电联产项目资金。</w:t>
      </w:r>
    </w:p>
    <w:p w14:paraId="7AD0318F">
      <w:pPr>
        <w:spacing w:line="580" w:lineRule="exact"/>
        <w:ind w:firstLine="640"/>
        <w:jc w:val="both"/>
      </w:pPr>
      <w:r>
        <w:rPr>
          <w:rFonts w:ascii="仿宋_GB2312" w:hAnsi="仿宋_GB2312" w:eastAsia="仿宋_GB2312"/>
          <w:b w:val="0"/>
          <w:sz w:val="32"/>
        </w:rPr>
        <w:t>3.一般公共服务支出(类)发展与改革事务(款)社会事业发展规划(项):支出决算数为100.00万元，比上年决算增加6.00万元，增长6.38%,主要原因是：本年增加项目前期费。</w:t>
      </w:r>
    </w:p>
    <w:p w14:paraId="6BA6B774">
      <w:pPr>
        <w:spacing w:line="580" w:lineRule="exact"/>
        <w:ind w:firstLine="640"/>
        <w:jc w:val="both"/>
      </w:pPr>
      <w:r>
        <w:rPr>
          <w:rFonts w:ascii="仿宋_GB2312" w:hAnsi="仿宋_GB2312" w:eastAsia="仿宋_GB2312"/>
          <w:b w:val="0"/>
          <w:sz w:val="32"/>
        </w:rPr>
        <w:t>4.一般公共服务支出(类)发展与改革事务(款)事业运行(项):支出决算数为214.04万元，比上年决算减少17.82万元，下降7.69%,主要原因是：本年在职人员调入调出，人员职级不同，工资基数不同，导致人员经费较上年减少。</w:t>
      </w:r>
    </w:p>
    <w:p w14:paraId="2B8D092F">
      <w:pPr>
        <w:spacing w:line="580" w:lineRule="exact"/>
        <w:ind w:firstLine="640"/>
        <w:jc w:val="both"/>
      </w:pPr>
      <w:r>
        <w:rPr>
          <w:rFonts w:ascii="仿宋_GB2312" w:hAnsi="仿宋_GB2312" w:eastAsia="仿宋_GB2312"/>
          <w:b w:val="0"/>
          <w:sz w:val="32"/>
        </w:rPr>
        <w:t>5.一般公共服务支出(类)发展与改革事务(款)其他发展与改革事务支出(项):支出决算数为2.34万元，比上年决算减少21.06万元，下降90.00%,主要原因是：本年度减少霍城县“十四五”抵边新村建设委托业务费。</w:t>
      </w:r>
    </w:p>
    <w:p w14:paraId="6C38CAF4">
      <w:pPr>
        <w:spacing w:line="580" w:lineRule="exact"/>
        <w:ind w:firstLine="640"/>
        <w:jc w:val="both"/>
      </w:pPr>
      <w:r>
        <w:rPr>
          <w:rFonts w:ascii="仿宋_GB2312" w:hAnsi="仿宋_GB2312" w:eastAsia="仿宋_GB2312"/>
          <w:b w:val="0"/>
          <w:sz w:val="32"/>
        </w:rPr>
        <w:t>6.科学技术支出(类)其他科学技术支出(款)其他科学技术支出(项):支出决算数为0.00万元，比上年决算减少80.00万元，下降100.00%,主要原因是：本年度未安排霍城县经济发展先进单位的奖励资金。</w:t>
      </w:r>
    </w:p>
    <w:p w14:paraId="0ED523A5">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7.社会保障和就业支出(类)行政事业单位养老支出(款)行政单位离退休(项):支出决算数为20.28万元，比上年决算增加14.72万元，增长264.75%,主要原因是：本年增加退休人员基础绩效奖，退休费支出增加。</w:t>
      </w:r>
    </w:p>
    <w:p w14:paraId="38E51080">
      <w:pPr>
        <w:spacing w:line="580" w:lineRule="exact"/>
        <w:ind w:firstLine="640"/>
        <w:jc w:val="both"/>
      </w:pPr>
      <w:r>
        <w:rPr>
          <w:rFonts w:ascii="仿宋_GB2312" w:hAnsi="仿宋_GB2312" w:eastAsia="仿宋_GB2312"/>
          <w:b w:val="0"/>
          <w:sz w:val="32"/>
        </w:rPr>
        <w:t>8.社会保障和就业支出(类)行政事业单位养老支出(款)事业单位离退休(项):支出决算数为7.34万元，比上年决算增加5.59万元，增长319.43%,主要原因是：本年增加退休人员基础绩效奖，退休费支出增加。</w:t>
      </w:r>
    </w:p>
    <w:p w14:paraId="52AB9D31">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56.63万元，比上年决算增加3.79万元，增长7.17%,主要原因是：本年在职人员工资基数调增，养老缴费基数上涨，相应支出增加。</w:t>
      </w:r>
    </w:p>
    <w:p w14:paraId="3D003BAA">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10.社会保障和就业支出(类)行政事业单位养老支出(款)机关事业单位职业年金缴费支出(项):支出决算数为29.30万元，比上年决算增加12.10万元，增长70.35%,主要原因是：本年</w:t>
      </w:r>
      <w:r>
        <w:rPr>
          <w:rFonts w:hint="eastAsia" w:ascii="仿宋_GB2312" w:hAnsi="仿宋_GB2312" w:eastAsia="仿宋_GB2312"/>
          <w:b w:val="0"/>
          <w:sz w:val="32"/>
          <w:lang w:val="en-US" w:eastAsia="zh-CN"/>
        </w:rPr>
        <w:t>补发上年退休人员职业年金</w:t>
      </w:r>
      <w:r>
        <w:rPr>
          <w:rFonts w:ascii="仿宋_GB2312" w:hAnsi="仿宋_GB2312" w:eastAsia="仿宋_GB2312"/>
          <w:b w:val="0"/>
          <w:sz w:val="32"/>
        </w:rPr>
        <w:t>，职业年金缴费支出增加。</w:t>
      </w:r>
      <w:bookmarkStart w:id="0" w:name="_GoBack"/>
      <w:bookmarkEnd w:id="0"/>
    </w:p>
    <w:p w14:paraId="64BADA73">
      <w:pPr>
        <w:spacing w:line="580" w:lineRule="exact"/>
        <w:ind w:firstLine="640"/>
        <w:jc w:val="both"/>
      </w:pPr>
      <w:r>
        <w:rPr>
          <w:rFonts w:ascii="仿宋_GB2312" w:hAnsi="仿宋_GB2312" w:eastAsia="仿宋_GB2312"/>
          <w:b w:val="0"/>
          <w:sz w:val="32"/>
        </w:rPr>
        <w:t>11.社会保障和就业支出(类)抚恤(款)死亡抚恤(项):支出决算数为19.76万元，比上年决算减少23.25万元，下降54.06%,主要原因是：本年新增死亡人员较上年减少，死亡抚恤支出较上年减少。</w:t>
      </w:r>
    </w:p>
    <w:p w14:paraId="10C62084">
      <w:pPr>
        <w:spacing w:line="580" w:lineRule="exact"/>
        <w:ind w:firstLine="640"/>
        <w:jc w:val="both"/>
      </w:pPr>
      <w:r>
        <w:rPr>
          <w:rFonts w:ascii="仿宋_GB2312" w:hAnsi="仿宋_GB2312" w:eastAsia="仿宋_GB2312"/>
          <w:b w:val="0"/>
          <w:sz w:val="32"/>
        </w:rPr>
        <w:t>12.卫生健康支出(类)行政事业单位医疗(款)行政单位医疗(项):支出决算数为14.05万元，比上年决算减少15.22万元，下降52.00%,主要原因是：因退休人员医疗保险制度改革，退休人员基本医疗不再由单位缴纳，导致经费较上年减少。</w:t>
      </w:r>
    </w:p>
    <w:p w14:paraId="221C4C34">
      <w:pPr>
        <w:spacing w:line="580" w:lineRule="exact"/>
        <w:ind w:firstLine="640"/>
        <w:jc w:val="both"/>
      </w:pPr>
      <w:r>
        <w:rPr>
          <w:rFonts w:ascii="仿宋_GB2312" w:hAnsi="仿宋_GB2312" w:eastAsia="仿宋_GB2312"/>
          <w:b w:val="0"/>
          <w:sz w:val="32"/>
        </w:rPr>
        <w:t>13.卫生健康支出(类)行政事业单位医疗(款)事业单位医疗(项):支出决算数为14.70万元，比上年决算减少3.91万元，下降21.01%,主要原因是：因退休人员医疗保险制度改革，退休人员基本医疗不再由单位缴纳，导致经费较上年减少。</w:t>
      </w:r>
    </w:p>
    <w:p w14:paraId="22DCD4D4">
      <w:pPr>
        <w:spacing w:line="580" w:lineRule="exact"/>
        <w:ind w:firstLine="640"/>
        <w:jc w:val="both"/>
      </w:pPr>
      <w:r>
        <w:rPr>
          <w:rFonts w:ascii="仿宋_GB2312" w:hAnsi="仿宋_GB2312" w:eastAsia="仿宋_GB2312"/>
          <w:b w:val="0"/>
          <w:sz w:val="32"/>
        </w:rPr>
        <w:t>14.卫生健康支出(类)行政事业单位医疗(款)公务员医疗补助(项):支出决算数为0.27万元，比上年决算减少2.20万元，下降89.07%,主要原因是：因退休人员医疗保险制度改革，退休人员医疗不再由单位缴纳，导致经费较上年减少。</w:t>
      </w:r>
    </w:p>
    <w:p w14:paraId="638E9A08">
      <w:pPr>
        <w:spacing w:line="580" w:lineRule="exact"/>
        <w:ind w:firstLine="640"/>
        <w:jc w:val="both"/>
      </w:pPr>
      <w:r>
        <w:rPr>
          <w:rFonts w:ascii="仿宋_GB2312" w:hAnsi="仿宋_GB2312" w:eastAsia="仿宋_GB2312"/>
          <w:b w:val="0"/>
          <w:sz w:val="32"/>
        </w:rPr>
        <w:t>15.农林水支出(类)巩固脱贫攻坚成果衔接乡村振兴(款)农村基础设施建设(项):支出决算数为1,088.93万元，比上年决算减少436.16万元，下降28.60%,主要原因是：本年度巩固脱贫攻坚成果衔接乡村振兴农村基础设施建设资金减少。</w:t>
      </w:r>
    </w:p>
    <w:p w14:paraId="214D9FC7">
      <w:pPr>
        <w:spacing w:line="580" w:lineRule="exact"/>
        <w:ind w:firstLine="640"/>
        <w:jc w:val="both"/>
      </w:pPr>
      <w:r>
        <w:rPr>
          <w:rFonts w:ascii="仿宋_GB2312" w:hAnsi="仿宋_GB2312" w:eastAsia="仿宋_GB2312"/>
          <w:b w:val="0"/>
          <w:sz w:val="32"/>
        </w:rPr>
        <w:t>16.农林水支出(类)巩固脱贫攻坚成果衔接乡村振兴(款)生产发展(项):支出决算数为7.50万元，比上年决算减少248.00万元，下降97.06%,主要原因是：本年度巩固脱贫攻坚成果衔接乡村振兴生产发展以工代赈项目资金减少。</w:t>
      </w:r>
    </w:p>
    <w:p w14:paraId="47068615">
      <w:pPr>
        <w:spacing w:line="580" w:lineRule="exact"/>
        <w:ind w:firstLine="640"/>
        <w:jc w:val="both"/>
      </w:pPr>
      <w:r>
        <w:rPr>
          <w:rFonts w:ascii="仿宋_GB2312" w:hAnsi="仿宋_GB2312" w:eastAsia="仿宋_GB2312"/>
          <w:b w:val="0"/>
          <w:sz w:val="32"/>
        </w:rPr>
        <w:t>17.农林水支出(类)目标价格补贴(款)棉花目标价格补贴(项):支出决算数为0.00万元，比上年决算减少158.13万元，下降100.00%,主要原因是：本年度未安排目标价格补贴棉花目标价格补贴款。</w:t>
      </w:r>
    </w:p>
    <w:p w14:paraId="6F5F6149">
      <w:pPr>
        <w:spacing w:line="580" w:lineRule="exact"/>
        <w:ind w:firstLine="640"/>
        <w:jc w:val="both"/>
      </w:pPr>
      <w:r>
        <w:rPr>
          <w:rFonts w:ascii="仿宋_GB2312" w:hAnsi="仿宋_GB2312" w:eastAsia="仿宋_GB2312"/>
          <w:b w:val="0"/>
          <w:sz w:val="32"/>
        </w:rPr>
        <w:t>18.住房保障支出(类)住房改革支出(款)住房公积金(项):支出决算数为46.32万元，比上年决算增加2.89万元，增长6.65%,主要原因是：本年在职人员工资基数调增，公积金缴费基数上涨，相应支出增加。</w:t>
      </w:r>
    </w:p>
    <w:p w14:paraId="26560578">
      <w:pPr>
        <w:spacing w:line="580" w:lineRule="exact"/>
        <w:ind w:firstLine="640"/>
        <w:jc w:val="both"/>
      </w:pPr>
      <w:r>
        <w:rPr>
          <w:rFonts w:ascii="仿宋_GB2312" w:hAnsi="仿宋_GB2312" w:eastAsia="仿宋_GB2312"/>
          <w:b w:val="0"/>
          <w:sz w:val="32"/>
        </w:rPr>
        <w:t>19.粮油物资储备支出(类)粮油物资事务(款)设施建设(项):支出决算数为2.00万元，比上年决算增加2.00万元，增长100.00%,主要原因是：本年增加霍城县政策性粮库智能化运行维护资金。</w:t>
      </w:r>
    </w:p>
    <w:p w14:paraId="5DBAEFAF">
      <w:pPr>
        <w:spacing w:line="580" w:lineRule="exact"/>
        <w:ind w:firstLine="640"/>
        <w:jc w:val="both"/>
      </w:pPr>
      <w:r>
        <w:rPr>
          <w:rFonts w:ascii="仿宋_GB2312" w:hAnsi="仿宋_GB2312" w:eastAsia="仿宋_GB2312"/>
          <w:b w:val="0"/>
          <w:sz w:val="32"/>
        </w:rPr>
        <w:t>20.粮油物资储备支出(类)粮油物资事务(款)其他粮油物资事务支出(项):支出决算数为1,769.80万元，比上年决算增加1,769.80万元，增长100.00%,主要原因是：本年新增县级储备粮贷款利息及保管费用（含成品粮）县级配套）资金、霍城县粮食购销有限责任公司土地变性确权出让金项目。</w:t>
      </w:r>
    </w:p>
    <w:p w14:paraId="72993F62">
      <w:pPr>
        <w:spacing w:line="580" w:lineRule="exact"/>
        <w:ind w:firstLine="640"/>
        <w:jc w:val="both"/>
      </w:pPr>
      <w:r>
        <w:rPr>
          <w:rFonts w:ascii="仿宋_GB2312" w:hAnsi="仿宋_GB2312" w:eastAsia="仿宋_GB2312"/>
          <w:b w:val="0"/>
          <w:sz w:val="32"/>
        </w:rPr>
        <w:t>21.粮油物资储备支出(类)粮油储备(款)其他粮油储备支出(项):支出决算数为53.00万元，比上年决算增加53.00万元，增长100.00%,主要原因是：本年新增2024年</w:t>
      </w:r>
      <w:r>
        <w:rPr>
          <w:rFonts w:hint="eastAsia" w:ascii="仿宋_GB2312" w:hAnsi="仿宋_GB2312" w:eastAsia="仿宋_GB2312"/>
          <w:b w:val="0"/>
          <w:sz w:val="32"/>
          <w:lang w:eastAsia="zh-CN"/>
        </w:rPr>
        <w:t>第三季度</w:t>
      </w:r>
      <w:r>
        <w:rPr>
          <w:rFonts w:ascii="仿宋_GB2312" w:hAnsi="仿宋_GB2312" w:eastAsia="仿宋_GB2312"/>
          <w:b w:val="0"/>
          <w:sz w:val="32"/>
        </w:rPr>
        <w:t>县储小麦贷款利息保管费和成品粮油贷款利息保管费</w:t>
      </w:r>
      <w:r>
        <w:rPr>
          <w:rFonts w:hint="eastAsia" w:ascii="仿宋_GB2312" w:hAnsi="仿宋_GB2312" w:eastAsia="仿宋_GB2312"/>
          <w:b w:val="0"/>
          <w:sz w:val="32"/>
          <w:lang w:eastAsia="zh-CN"/>
        </w:rPr>
        <w:t>；</w:t>
      </w:r>
      <w:r>
        <w:rPr>
          <w:rFonts w:ascii="仿宋_GB2312" w:hAnsi="仿宋_GB2312" w:eastAsia="仿宋_GB2312"/>
          <w:b w:val="0"/>
          <w:sz w:val="32"/>
        </w:rPr>
        <w:t>本年功能科目调整，应急物资储备项目资金</w:t>
      </w:r>
      <w:r>
        <w:rPr>
          <w:rFonts w:hint="eastAsia" w:ascii="仿宋_GB2312" w:hAnsi="仿宋_GB2312" w:eastAsia="仿宋_GB2312"/>
          <w:b w:val="0"/>
          <w:sz w:val="32"/>
          <w:lang w:val="en-US" w:eastAsia="zh-CN"/>
        </w:rPr>
        <w:t>上年在</w:t>
      </w:r>
      <w:r>
        <w:rPr>
          <w:rFonts w:ascii="仿宋_GB2312" w:hAnsi="仿宋_GB2312" w:eastAsia="仿宋_GB2312"/>
          <w:b w:val="0"/>
          <w:sz w:val="32"/>
        </w:rPr>
        <w:t>应急物资储备</w:t>
      </w:r>
      <w:r>
        <w:rPr>
          <w:rFonts w:hint="eastAsia" w:ascii="仿宋_GB2312" w:hAnsi="仿宋_GB2312" w:eastAsia="仿宋_GB2312"/>
          <w:b w:val="0"/>
          <w:sz w:val="32"/>
          <w:lang w:val="en-US" w:eastAsia="zh-CN"/>
        </w:rPr>
        <w:t>科目列支，本年</w:t>
      </w:r>
      <w:r>
        <w:rPr>
          <w:rFonts w:ascii="仿宋_GB2312" w:hAnsi="仿宋_GB2312" w:eastAsia="仿宋_GB2312"/>
          <w:b w:val="0"/>
          <w:sz w:val="32"/>
        </w:rPr>
        <w:t>调整至其他粮油储备支出</w:t>
      </w:r>
      <w:r>
        <w:rPr>
          <w:rFonts w:hint="eastAsia" w:ascii="仿宋_GB2312" w:hAnsi="仿宋_GB2312" w:eastAsia="仿宋_GB2312"/>
          <w:b w:val="0"/>
          <w:sz w:val="32"/>
          <w:lang w:val="en-US" w:eastAsia="zh-CN"/>
        </w:rPr>
        <w:t>科目列支</w:t>
      </w:r>
      <w:r>
        <w:rPr>
          <w:rFonts w:ascii="仿宋_GB2312" w:hAnsi="仿宋_GB2312" w:eastAsia="仿宋_GB2312"/>
          <w:b w:val="0"/>
          <w:sz w:val="32"/>
        </w:rPr>
        <w:t>，导致经费较上年</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14:paraId="750594BF">
      <w:pPr>
        <w:spacing w:line="580" w:lineRule="exact"/>
        <w:ind w:firstLine="640"/>
        <w:jc w:val="both"/>
      </w:pPr>
      <w:r>
        <w:rPr>
          <w:rFonts w:ascii="仿宋_GB2312" w:hAnsi="仿宋_GB2312" w:eastAsia="仿宋_GB2312"/>
          <w:b w:val="0"/>
          <w:sz w:val="32"/>
        </w:rPr>
        <w:t>22.粮油物资储备支出(类)重要商品储备(款)应急物资储备(项):支出决算数为0.00万元，比上年决算减少179.38万元，下降100.00%,主要原因是：本年功能科目调整，应急物资储备项目资金</w:t>
      </w:r>
      <w:r>
        <w:rPr>
          <w:rFonts w:hint="eastAsia" w:ascii="仿宋_GB2312" w:hAnsi="仿宋_GB2312" w:eastAsia="仿宋_GB2312"/>
          <w:b w:val="0"/>
          <w:sz w:val="32"/>
          <w:lang w:val="en-US" w:eastAsia="zh-CN"/>
        </w:rPr>
        <w:t>上年在</w:t>
      </w:r>
      <w:r>
        <w:rPr>
          <w:rFonts w:ascii="仿宋_GB2312" w:hAnsi="仿宋_GB2312" w:eastAsia="仿宋_GB2312"/>
          <w:b w:val="0"/>
          <w:sz w:val="32"/>
        </w:rPr>
        <w:t>应急物资储备</w:t>
      </w:r>
      <w:r>
        <w:rPr>
          <w:rFonts w:hint="eastAsia" w:ascii="仿宋_GB2312" w:hAnsi="仿宋_GB2312" w:eastAsia="仿宋_GB2312"/>
          <w:b w:val="0"/>
          <w:sz w:val="32"/>
          <w:lang w:val="en-US" w:eastAsia="zh-CN"/>
        </w:rPr>
        <w:t>科目列支，本年</w:t>
      </w:r>
      <w:r>
        <w:rPr>
          <w:rFonts w:ascii="仿宋_GB2312" w:hAnsi="仿宋_GB2312" w:eastAsia="仿宋_GB2312"/>
          <w:b w:val="0"/>
          <w:sz w:val="32"/>
        </w:rPr>
        <w:t>调整至其他粮油储备支出</w:t>
      </w:r>
      <w:r>
        <w:rPr>
          <w:rFonts w:hint="eastAsia" w:ascii="仿宋_GB2312" w:hAnsi="仿宋_GB2312" w:eastAsia="仿宋_GB2312"/>
          <w:b w:val="0"/>
          <w:sz w:val="32"/>
          <w:lang w:val="en-US" w:eastAsia="zh-CN"/>
        </w:rPr>
        <w:t>科目列支</w:t>
      </w:r>
      <w:r>
        <w:rPr>
          <w:rFonts w:ascii="仿宋_GB2312" w:hAnsi="仿宋_GB2312" w:eastAsia="仿宋_GB2312"/>
          <w:b w:val="0"/>
          <w:sz w:val="32"/>
        </w:rPr>
        <w:t>，导致经费较上年减少。</w:t>
      </w:r>
    </w:p>
    <w:p w14:paraId="23D02D09">
      <w:pPr>
        <w:spacing w:line="640" w:lineRule="exact"/>
        <w:ind w:firstLine="640"/>
        <w:jc w:val="both"/>
        <w:outlineLvl w:val="2"/>
      </w:pPr>
      <w:r>
        <w:rPr>
          <w:rFonts w:ascii="黑体" w:hAnsi="黑体" w:eastAsia="黑体"/>
          <w:sz w:val="32"/>
        </w:rPr>
        <w:t>六、一般公共预算财政拨款基本支出决算情况说明</w:t>
      </w:r>
    </w:p>
    <w:p w14:paraId="60602A94">
      <w:pPr>
        <w:spacing w:line="580" w:lineRule="exact"/>
        <w:ind w:firstLine="640"/>
        <w:jc w:val="both"/>
      </w:pPr>
      <w:r>
        <w:rPr>
          <w:rFonts w:ascii="仿宋_GB2312" w:hAnsi="仿宋_GB2312" w:eastAsia="仿宋_GB2312"/>
          <w:b w:val="0"/>
          <w:sz w:val="32"/>
        </w:rPr>
        <w:t>2024年度一般公共预算财政拨款基本支出666.98万元，其中：</w:t>
      </w:r>
      <w:r>
        <w:rPr>
          <w:rFonts w:ascii="仿宋_GB2312" w:hAnsi="仿宋_GB2312" w:eastAsia="仿宋_GB2312"/>
          <w:b/>
          <w:sz w:val="32"/>
        </w:rPr>
        <w:t>人员经费632.15万元，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w:t>
      </w:r>
    </w:p>
    <w:p w14:paraId="21AB1F59">
      <w:pPr>
        <w:spacing w:line="580" w:lineRule="exact"/>
        <w:ind w:firstLine="640"/>
        <w:jc w:val="both"/>
      </w:pPr>
      <w:r>
        <w:rPr>
          <w:rFonts w:ascii="仿宋_GB2312" w:hAnsi="仿宋_GB2312" w:eastAsia="仿宋_GB2312"/>
          <w:b/>
          <w:sz w:val="32"/>
        </w:rPr>
        <w:t>公用经费34.82万元，</w:t>
      </w:r>
      <w:r>
        <w:rPr>
          <w:rFonts w:ascii="仿宋_GB2312" w:hAnsi="仿宋_GB2312" w:eastAsia="仿宋_GB2312"/>
          <w:b w:val="0"/>
          <w:sz w:val="32"/>
        </w:rPr>
        <w:t>包括：办公费、印刷费、邮电费、差旅费、工会经费、福利费、公务用车运行维护费。</w:t>
      </w:r>
    </w:p>
    <w:p w14:paraId="0F518E06">
      <w:pPr>
        <w:spacing w:line="640" w:lineRule="exact"/>
        <w:ind w:firstLine="640"/>
        <w:jc w:val="both"/>
        <w:outlineLvl w:val="2"/>
      </w:pPr>
      <w:r>
        <w:rPr>
          <w:rFonts w:ascii="黑体" w:hAnsi="黑体" w:eastAsia="黑体"/>
          <w:sz w:val="32"/>
        </w:rPr>
        <w:t>七、政府性基金预算财政拨款收入支出决算情况说明</w:t>
      </w:r>
    </w:p>
    <w:p w14:paraId="1E8C1CE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87B1709">
      <w:pPr>
        <w:spacing w:line="640" w:lineRule="exact"/>
        <w:ind w:firstLine="640"/>
        <w:jc w:val="both"/>
        <w:outlineLvl w:val="2"/>
      </w:pPr>
      <w:r>
        <w:rPr>
          <w:rFonts w:ascii="黑体" w:hAnsi="黑体" w:eastAsia="黑体"/>
          <w:sz w:val="32"/>
        </w:rPr>
        <w:t>八、国有资本经营预算财政拨款收入支出决算情况说明</w:t>
      </w:r>
    </w:p>
    <w:p w14:paraId="505748F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A66BE55">
      <w:pPr>
        <w:spacing w:line="640" w:lineRule="exact"/>
        <w:ind w:firstLine="640"/>
        <w:jc w:val="both"/>
        <w:outlineLvl w:val="2"/>
      </w:pPr>
      <w:r>
        <w:rPr>
          <w:rFonts w:ascii="黑体" w:hAnsi="黑体" w:eastAsia="黑体"/>
          <w:sz w:val="32"/>
        </w:rPr>
        <w:t>九、财政拨款“三公”经费支出决算情况说明</w:t>
      </w:r>
    </w:p>
    <w:p w14:paraId="4BA68612">
      <w:pPr>
        <w:spacing w:line="580" w:lineRule="exact"/>
        <w:ind w:firstLine="640"/>
        <w:jc w:val="both"/>
      </w:pPr>
      <w:r>
        <w:rPr>
          <w:rFonts w:ascii="仿宋_GB2312" w:hAnsi="仿宋_GB2312" w:eastAsia="仿宋_GB2312"/>
          <w:b/>
          <w:sz w:val="32"/>
        </w:rPr>
        <w:t>2024年度财政拨款“三公”经费支出2.40万元，</w:t>
      </w:r>
      <w:r>
        <w:rPr>
          <w:rFonts w:ascii="仿宋_GB2312" w:hAnsi="仿宋_GB2312" w:eastAsia="仿宋_GB2312"/>
          <w:b w:val="0"/>
          <w:sz w:val="32"/>
        </w:rPr>
        <w:t>比上年增加0.90万元，增长60.00%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2.40万元，占100.00%，比上年增加0.90万元，增长60.00%，主要原因是：本年因业务需求，用车次数增加，燃油费增加，导致公务用车运行维护费较上年增加。公务接待费支出0.00万元，占0.00%，比上年增加0.00万元，增长0.00%，主要原因是：2023年与2024年均未安排公务接待费支出。</w:t>
      </w:r>
    </w:p>
    <w:p w14:paraId="57A41793">
      <w:pPr>
        <w:spacing w:line="580" w:lineRule="exact"/>
        <w:ind w:firstLine="640"/>
        <w:jc w:val="both"/>
      </w:pPr>
      <w:r>
        <w:rPr>
          <w:rFonts w:ascii="仿宋_GB2312" w:hAnsi="仿宋_GB2312" w:eastAsia="仿宋_GB2312"/>
          <w:b/>
          <w:sz w:val="32"/>
        </w:rPr>
        <w:t>具体情况如下：</w:t>
      </w:r>
    </w:p>
    <w:p w14:paraId="01E8D15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2EAC436">
      <w:pPr>
        <w:spacing w:line="580" w:lineRule="exact"/>
        <w:ind w:firstLine="640"/>
        <w:jc w:val="both"/>
      </w:pPr>
      <w:r>
        <w:rPr>
          <w:rFonts w:ascii="仿宋_GB2312" w:hAnsi="仿宋_GB2312" w:eastAsia="仿宋_GB2312"/>
          <w:b w:val="0"/>
          <w:sz w:val="32"/>
        </w:rPr>
        <w:t>公务用车购置及运行维护费2.40万元，其中：公务用车购置费0.00万元，公务用车运行维护费2.40万元。公务用车运行维护费开支内容包括车辆加油费、维修费、保险费、审车费、过路费。公务用车购置数0辆，公务用车保有量2辆。国有资产占用情况中固定资产车辆2辆，与公务用车保有量差异原因是：本单位固定资产车辆与公务用车保有量一致无差异。</w:t>
      </w:r>
    </w:p>
    <w:p w14:paraId="5CA335A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C2FC75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2.40万元，决算数2.40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2.40万元，决算数2.40万元，预决算差异率0.00%，主要原因是：严格按照预算执行，预决算无差异。公务接待费全年预算数0.00万元，决算数0.00万元，预决算差异率0.00%，主要原因是：本单位无公务接待费。</w:t>
      </w:r>
    </w:p>
    <w:p w14:paraId="6122459E">
      <w:pPr>
        <w:spacing w:line="640" w:lineRule="exact"/>
        <w:ind w:firstLine="640"/>
        <w:jc w:val="both"/>
        <w:outlineLvl w:val="2"/>
      </w:pPr>
      <w:r>
        <w:rPr>
          <w:rFonts w:ascii="黑体" w:hAnsi="黑体" w:eastAsia="黑体"/>
          <w:sz w:val="32"/>
        </w:rPr>
        <w:t>十、其他重要事项的情况说明</w:t>
      </w:r>
    </w:p>
    <w:p w14:paraId="35B5593D">
      <w:pPr>
        <w:spacing w:line="640" w:lineRule="exact"/>
        <w:ind w:firstLine="640"/>
        <w:jc w:val="both"/>
        <w:outlineLvl w:val="3"/>
      </w:pPr>
      <w:r>
        <w:rPr>
          <w:rFonts w:ascii="楷体_GB2312" w:hAnsi="楷体_GB2312" w:eastAsia="楷体_GB2312"/>
          <w:b/>
          <w:sz w:val="32"/>
        </w:rPr>
        <w:t>（一）机关运行经费及公用经费支出情况</w:t>
      </w:r>
    </w:p>
    <w:p w14:paraId="18D3E422">
      <w:pPr>
        <w:spacing w:line="580" w:lineRule="exact"/>
        <w:ind w:firstLine="640"/>
        <w:jc w:val="both"/>
      </w:pPr>
      <w:r>
        <w:rPr>
          <w:rFonts w:ascii="仿宋_GB2312" w:hAnsi="仿宋_GB2312" w:eastAsia="仿宋_GB2312"/>
          <w:b w:val="0"/>
          <w:sz w:val="32"/>
        </w:rPr>
        <w:t>2024年度霍城县发展和改革委员会（行政单位和参照公务员法管理事业单位）机关运行经费支出34.82万元，比上年减少72.68万元，下降67.61%，主要原因是：1.严控经费支出，厉行节约，减少经费支出；2.本年单位公用经费部分在项目经费中列支，机关运行经费减少。</w:t>
      </w:r>
    </w:p>
    <w:p w14:paraId="04A9041D">
      <w:pPr>
        <w:spacing w:line="640" w:lineRule="exact"/>
        <w:ind w:firstLine="640"/>
        <w:jc w:val="both"/>
        <w:outlineLvl w:val="3"/>
      </w:pPr>
      <w:r>
        <w:rPr>
          <w:rFonts w:ascii="楷体_GB2312" w:hAnsi="楷体_GB2312" w:eastAsia="楷体_GB2312"/>
          <w:b/>
          <w:sz w:val="32"/>
        </w:rPr>
        <w:t>（二）政府采购情况</w:t>
      </w:r>
    </w:p>
    <w:p w14:paraId="52AAD0CD">
      <w:pPr>
        <w:spacing w:line="580" w:lineRule="exact"/>
        <w:ind w:firstLine="640"/>
        <w:jc w:val="both"/>
      </w:pPr>
      <w:r>
        <w:rPr>
          <w:rFonts w:ascii="仿宋_GB2312" w:hAnsi="仿宋_GB2312" w:eastAsia="仿宋_GB2312"/>
          <w:b w:val="0"/>
          <w:sz w:val="32"/>
        </w:rPr>
        <w:t>2024年度政府采购支出总额258.20万元，其中：政府采购货物支出14.70万元、政府采购工程支出0.00万元、政府采购服务支出243.50万元。</w:t>
      </w:r>
    </w:p>
    <w:p w14:paraId="0CB8386A">
      <w:pPr>
        <w:spacing w:line="580" w:lineRule="exact"/>
        <w:ind w:firstLine="640"/>
        <w:jc w:val="both"/>
      </w:pPr>
      <w:r>
        <w:rPr>
          <w:rFonts w:ascii="仿宋_GB2312" w:hAnsi="仿宋_GB2312" w:eastAsia="仿宋_GB2312"/>
          <w:b w:val="0"/>
          <w:sz w:val="32"/>
        </w:rPr>
        <w:t>授予中小企业合同金额254.27万元，占政府采购支出总额的98.48%，其中：授予小微企业合同金额10.93万元，占政府采购支出总额的4.23%。</w:t>
      </w:r>
    </w:p>
    <w:p w14:paraId="10D7806D">
      <w:pPr>
        <w:spacing w:line="640" w:lineRule="exact"/>
        <w:ind w:firstLine="640"/>
        <w:jc w:val="both"/>
        <w:outlineLvl w:val="3"/>
      </w:pPr>
      <w:r>
        <w:rPr>
          <w:rFonts w:ascii="楷体_GB2312" w:hAnsi="楷体_GB2312" w:eastAsia="楷体_GB2312"/>
          <w:b/>
          <w:sz w:val="32"/>
        </w:rPr>
        <w:t>（三）国有资产占用情况说明</w:t>
      </w:r>
    </w:p>
    <w:p w14:paraId="4F806134">
      <w:pPr>
        <w:spacing w:line="580" w:lineRule="exact"/>
        <w:ind w:firstLine="640"/>
        <w:jc w:val="both"/>
      </w:pPr>
      <w:r>
        <w:rPr>
          <w:rFonts w:ascii="仿宋_GB2312" w:hAnsi="仿宋_GB2312" w:eastAsia="仿宋_GB2312"/>
          <w:b w:val="0"/>
          <w:sz w:val="32"/>
        </w:rPr>
        <w:t>截至2024年12月31日，房屋0.00平方米，价值0.00万元。车辆2辆，价值48.75万元，其中：副部（省）级及以上领导用车0辆、主要负责人用车0辆、机要通信用车0辆、应急保障用车0辆、执法执勤用车0辆、特种专业技术用车0辆、离退休干部服务用车0辆、其他用车2辆，其他用车主要是：单位一般公务用车，项目稽查使用。单价100万元（含）以上设备（不含车辆）0台（套）。</w:t>
      </w:r>
    </w:p>
    <w:p w14:paraId="27EA7FCD">
      <w:pPr>
        <w:spacing w:line="640" w:lineRule="exact"/>
        <w:ind w:firstLine="640"/>
        <w:jc w:val="both"/>
        <w:outlineLvl w:val="2"/>
      </w:pPr>
      <w:r>
        <w:rPr>
          <w:rFonts w:ascii="黑体" w:hAnsi="黑体" w:eastAsia="黑体"/>
          <w:sz w:val="32"/>
        </w:rPr>
        <w:t>十一、预算绩效的情况说明</w:t>
      </w:r>
    </w:p>
    <w:p w14:paraId="3BAEFD0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3,951.02万元，实际执行总额3,930.63万元；预算绩效评价项目4个，全年预算数290.61万元，全年执行数290.61万元。预算绩效管理取得的成效：一是积极落实并强化绩效意识，实现</w:t>
      </w:r>
      <w:r>
        <w:rPr>
          <w:rFonts w:hint="eastAsia" w:ascii="仿宋_GB2312" w:hAnsi="仿宋_GB2312" w:eastAsia="仿宋_GB2312"/>
          <w:b w:val="0"/>
          <w:sz w:val="32"/>
          <w:lang w:eastAsia="zh-CN"/>
        </w:rPr>
        <w:t>预算绩效管理</w:t>
      </w:r>
      <w:r>
        <w:rPr>
          <w:rFonts w:ascii="仿宋_GB2312" w:hAnsi="仿宋_GB2312" w:eastAsia="仿宋_GB2312"/>
          <w:b w:val="0"/>
          <w:sz w:val="32"/>
        </w:rPr>
        <w:t>一体化，严格绩效目标管理，并开展绩效运行监控，针对发现项目开展过程中的问题及时处理；二是始终坚持节约的原则，所有项目资金使用方向和列支科目均按照预算经济分类科目进行，项目资金的支出额度与申报预算额度基本一致，项目实施进度符合进度的要求，资金全部支出用到了项目上，做到了项目资金的专款专用。发现的问题及原因：一是从单位管理层重视和学习预算绩效管理方法，组织内部培训学习及交流，强化并树立预算绩效管理意识，提升预算绩效管理水平；二是结合单位职能、业务及预算管理，科学制定预算绩效指标，有效促进项目的实施。下一步改进措施：一是从单位管理层重视和学习预算绩效管理方法，组织内部培训学习及交流，强化并树立预算绩效管理意识，提升预算绩效管理水平；二是结合单位职能、业务及预算管理，科学制定预算绩效指标，有效促进项目的实施。具体附整体支出绩效自评表，项目支出绩效自评表和评价报告。</w:t>
      </w:r>
    </w:p>
    <w:p w14:paraId="6D1AE01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990C1E9">
        <w:tblPrEx>
          <w:tblCellMar>
            <w:top w:w="0" w:type="dxa"/>
            <w:left w:w="108" w:type="dxa"/>
            <w:bottom w:w="0" w:type="dxa"/>
            <w:right w:w="108" w:type="dxa"/>
          </w:tblCellMar>
        </w:tblPrEx>
        <w:tc>
          <w:tcPr>
            <w:tcW w:w="8840" w:type="dxa"/>
            <w:gridSpan w:val="8"/>
            <w:vAlign w:val="center"/>
          </w:tcPr>
          <w:p w14:paraId="25AC51AE">
            <w:pPr>
              <w:jc w:val="center"/>
            </w:pPr>
            <w:r>
              <w:rPr>
                <w:rFonts w:ascii="宋体" w:hAnsi="宋体" w:eastAsia="宋体"/>
                <w:sz w:val="24"/>
              </w:rPr>
              <w:t>单位整体支出绩效自评表</w:t>
            </w:r>
          </w:p>
        </w:tc>
      </w:tr>
      <w:tr w14:paraId="4599B37C">
        <w:tblPrEx>
          <w:tblCellMar>
            <w:top w:w="0" w:type="dxa"/>
            <w:left w:w="108" w:type="dxa"/>
            <w:bottom w:w="0" w:type="dxa"/>
            <w:right w:w="108" w:type="dxa"/>
          </w:tblCellMar>
        </w:tblPrEx>
        <w:tc>
          <w:tcPr>
            <w:tcW w:w="8840" w:type="dxa"/>
            <w:gridSpan w:val="8"/>
            <w:vAlign w:val="center"/>
          </w:tcPr>
          <w:p w14:paraId="2764FD4E">
            <w:pPr>
              <w:jc w:val="center"/>
            </w:pPr>
            <w:r>
              <w:rPr>
                <w:rFonts w:ascii="宋体" w:hAnsi="宋体" w:eastAsia="宋体"/>
                <w:sz w:val="24"/>
              </w:rPr>
              <w:t>（2024年度）</w:t>
            </w:r>
          </w:p>
        </w:tc>
      </w:tr>
      <w:tr w14:paraId="077DDD7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97A3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0D2176">
            <w:pPr>
              <w:jc w:val="center"/>
            </w:pPr>
            <w:r>
              <w:rPr>
                <w:rFonts w:ascii="宋体" w:hAnsi="宋体" w:eastAsia="宋体"/>
                <w:sz w:val="16"/>
              </w:rPr>
              <w:t>霍城县发展和改革委员会</w:t>
            </w:r>
          </w:p>
        </w:tc>
      </w:tr>
      <w:tr w14:paraId="08C6412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133BA6">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566C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066A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EAFBA2">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FD0CA">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3A20C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8C00B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E8F6BB">
            <w:pPr>
              <w:jc w:val="center"/>
            </w:pPr>
            <w:r>
              <w:rPr>
                <w:rFonts w:ascii="宋体" w:hAnsi="宋体" w:eastAsia="宋体"/>
                <w:sz w:val="16"/>
              </w:rPr>
              <w:t>得分</w:t>
            </w:r>
          </w:p>
        </w:tc>
      </w:tr>
      <w:tr w14:paraId="42BADB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4FFD8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79C278">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2081F3">
            <w:pPr>
              <w:jc w:val="center"/>
            </w:pPr>
            <w:r>
              <w:rPr>
                <w:rFonts w:ascii="宋体" w:hAnsi="宋体" w:eastAsia="宋体"/>
                <w:sz w:val="16"/>
              </w:rPr>
              <w:t>1,921.58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4665FD">
            <w:pPr>
              <w:jc w:val="center"/>
            </w:pPr>
            <w:r>
              <w:rPr>
                <w:rFonts w:ascii="宋体" w:hAnsi="宋体" w:eastAsia="宋体"/>
                <w:sz w:val="16"/>
              </w:rPr>
              <w:t>3,951.02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855798">
            <w:pPr>
              <w:jc w:val="center"/>
            </w:pPr>
            <w:r>
              <w:rPr>
                <w:rFonts w:ascii="宋体" w:hAnsi="宋体" w:eastAsia="宋体"/>
                <w:sz w:val="16"/>
              </w:rPr>
              <w:t>3,930.63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E65EC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661CCE">
            <w:pPr>
              <w:jc w:val="center"/>
            </w:pPr>
            <w:r>
              <w:rPr>
                <w:rFonts w:ascii="宋体" w:hAnsi="宋体" w:eastAsia="宋体"/>
                <w:sz w:val="16"/>
              </w:rPr>
              <w:t>99.48%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B1012C">
            <w:pPr>
              <w:jc w:val="center"/>
            </w:pPr>
            <w:r>
              <w:rPr>
                <w:rFonts w:ascii="宋体" w:hAnsi="宋体" w:eastAsia="宋体"/>
                <w:sz w:val="16"/>
              </w:rPr>
              <w:t>9.95</w:t>
            </w:r>
          </w:p>
        </w:tc>
      </w:tr>
      <w:tr w14:paraId="6B8CC7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EEBF2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331647">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51146E">
            <w:pPr>
              <w:jc w:val="center"/>
            </w:pPr>
            <w:r>
              <w:rPr>
                <w:rFonts w:ascii="宋体" w:hAnsi="宋体" w:eastAsia="宋体"/>
                <w:sz w:val="16"/>
              </w:rPr>
              <w:t>1,073.34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093AF6">
            <w:pPr>
              <w:jc w:val="center"/>
            </w:pPr>
            <w:r>
              <w:rPr>
                <w:rFonts w:ascii="宋体" w:hAnsi="宋体" w:eastAsia="宋体"/>
                <w:sz w:val="16"/>
              </w:rPr>
              <w:t>3,102.79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67A2FB">
            <w:pPr>
              <w:jc w:val="center"/>
            </w:pPr>
            <w:r>
              <w:rPr>
                <w:rFonts w:ascii="宋体" w:hAnsi="宋体" w:eastAsia="宋体"/>
                <w:sz w:val="16"/>
              </w:rPr>
              <w:t>3,082.40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DA0F6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ED140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19F074">
            <w:pPr>
              <w:jc w:val="center"/>
            </w:pPr>
            <w:r>
              <w:rPr>
                <w:rFonts w:ascii="宋体" w:hAnsi="宋体" w:eastAsia="宋体"/>
                <w:sz w:val="16"/>
              </w:rPr>
              <w:t>-</w:t>
            </w:r>
          </w:p>
        </w:tc>
      </w:tr>
      <w:tr w14:paraId="34CDF5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91439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04A9E3">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EFE308">
            <w:pPr>
              <w:jc w:val="center"/>
            </w:pPr>
            <w:r>
              <w:rPr>
                <w:rFonts w:ascii="宋体" w:hAnsi="宋体" w:eastAsia="宋体"/>
                <w:sz w:val="16"/>
              </w:rPr>
              <w:t>842.77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193265">
            <w:pPr>
              <w:jc w:val="center"/>
            </w:pPr>
            <w:r>
              <w:rPr>
                <w:rFonts w:ascii="宋体" w:hAnsi="宋体" w:eastAsia="宋体"/>
                <w:sz w:val="16"/>
              </w:rPr>
              <w:t>842.76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7E5D40">
            <w:pPr>
              <w:jc w:val="center"/>
            </w:pPr>
            <w:r>
              <w:rPr>
                <w:rFonts w:ascii="宋体" w:hAnsi="宋体" w:eastAsia="宋体"/>
                <w:sz w:val="16"/>
              </w:rPr>
              <w:t>842.76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7A50D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9BECC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940AA6">
            <w:pPr>
              <w:jc w:val="center"/>
            </w:pPr>
            <w:r>
              <w:rPr>
                <w:rFonts w:ascii="宋体" w:hAnsi="宋体" w:eastAsia="宋体"/>
                <w:sz w:val="16"/>
              </w:rPr>
              <w:t>-</w:t>
            </w:r>
          </w:p>
        </w:tc>
      </w:tr>
      <w:tr w14:paraId="6B58788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D1DD4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E15CB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775F0">
            <w:pPr>
              <w:jc w:val="center"/>
            </w:pPr>
            <w:r>
              <w:rPr>
                <w:rFonts w:ascii="宋体" w:hAnsi="宋体" w:eastAsia="宋体"/>
                <w:sz w:val="16"/>
              </w:rPr>
              <w:t>5.47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64E9E5">
            <w:pPr>
              <w:jc w:val="center"/>
            </w:pPr>
            <w:r>
              <w:rPr>
                <w:rFonts w:ascii="宋体" w:hAnsi="宋体" w:eastAsia="宋体"/>
                <w:sz w:val="16"/>
              </w:rPr>
              <w:t>5.47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EB28AD">
            <w:pPr>
              <w:jc w:val="center"/>
            </w:pPr>
            <w:r>
              <w:rPr>
                <w:rFonts w:ascii="宋体" w:hAnsi="宋体" w:eastAsia="宋体"/>
                <w:sz w:val="16"/>
              </w:rPr>
              <w:t>5.47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1CF79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3A3CA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74DB67">
            <w:pPr>
              <w:jc w:val="center"/>
            </w:pPr>
            <w:r>
              <w:rPr>
                <w:rFonts w:ascii="宋体" w:hAnsi="宋体" w:eastAsia="宋体"/>
                <w:sz w:val="16"/>
              </w:rPr>
              <w:t>-</w:t>
            </w:r>
          </w:p>
        </w:tc>
      </w:tr>
      <w:tr w14:paraId="2778CBF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C3961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3A849C">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5581B1">
            <w:pPr>
              <w:jc w:val="center"/>
            </w:pPr>
            <w:r>
              <w:rPr>
                <w:rFonts w:ascii="宋体" w:hAnsi="宋体" w:eastAsia="宋体"/>
                <w:sz w:val="16"/>
              </w:rPr>
              <w:t>实际完成情况</w:t>
            </w:r>
          </w:p>
        </w:tc>
      </w:tr>
      <w:tr w14:paraId="7305C25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18A0C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981562">
            <w:pPr>
              <w:jc w:val="both"/>
            </w:pPr>
            <w:r>
              <w:rPr>
                <w:rFonts w:ascii="宋体" w:hAnsi="宋体" w:eastAsia="宋体"/>
                <w:sz w:val="16"/>
              </w:rPr>
              <w:t>统筹提出国民经济和社会发展主要目标，监测预测预警宏观经济和社会发展态势趋势，提出宏观调控政策建议。申报和下达中央预算内投资计划；安排霍城县财政预算内固定资产投资计划，按规定权限审批、核准、备案、审核重大项目。规划重大建设项目和生产力布局。拟订并推动落实鼓励民间投资政策措施。贯彻执行国家、自治区粮食和物资储备的方针政策和法律法规，拟订粮食流通、地方储备粮油和物资储备管理的有关政策，并开展宣贯。负责编制粮油、食盐等重要商品储备、轮换和投放计划；组织实施地方储备粮油、食盐等物资的储备、轮换和日常管理。</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3A9582">
            <w:pPr>
              <w:jc w:val="both"/>
            </w:pPr>
            <w:r>
              <w:rPr>
                <w:rFonts w:ascii="宋体" w:hAnsi="宋体" w:eastAsia="宋体"/>
                <w:sz w:val="16"/>
              </w:rPr>
              <w:t>统筹提出国民经济和社会发展主要目标，监测预测预警宏观经济和社会发展态势趋势，提出宏观调控政策建议。积极争取资金支持，统筹各项目单位争取到位政府投资项目120个，到位资金18.82亿元。经济运行总体平稳，2024年，全县实现地区生产总值167.93亿元，增长4%安排霍城县财政预算内固定资产投资计划，按规定权限审批、核准、备案、审核重大项目。全年受理办结项目181个，其中：审批79个，总投资149亿元；核准8个，总投资0.52亿元；备案94个，总投资208亿元。规划重大建设项目和生产力布局。组织实施地方储备粮油、食盐等物资的储备、轮换和日常管理，粮食安全储备原粮数量7500吨。</w:t>
            </w:r>
          </w:p>
        </w:tc>
      </w:tr>
      <w:tr w14:paraId="10C6511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121F7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B20CD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1D83A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1767BC">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65C101">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A31D6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B27513">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8236DC">
            <w:pPr>
              <w:jc w:val="center"/>
            </w:pPr>
            <w:r>
              <w:rPr>
                <w:rFonts w:ascii="宋体" w:hAnsi="宋体" w:eastAsia="宋体"/>
                <w:sz w:val="16"/>
              </w:rPr>
              <w:t>得分</w:t>
            </w:r>
          </w:p>
        </w:tc>
      </w:tr>
      <w:tr w14:paraId="260320B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9800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7F766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339428">
            <w:pPr>
              <w:jc w:val="center"/>
            </w:pPr>
            <w:r>
              <w:rPr>
                <w:rFonts w:ascii="宋体" w:hAnsi="宋体" w:eastAsia="宋体"/>
                <w:sz w:val="16"/>
              </w:rPr>
              <w:t>完成固定资产投资</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1DE657">
            <w:pPr>
              <w:jc w:val="center"/>
            </w:pPr>
            <w:r>
              <w:rPr>
                <w:rFonts w:ascii="宋体" w:hAnsi="宋体" w:eastAsia="宋体"/>
                <w:sz w:val="16"/>
              </w:rPr>
              <w:t>=80.30亿元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953FBB">
            <w:pPr>
              <w:jc w:val="center"/>
            </w:pPr>
            <w:r>
              <w:rPr>
                <w:rFonts w:ascii="宋体" w:hAnsi="宋体" w:eastAsia="宋体"/>
                <w:sz w:val="16"/>
              </w:rPr>
              <w:t>年度工作要点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039B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D48398">
            <w:pPr>
              <w:jc w:val="center"/>
            </w:pPr>
            <w:r>
              <w:rPr>
                <w:rFonts w:ascii="宋体" w:hAnsi="宋体" w:eastAsia="宋体"/>
                <w:sz w:val="16"/>
              </w:rPr>
              <w:t>57.47亿元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69604">
            <w:pPr>
              <w:jc w:val="center"/>
            </w:pPr>
            <w:r>
              <w:rPr>
                <w:rFonts w:ascii="宋体" w:hAnsi="宋体" w:eastAsia="宋体"/>
                <w:sz w:val="16"/>
              </w:rPr>
              <w:t>10.74</w:t>
            </w:r>
          </w:p>
        </w:tc>
      </w:tr>
      <w:tr w14:paraId="04C696B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06B3C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0B9F5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364880">
            <w:pPr>
              <w:jc w:val="center"/>
            </w:pPr>
            <w:r>
              <w:rPr>
                <w:rFonts w:ascii="宋体" w:hAnsi="宋体" w:eastAsia="宋体"/>
                <w:sz w:val="16"/>
              </w:rPr>
              <w:t>储备中央预算内项目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564620">
            <w:pPr>
              <w:jc w:val="center"/>
            </w:pPr>
            <w:r>
              <w:rPr>
                <w:rFonts w:ascii="宋体" w:hAnsi="宋体" w:eastAsia="宋体"/>
                <w:sz w:val="16"/>
              </w:rPr>
              <w:t>=84个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145880">
            <w:pPr>
              <w:jc w:val="center"/>
            </w:pPr>
            <w:r>
              <w:rPr>
                <w:rFonts w:ascii="宋体" w:hAnsi="宋体" w:eastAsia="宋体"/>
                <w:sz w:val="16"/>
              </w:rPr>
              <w:t>年度工作要点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6FEBB7">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45B666">
            <w:pPr>
              <w:jc w:val="center"/>
            </w:pPr>
            <w:r>
              <w:rPr>
                <w:rFonts w:ascii="宋体" w:hAnsi="宋体" w:eastAsia="宋体"/>
                <w:sz w:val="16"/>
              </w:rPr>
              <w:t>88个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F9368A">
            <w:pPr>
              <w:jc w:val="center"/>
            </w:pPr>
            <w:r>
              <w:rPr>
                <w:rFonts w:ascii="宋体" w:hAnsi="宋体" w:eastAsia="宋体"/>
                <w:sz w:val="16"/>
              </w:rPr>
              <w:t>13</w:t>
            </w:r>
          </w:p>
        </w:tc>
      </w:tr>
      <w:tr w14:paraId="50D6CCB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98383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D94C8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CDC2F">
            <w:pPr>
              <w:jc w:val="center"/>
            </w:pPr>
            <w:r>
              <w:rPr>
                <w:rFonts w:ascii="宋体" w:hAnsi="宋体" w:eastAsia="宋体"/>
                <w:sz w:val="16"/>
              </w:rPr>
              <w:t>谋划县级全口径项目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1030B7">
            <w:pPr>
              <w:jc w:val="center"/>
            </w:pPr>
            <w:r>
              <w:rPr>
                <w:rFonts w:ascii="宋体" w:hAnsi="宋体" w:eastAsia="宋体"/>
                <w:sz w:val="16"/>
              </w:rPr>
              <w:t>=174个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E9FF91">
            <w:pPr>
              <w:jc w:val="center"/>
            </w:pPr>
            <w:r>
              <w:rPr>
                <w:rFonts w:ascii="宋体" w:hAnsi="宋体" w:eastAsia="宋体"/>
                <w:sz w:val="16"/>
              </w:rPr>
              <w:t>年度工作要点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29105A">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6CE680">
            <w:pPr>
              <w:jc w:val="center"/>
            </w:pPr>
            <w:r>
              <w:rPr>
                <w:rFonts w:ascii="宋体" w:hAnsi="宋体" w:eastAsia="宋体"/>
                <w:sz w:val="16"/>
              </w:rPr>
              <w:t>174个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2C37F7">
            <w:pPr>
              <w:jc w:val="center"/>
            </w:pPr>
            <w:r>
              <w:rPr>
                <w:rFonts w:ascii="宋体" w:hAnsi="宋体" w:eastAsia="宋体"/>
                <w:sz w:val="16"/>
              </w:rPr>
              <w:t>13</w:t>
            </w:r>
          </w:p>
        </w:tc>
      </w:tr>
      <w:tr w14:paraId="1DB2853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435AE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8CEA1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54862">
            <w:pPr>
              <w:jc w:val="center"/>
            </w:pPr>
            <w:r>
              <w:rPr>
                <w:rFonts w:ascii="宋体" w:hAnsi="宋体" w:eastAsia="宋体"/>
                <w:sz w:val="16"/>
              </w:rPr>
              <w:t>按规定权限审批、核准、备案项目审核通过率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AC67E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A9E95">
            <w:pPr>
              <w:jc w:val="center"/>
            </w:pPr>
            <w:r>
              <w:rPr>
                <w:rFonts w:ascii="宋体" w:hAnsi="宋体" w:eastAsia="宋体"/>
                <w:sz w:val="16"/>
              </w:rPr>
              <w:t>年度工作要点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2AC60">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94CCB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0E4F4A">
            <w:pPr>
              <w:jc w:val="center"/>
            </w:pPr>
            <w:r>
              <w:rPr>
                <w:rFonts w:ascii="宋体" w:hAnsi="宋体" w:eastAsia="宋体"/>
                <w:sz w:val="16"/>
              </w:rPr>
              <w:t>13</w:t>
            </w:r>
          </w:p>
        </w:tc>
      </w:tr>
      <w:tr w14:paraId="667E9EA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170AA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E91FC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D71B77">
            <w:pPr>
              <w:jc w:val="center"/>
            </w:pPr>
            <w:r>
              <w:rPr>
                <w:rFonts w:ascii="宋体" w:hAnsi="宋体" w:eastAsia="宋体"/>
                <w:sz w:val="16"/>
              </w:rPr>
              <w:t>粮食安全储备原粮数量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9B1EF3">
            <w:pPr>
              <w:jc w:val="center"/>
            </w:pPr>
            <w:r>
              <w:rPr>
                <w:rFonts w:ascii="宋体" w:hAnsi="宋体" w:eastAsia="宋体"/>
                <w:sz w:val="16"/>
              </w:rPr>
              <w:t>&gt;=7500吨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E156FF">
            <w:pPr>
              <w:jc w:val="center"/>
            </w:pPr>
            <w:r>
              <w:rPr>
                <w:rFonts w:ascii="宋体" w:hAnsi="宋体" w:eastAsia="宋体"/>
                <w:sz w:val="16"/>
              </w:rPr>
              <w:t>年度工作要点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C9CDD2">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003B58">
            <w:pPr>
              <w:jc w:val="center"/>
            </w:pPr>
            <w:r>
              <w:rPr>
                <w:rFonts w:ascii="宋体" w:hAnsi="宋体" w:eastAsia="宋体"/>
                <w:sz w:val="16"/>
              </w:rPr>
              <w:t>7500吨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7786EB">
            <w:pPr>
              <w:jc w:val="center"/>
            </w:pPr>
            <w:r>
              <w:rPr>
                <w:rFonts w:ascii="宋体" w:hAnsi="宋体" w:eastAsia="宋体"/>
                <w:sz w:val="16"/>
              </w:rPr>
              <w:t>12</w:t>
            </w:r>
          </w:p>
        </w:tc>
      </w:tr>
      <w:tr w14:paraId="5FACFD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AD5E4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F6176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5BCC40">
            <w:pPr>
              <w:jc w:val="center"/>
            </w:pPr>
            <w:r>
              <w:rPr>
                <w:rFonts w:ascii="宋体" w:hAnsi="宋体" w:eastAsia="宋体"/>
                <w:sz w:val="16"/>
              </w:rPr>
              <w:t>对粮食日常管理和依法监管开展监督检查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C7FEEF">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0C6C4">
            <w:pPr>
              <w:jc w:val="center"/>
            </w:pPr>
            <w:r>
              <w:rPr>
                <w:rFonts w:ascii="宋体" w:hAnsi="宋体" w:eastAsia="宋体"/>
                <w:sz w:val="16"/>
              </w:rPr>
              <w:t>年度工作要点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570C70">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478477">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1B5513">
            <w:pPr>
              <w:jc w:val="center"/>
            </w:pPr>
            <w:r>
              <w:rPr>
                <w:rFonts w:ascii="宋体" w:hAnsi="宋体" w:eastAsia="宋体"/>
                <w:sz w:val="16"/>
              </w:rPr>
              <w:t>12</w:t>
            </w:r>
          </w:p>
        </w:tc>
      </w:tr>
      <w:tr w14:paraId="558BA5C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7D039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64D31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0BBD8">
            <w:pPr>
              <w:jc w:val="center"/>
            </w:pPr>
            <w:r>
              <w:rPr>
                <w:rFonts w:ascii="宋体" w:hAnsi="宋体" w:eastAsia="宋体"/>
                <w:sz w:val="16"/>
              </w:rPr>
              <w:t>年度统计和收费公示公告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8297EA">
            <w:pPr>
              <w:jc w:val="center"/>
            </w:pPr>
            <w:r>
              <w:rPr>
                <w:rFonts w:ascii="宋体" w:hAnsi="宋体" w:eastAsia="宋体"/>
                <w:sz w:val="16"/>
              </w:rPr>
              <w:t>=101个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CEBE73">
            <w:pPr>
              <w:jc w:val="center"/>
            </w:pPr>
            <w:r>
              <w:rPr>
                <w:rFonts w:ascii="宋体" w:hAnsi="宋体" w:eastAsia="宋体"/>
                <w:sz w:val="16"/>
              </w:rPr>
              <w:t>年度重点工作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B9607">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09C93">
            <w:pPr>
              <w:jc w:val="center"/>
            </w:pPr>
            <w:r>
              <w:rPr>
                <w:rFonts w:ascii="宋体" w:hAnsi="宋体" w:eastAsia="宋体"/>
                <w:sz w:val="16"/>
              </w:rPr>
              <w:t>101个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090CD6">
            <w:pPr>
              <w:jc w:val="center"/>
            </w:pPr>
            <w:r>
              <w:rPr>
                <w:rFonts w:ascii="宋体" w:hAnsi="宋体" w:eastAsia="宋体"/>
                <w:sz w:val="16"/>
              </w:rPr>
              <w:t>12</w:t>
            </w:r>
          </w:p>
        </w:tc>
      </w:tr>
    </w:tbl>
    <w:p w14:paraId="5975A3B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1B07DD09">
        <w:tblPrEx>
          <w:tblCellMar>
            <w:top w:w="0" w:type="dxa"/>
            <w:left w:w="108" w:type="dxa"/>
            <w:bottom w:w="0" w:type="dxa"/>
            <w:right w:w="108" w:type="dxa"/>
          </w:tblCellMar>
        </w:tblPrEx>
        <w:tc>
          <w:tcPr>
            <w:tcW w:w="8848" w:type="dxa"/>
            <w:gridSpan w:val="14"/>
            <w:vAlign w:val="center"/>
          </w:tcPr>
          <w:p w14:paraId="7463A4CC">
            <w:pPr>
              <w:jc w:val="center"/>
            </w:pPr>
            <w:r>
              <w:rPr>
                <w:rFonts w:ascii="宋体" w:hAnsi="宋体" w:eastAsia="宋体"/>
                <w:sz w:val="24"/>
              </w:rPr>
              <w:t>项目支出绩效自评表</w:t>
            </w:r>
          </w:p>
        </w:tc>
      </w:tr>
      <w:tr w14:paraId="192F5C46">
        <w:tblPrEx>
          <w:tblCellMar>
            <w:top w:w="0" w:type="dxa"/>
            <w:left w:w="108" w:type="dxa"/>
            <w:bottom w:w="0" w:type="dxa"/>
            <w:right w:w="108" w:type="dxa"/>
          </w:tblCellMar>
        </w:tblPrEx>
        <w:tc>
          <w:tcPr>
            <w:tcW w:w="8848" w:type="dxa"/>
            <w:gridSpan w:val="14"/>
            <w:vAlign w:val="center"/>
          </w:tcPr>
          <w:p w14:paraId="253B09D1">
            <w:pPr>
              <w:jc w:val="center"/>
            </w:pPr>
            <w:r>
              <w:rPr>
                <w:rFonts w:ascii="宋体" w:hAnsi="宋体" w:eastAsia="宋体"/>
                <w:sz w:val="24"/>
              </w:rPr>
              <w:t>(2024年度)</w:t>
            </w:r>
          </w:p>
        </w:tc>
      </w:tr>
      <w:tr w14:paraId="7FEDF6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B4A4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137B00">
            <w:pPr>
              <w:jc w:val="center"/>
            </w:pPr>
            <w:r>
              <w:rPr>
                <w:rFonts w:ascii="宋体" w:hAnsi="宋体" w:eastAsia="宋体"/>
                <w:sz w:val="16"/>
              </w:rPr>
              <w:t>2024年农产品成本调查项目</w:t>
            </w:r>
          </w:p>
        </w:tc>
      </w:tr>
      <w:tr w14:paraId="7853B9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8B2E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EB79C7">
            <w:pPr>
              <w:jc w:val="center"/>
            </w:pPr>
            <w:r>
              <w:rPr>
                <w:rFonts w:ascii="宋体" w:hAnsi="宋体" w:eastAsia="宋体"/>
                <w:sz w:val="16"/>
              </w:rPr>
              <w:t>霍城县发展和改革委员会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4327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181F50">
            <w:pPr>
              <w:jc w:val="center"/>
            </w:pPr>
            <w:r>
              <w:rPr>
                <w:rFonts w:ascii="宋体" w:hAnsi="宋体" w:eastAsia="宋体"/>
                <w:sz w:val="16"/>
              </w:rPr>
              <w:t>霍城县发展和改革委员会</w:t>
            </w:r>
          </w:p>
        </w:tc>
      </w:tr>
      <w:tr w14:paraId="66AFEF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0F7F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DCD2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659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6DDE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ACC6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8A0D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C9CB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62EED">
            <w:pPr>
              <w:jc w:val="center"/>
            </w:pPr>
            <w:r>
              <w:rPr>
                <w:rFonts w:ascii="宋体" w:hAnsi="宋体" w:eastAsia="宋体"/>
                <w:sz w:val="16"/>
              </w:rPr>
              <w:t>得分</w:t>
            </w:r>
          </w:p>
        </w:tc>
      </w:tr>
      <w:tr w14:paraId="240CDD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39E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AA0C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13BFD">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4F258">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E9D6C">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FFB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A165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E82C">
            <w:pPr>
              <w:jc w:val="center"/>
            </w:pPr>
            <w:r>
              <w:rPr>
                <w:rFonts w:ascii="宋体" w:hAnsi="宋体" w:eastAsia="宋体"/>
                <w:sz w:val="16"/>
              </w:rPr>
              <w:t>10.00</w:t>
            </w:r>
          </w:p>
        </w:tc>
      </w:tr>
      <w:tr w14:paraId="7EA4E3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70B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CDF4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116AA">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C389E">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1EC19">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470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7E1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58595">
            <w:pPr>
              <w:jc w:val="center"/>
            </w:pPr>
            <w:r>
              <w:rPr>
                <w:rFonts w:ascii="宋体" w:hAnsi="宋体" w:eastAsia="宋体"/>
                <w:sz w:val="16"/>
              </w:rPr>
              <w:t>—</w:t>
            </w:r>
          </w:p>
        </w:tc>
      </w:tr>
      <w:tr w14:paraId="2014C4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51D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AE90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561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E27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3FA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EB1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DE1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A370F">
            <w:pPr>
              <w:jc w:val="center"/>
            </w:pPr>
            <w:r>
              <w:rPr>
                <w:rFonts w:ascii="宋体" w:hAnsi="宋体" w:eastAsia="宋体"/>
                <w:sz w:val="16"/>
              </w:rPr>
              <w:t>—</w:t>
            </w:r>
          </w:p>
        </w:tc>
      </w:tr>
      <w:tr w14:paraId="4256A2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8BD8E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8D0CF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529765">
            <w:pPr>
              <w:jc w:val="center"/>
            </w:pPr>
            <w:r>
              <w:rPr>
                <w:rFonts w:ascii="宋体" w:hAnsi="宋体" w:eastAsia="宋体"/>
                <w:sz w:val="16"/>
              </w:rPr>
              <w:t>实际完成情况</w:t>
            </w:r>
          </w:p>
        </w:tc>
      </w:tr>
      <w:tr w14:paraId="743267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A5F7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15ACFF">
            <w:pPr>
              <w:jc w:val="both"/>
            </w:pPr>
            <w:r>
              <w:rPr>
                <w:rFonts w:ascii="宋体" w:hAnsi="宋体" w:eastAsia="宋体"/>
                <w:sz w:val="16"/>
              </w:rPr>
              <w:t>通过农产品成本调查，为制定农产品价格、财政补贴、保险及农业支持政策提供参考数据，为建立农资综合补贴动态调整机制提供成本数据，为农业补贴的调整提供科学依据。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0EA62A">
            <w:pPr>
              <w:jc w:val="both"/>
            </w:pPr>
            <w:r>
              <w:rPr>
                <w:rFonts w:ascii="宋体" w:hAnsi="宋体" w:eastAsia="宋体"/>
                <w:sz w:val="16"/>
              </w:rPr>
              <w:t>2024年项目开展实地调查2次，对4种农产品、31种农副产品开展监测，为了更好地实施项目</w:t>
            </w:r>
            <w:r>
              <w:rPr>
                <w:rFonts w:hint="eastAsia" w:ascii="宋体" w:hAnsi="宋体"/>
                <w:sz w:val="16"/>
                <w:lang w:eastAsia="zh-CN"/>
              </w:rPr>
              <w:t>本单位</w:t>
            </w:r>
            <w:r>
              <w:rPr>
                <w:rFonts w:ascii="宋体" w:hAnsi="宋体" w:eastAsia="宋体"/>
                <w:sz w:val="16"/>
              </w:rPr>
              <w:t>组织农调户、监测户培训1次。编写了高质量的调查报告，为政府部门制定农业政策、引导农业生产提供科学依据。</w:t>
            </w:r>
          </w:p>
        </w:tc>
      </w:tr>
      <w:tr w14:paraId="28799A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9BF7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61D5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2FE4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4453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D34D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C25CF">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39378">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BB02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1078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3888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10E5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2395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CD10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B2BCB">
            <w:pPr>
              <w:jc w:val="center"/>
            </w:pPr>
            <w:r>
              <w:rPr>
                <w:rFonts w:ascii="宋体" w:hAnsi="宋体" w:eastAsia="宋体"/>
                <w:sz w:val="16"/>
              </w:rPr>
              <w:t>偏差原因分析及改进措施</w:t>
            </w:r>
          </w:p>
        </w:tc>
      </w:tr>
      <w:tr w14:paraId="40B9F6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6368A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E7E52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E592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F07B0">
            <w:pPr>
              <w:jc w:val="center"/>
            </w:pPr>
            <w:r>
              <w:rPr>
                <w:rFonts w:ascii="宋体" w:hAnsi="宋体" w:eastAsia="宋体"/>
                <w:sz w:val="16"/>
              </w:rPr>
              <w:t>开展农本实地调查次数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590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C6E4">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EF283">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0CC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DA09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03B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BE933">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2A0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7D1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8B211">
            <w:pPr>
              <w:jc w:val="center"/>
            </w:pPr>
          </w:p>
        </w:tc>
      </w:tr>
      <w:tr w14:paraId="524F4D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B0E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DB7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FFE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20D98">
            <w:pPr>
              <w:jc w:val="center"/>
            </w:pPr>
            <w:r>
              <w:rPr>
                <w:rFonts w:ascii="宋体" w:hAnsi="宋体" w:eastAsia="宋体"/>
                <w:sz w:val="16"/>
              </w:rPr>
              <w:t>监测农产品品种数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3E28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D8A1A">
            <w:pPr>
              <w:jc w:val="center"/>
            </w:pPr>
            <w:r>
              <w:rPr>
                <w:rFonts w:ascii="宋体" w:hAnsi="宋体" w:eastAsia="宋体"/>
                <w:sz w:val="16"/>
              </w:rPr>
              <w:t>=4种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2322C">
            <w:pPr>
              <w:jc w:val="center"/>
            </w:pPr>
            <w:r>
              <w:rPr>
                <w:rFonts w:ascii="宋体" w:hAnsi="宋体" w:eastAsia="宋体"/>
                <w:sz w:val="16"/>
              </w:rPr>
              <w:t>4种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A36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3E9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592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18889">
            <w:pPr>
              <w:jc w:val="center"/>
            </w:pPr>
            <w:r>
              <w:rPr>
                <w:rFonts w:ascii="宋体" w:hAnsi="宋体" w:eastAsia="宋体"/>
                <w:sz w:val="16"/>
              </w:rPr>
              <w:t>5种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D41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D0B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A3907">
            <w:pPr>
              <w:jc w:val="center"/>
            </w:pPr>
          </w:p>
        </w:tc>
      </w:tr>
      <w:tr w14:paraId="427A87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9F3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C45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99E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0E3CD">
            <w:pPr>
              <w:jc w:val="center"/>
            </w:pPr>
            <w:r>
              <w:rPr>
                <w:rFonts w:ascii="宋体" w:hAnsi="宋体" w:eastAsia="宋体"/>
                <w:sz w:val="16"/>
              </w:rPr>
              <w:t>开展对农本调查人员的业务培训次数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2EEC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6D4F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2AC2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04C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5DAC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268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0F19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CFFA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F74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12C08">
            <w:pPr>
              <w:jc w:val="center"/>
            </w:pPr>
          </w:p>
        </w:tc>
      </w:tr>
      <w:tr w14:paraId="6CE138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D50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99D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ED6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79EB">
            <w:pPr>
              <w:jc w:val="center"/>
            </w:pPr>
            <w:r>
              <w:rPr>
                <w:rFonts w:ascii="宋体" w:hAnsi="宋体" w:eastAsia="宋体"/>
                <w:sz w:val="16"/>
              </w:rPr>
              <w:t>市场价格监测品种数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909C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09A64">
            <w:pPr>
              <w:jc w:val="center"/>
            </w:pPr>
            <w:r>
              <w:rPr>
                <w:rFonts w:ascii="宋体" w:hAnsi="宋体" w:eastAsia="宋体"/>
                <w:sz w:val="16"/>
              </w:rPr>
              <w:t>=31种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EDA9C">
            <w:pPr>
              <w:jc w:val="center"/>
            </w:pPr>
            <w:r>
              <w:rPr>
                <w:rFonts w:ascii="宋体" w:hAnsi="宋体" w:eastAsia="宋体"/>
                <w:sz w:val="16"/>
              </w:rPr>
              <w:t>31种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940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0BB0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34E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9F8B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FAA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997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06831">
            <w:pPr>
              <w:jc w:val="center"/>
            </w:pPr>
          </w:p>
        </w:tc>
      </w:tr>
      <w:tr w14:paraId="3F07AA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529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59D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12669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65432">
            <w:pPr>
              <w:jc w:val="center"/>
            </w:pPr>
            <w:r>
              <w:rPr>
                <w:rFonts w:ascii="宋体" w:hAnsi="宋体" w:eastAsia="宋体"/>
                <w:sz w:val="16"/>
              </w:rPr>
              <w:t>价格监测预警覆盖比率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CAF1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AF0B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E591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1D6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212D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1C0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41A8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FE1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C1A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6BA89">
            <w:pPr>
              <w:jc w:val="center"/>
            </w:pPr>
          </w:p>
        </w:tc>
      </w:tr>
      <w:tr w14:paraId="38D5DD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74E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BF4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BDD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338F9">
            <w:pPr>
              <w:jc w:val="center"/>
            </w:pPr>
            <w:r>
              <w:rPr>
                <w:rFonts w:ascii="宋体" w:hAnsi="宋体" w:eastAsia="宋体"/>
                <w:sz w:val="16"/>
              </w:rPr>
              <w:t>农产品价格监测数据上报合格率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2D17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6B0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5EE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C7C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E8B2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A16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A5B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C61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A7E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2919F">
            <w:pPr>
              <w:jc w:val="center"/>
            </w:pPr>
          </w:p>
        </w:tc>
      </w:tr>
      <w:tr w14:paraId="1C2962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E25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185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926E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38378">
            <w:pPr>
              <w:jc w:val="center"/>
            </w:pPr>
            <w:r>
              <w:rPr>
                <w:rFonts w:ascii="宋体" w:hAnsi="宋体" w:eastAsia="宋体"/>
                <w:sz w:val="16"/>
              </w:rPr>
              <w:t>按照要求上报成本数据及分析及时率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744D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E42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260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CB9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1A02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46D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DE0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A06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216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C8574">
            <w:pPr>
              <w:jc w:val="center"/>
            </w:pPr>
          </w:p>
        </w:tc>
      </w:tr>
      <w:tr w14:paraId="112718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413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63C0A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BD4D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FCD59">
            <w:pPr>
              <w:jc w:val="center"/>
            </w:pPr>
            <w:r>
              <w:rPr>
                <w:rFonts w:ascii="宋体" w:hAnsi="宋体" w:eastAsia="宋体"/>
                <w:sz w:val="16"/>
              </w:rPr>
              <w:t>培训及实地调查成本（万元）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5E8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36C22">
            <w:pPr>
              <w:jc w:val="center"/>
            </w:pPr>
            <w:r>
              <w:rPr>
                <w:rFonts w:ascii="宋体" w:hAnsi="宋体" w:eastAsia="宋体"/>
                <w:sz w:val="16"/>
              </w:rPr>
              <w:t>&lt;=2.09万元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496F2">
            <w:pPr>
              <w:jc w:val="center"/>
            </w:pPr>
            <w:r>
              <w:rPr>
                <w:rFonts w:ascii="宋体" w:hAnsi="宋体" w:eastAsia="宋体"/>
                <w:sz w:val="16"/>
              </w:rPr>
              <w:t>2.09万元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917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9B9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A8F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476A1">
            <w:pPr>
              <w:jc w:val="center"/>
            </w:pPr>
            <w:r>
              <w:rPr>
                <w:rFonts w:ascii="宋体" w:hAnsi="宋体" w:eastAsia="宋体"/>
                <w:sz w:val="16"/>
              </w:rPr>
              <w: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A9E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AAD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C543C">
            <w:pPr>
              <w:jc w:val="center"/>
            </w:pPr>
          </w:p>
        </w:tc>
      </w:tr>
      <w:tr w14:paraId="660522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342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8BC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F90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A8377">
            <w:pPr>
              <w:jc w:val="center"/>
            </w:pPr>
            <w:r>
              <w:rPr>
                <w:rFonts w:ascii="宋体" w:hAnsi="宋体" w:eastAsia="宋体"/>
                <w:sz w:val="16"/>
              </w:rPr>
              <w:t>收集、汇总监测数据成本（万元）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116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0CF53">
            <w:pPr>
              <w:jc w:val="center"/>
            </w:pPr>
            <w:r>
              <w:rPr>
                <w:rFonts w:ascii="宋体" w:hAnsi="宋体" w:eastAsia="宋体"/>
                <w:sz w:val="16"/>
              </w:rPr>
              <w:t>&lt;=0.25万元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8541F">
            <w:pPr>
              <w:jc w:val="center"/>
            </w:pPr>
            <w:r>
              <w:rPr>
                <w:rFonts w:ascii="宋体" w:hAnsi="宋体" w:eastAsia="宋体"/>
                <w:sz w:val="16"/>
              </w:rPr>
              <w: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471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BB6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BBA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7FEB4">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F5A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7AB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C3055">
            <w:pPr>
              <w:jc w:val="center"/>
            </w:pPr>
          </w:p>
        </w:tc>
      </w:tr>
      <w:tr w14:paraId="7E1BFB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370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1017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FE39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63337">
            <w:pPr>
              <w:jc w:val="center"/>
            </w:pPr>
            <w:r>
              <w:rPr>
                <w:rFonts w:ascii="宋体" w:hAnsi="宋体" w:eastAsia="宋体"/>
                <w:sz w:val="16"/>
              </w:rPr>
              <w:t>为政府研究和制定农产品价格与流通政策提供决策依据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7FBF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0A556">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DF70C">
            <w:pPr>
              <w:jc w:val="center"/>
            </w:pPr>
            <w:r>
              <w:rPr>
                <w:rFonts w:ascii="宋体" w:hAnsi="宋体" w:eastAsia="宋体"/>
                <w:sz w:val="16"/>
              </w:rPr>
              <w:t>有所提供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C1C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B50B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841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CA35F">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9B0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447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37C30">
            <w:pPr>
              <w:jc w:val="center"/>
            </w:pPr>
          </w:p>
        </w:tc>
      </w:tr>
      <w:tr w14:paraId="66812A2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FEDD29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598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5805A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E4BAA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06FB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3FCC8">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40A5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D0671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B152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A459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CCA51F"/>
        </w:tc>
      </w:tr>
    </w:tbl>
    <w:p w14:paraId="46236B4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106"/>
        <w:gridCol w:w="526"/>
        <w:gridCol w:w="776"/>
        <w:gridCol w:w="632"/>
        <w:gridCol w:w="632"/>
        <w:gridCol w:w="632"/>
        <w:gridCol w:w="632"/>
        <w:gridCol w:w="632"/>
        <w:gridCol w:w="632"/>
        <w:gridCol w:w="632"/>
        <w:gridCol w:w="632"/>
      </w:tblGrid>
      <w:tr w14:paraId="2B9D9327">
        <w:tblPrEx>
          <w:tblCellMar>
            <w:top w:w="0" w:type="dxa"/>
            <w:left w:w="108" w:type="dxa"/>
            <w:bottom w:w="0" w:type="dxa"/>
            <w:right w:w="108" w:type="dxa"/>
          </w:tblCellMar>
        </w:tblPrEx>
        <w:tc>
          <w:tcPr>
            <w:tcW w:w="8992" w:type="dxa"/>
            <w:gridSpan w:val="15"/>
            <w:vAlign w:val="center"/>
          </w:tcPr>
          <w:p w14:paraId="2884C81F">
            <w:pPr>
              <w:jc w:val="center"/>
            </w:pPr>
            <w:r>
              <w:rPr>
                <w:rFonts w:ascii="宋体" w:hAnsi="宋体" w:eastAsia="宋体"/>
                <w:sz w:val="24"/>
              </w:rPr>
              <w:t>项目支出绩效自评表</w:t>
            </w:r>
          </w:p>
        </w:tc>
      </w:tr>
      <w:tr w14:paraId="09FC3E48">
        <w:tblPrEx>
          <w:tblCellMar>
            <w:top w:w="0" w:type="dxa"/>
            <w:left w:w="108" w:type="dxa"/>
            <w:bottom w:w="0" w:type="dxa"/>
            <w:right w:w="108" w:type="dxa"/>
          </w:tblCellMar>
        </w:tblPrEx>
        <w:tc>
          <w:tcPr>
            <w:tcW w:w="8992" w:type="dxa"/>
            <w:gridSpan w:val="15"/>
            <w:vAlign w:val="center"/>
          </w:tcPr>
          <w:p w14:paraId="3F0017DC">
            <w:pPr>
              <w:jc w:val="center"/>
            </w:pPr>
            <w:r>
              <w:rPr>
                <w:rFonts w:ascii="宋体" w:hAnsi="宋体" w:eastAsia="宋体"/>
                <w:sz w:val="24"/>
              </w:rPr>
              <w:t>(2024年度)</w:t>
            </w:r>
          </w:p>
        </w:tc>
      </w:tr>
      <w:tr w14:paraId="06969A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46C13">
            <w:pPr>
              <w:jc w:val="center"/>
            </w:pPr>
            <w:r>
              <w:rPr>
                <w:rFonts w:ascii="宋体" w:hAnsi="宋体" w:eastAsia="宋体"/>
                <w:sz w:val="16"/>
              </w:rPr>
              <w:t>项目名称</w:t>
            </w:r>
          </w:p>
        </w:tc>
        <w:tc>
          <w:tcPr>
            <w:tcW w:w="836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A21EC35">
            <w:pPr>
              <w:jc w:val="center"/>
            </w:pPr>
            <w:r>
              <w:rPr>
                <w:rFonts w:ascii="宋体" w:hAnsi="宋体" w:eastAsia="宋体"/>
                <w:sz w:val="16"/>
              </w:rPr>
              <w:t>2024年项目前期费</w:t>
            </w:r>
          </w:p>
        </w:tc>
      </w:tr>
      <w:tr w14:paraId="57E366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93F9B">
            <w:pPr>
              <w:jc w:val="center"/>
            </w:pPr>
            <w:r>
              <w:rPr>
                <w:rFonts w:ascii="宋体" w:hAnsi="宋体" w:eastAsia="宋体"/>
                <w:sz w:val="16"/>
              </w:rPr>
              <w:t>主管部门</w:t>
            </w:r>
          </w:p>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EBD4E23">
            <w:pPr>
              <w:jc w:val="center"/>
            </w:pPr>
            <w:r>
              <w:rPr>
                <w:rFonts w:ascii="宋体" w:hAnsi="宋体" w:eastAsia="宋体"/>
                <w:sz w:val="16"/>
              </w:rPr>
              <w:t>霍城县发展和改革委员会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6BF0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DA2738">
            <w:pPr>
              <w:jc w:val="center"/>
            </w:pPr>
            <w:r>
              <w:rPr>
                <w:rFonts w:ascii="宋体" w:hAnsi="宋体" w:eastAsia="宋体"/>
                <w:sz w:val="16"/>
              </w:rPr>
              <w:t>霍城县发展和改革委员会</w:t>
            </w:r>
          </w:p>
        </w:tc>
      </w:tr>
      <w:tr w14:paraId="076694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DF5D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2B27C">
            <w:pPr>
              <w:jc w:val="center"/>
            </w:pP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6DDA71">
            <w:pPr>
              <w:jc w:val="center"/>
            </w:pPr>
            <w:r>
              <w:rPr>
                <w:rFonts w:ascii="宋体" w:hAnsi="宋体" w:eastAsia="宋体"/>
                <w:sz w:val="16"/>
              </w:rPr>
              <w:t>年初预算数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E9F9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5D18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524D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161F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BB24C">
            <w:pPr>
              <w:jc w:val="center"/>
            </w:pPr>
            <w:r>
              <w:rPr>
                <w:rFonts w:ascii="宋体" w:hAnsi="宋体" w:eastAsia="宋体"/>
                <w:sz w:val="16"/>
              </w:rPr>
              <w:t>得分</w:t>
            </w:r>
          </w:p>
        </w:tc>
      </w:tr>
      <w:tr w14:paraId="0E7DBE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E27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2E705">
            <w:pPr>
              <w:jc w:val="center"/>
            </w:pPr>
            <w:r>
              <w:rPr>
                <w:rFonts w:ascii="宋体" w:hAnsi="宋体" w:eastAsia="宋体"/>
                <w:sz w:val="16"/>
              </w:rPr>
              <w:t>年度资金总额</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4E1DC8">
            <w:pPr>
              <w:jc w:val="center"/>
            </w:pPr>
            <w:r>
              <w:rPr>
                <w:rFonts w:ascii="宋体" w:hAnsi="宋体" w:eastAsia="宋体"/>
                <w:sz w:val="16"/>
              </w:rPr>
              <w:t>100.00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A247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A582D">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53E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4669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57414">
            <w:pPr>
              <w:jc w:val="center"/>
            </w:pPr>
            <w:r>
              <w:rPr>
                <w:rFonts w:ascii="宋体" w:hAnsi="宋体" w:eastAsia="宋体"/>
                <w:sz w:val="16"/>
              </w:rPr>
              <w:t>10.00</w:t>
            </w:r>
          </w:p>
        </w:tc>
      </w:tr>
      <w:tr w14:paraId="3633A3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332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51166">
            <w:pPr>
              <w:jc w:val="center"/>
            </w:pPr>
            <w:r>
              <w:rPr>
                <w:rFonts w:ascii="宋体" w:hAnsi="宋体" w:eastAsia="宋体"/>
                <w:sz w:val="16"/>
              </w:rPr>
              <w:t>其中：当年财政拨款</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F9A96F">
            <w:pPr>
              <w:jc w:val="center"/>
            </w:pPr>
            <w:r>
              <w:rPr>
                <w:rFonts w:ascii="宋体" w:hAnsi="宋体" w:eastAsia="宋体"/>
                <w:sz w:val="16"/>
              </w:rPr>
              <w:t>100.00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205E1">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475B8">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0832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F05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34AB">
            <w:pPr>
              <w:jc w:val="center"/>
            </w:pPr>
            <w:r>
              <w:rPr>
                <w:rFonts w:ascii="宋体" w:hAnsi="宋体" w:eastAsia="宋体"/>
                <w:sz w:val="16"/>
              </w:rPr>
              <w:t>—</w:t>
            </w:r>
          </w:p>
        </w:tc>
      </w:tr>
      <w:tr w14:paraId="646E94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6CF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B5F92">
            <w:pPr>
              <w:jc w:val="center"/>
            </w:pPr>
            <w:r>
              <w:rPr>
                <w:rFonts w:ascii="宋体" w:hAnsi="宋体" w:eastAsia="宋体"/>
                <w:sz w:val="16"/>
              </w:rPr>
              <w:t xml:space="preserve">  其他资金</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A503A6">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97A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9FC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2C8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604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2DB5E">
            <w:pPr>
              <w:jc w:val="center"/>
            </w:pPr>
            <w:r>
              <w:rPr>
                <w:rFonts w:ascii="宋体" w:hAnsi="宋体" w:eastAsia="宋体"/>
                <w:sz w:val="16"/>
              </w:rPr>
              <w:t>—</w:t>
            </w:r>
          </w:p>
        </w:tc>
      </w:tr>
      <w:tr w14:paraId="61AB1E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C0AC5">
            <w:pPr>
              <w:jc w:val="center"/>
            </w:pPr>
            <w:r>
              <w:rPr>
                <w:rFonts w:ascii="宋体" w:hAnsi="宋体" w:eastAsia="宋体"/>
                <w:sz w:val="16"/>
              </w:rPr>
              <w:t>年度总体目标</w:t>
            </w:r>
          </w:p>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A71C91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46BEA5">
            <w:pPr>
              <w:jc w:val="center"/>
            </w:pPr>
            <w:r>
              <w:rPr>
                <w:rFonts w:ascii="宋体" w:hAnsi="宋体" w:eastAsia="宋体"/>
                <w:sz w:val="16"/>
              </w:rPr>
              <w:t>实际完成情况</w:t>
            </w:r>
          </w:p>
        </w:tc>
      </w:tr>
      <w:tr w14:paraId="7B5020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64083"/>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3086CDE">
            <w:pPr>
              <w:jc w:val="both"/>
            </w:pPr>
            <w:r>
              <w:rPr>
                <w:rFonts w:ascii="宋体" w:hAnsi="宋体" w:eastAsia="宋体"/>
                <w:sz w:val="16"/>
              </w:rPr>
              <w:t>研究提出霍城县国民经济和社会发展中长期规划和年度发展计划</w:t>
            </w:r>
            <w:r>
              <w:rPr>
                <w:rFonts w:hint="eastAsia" w:ascii="宋体" w:hAnsi="宋体"/>
                <w:sz w:val="16"/>
                <w:lang w:eastAsia="zh-CN"/>
              </w:rPr>
              <w:t>；</w:t>
            </w:r>
            <w:r>
              <w:rPr>
                <w:rFonts w:ascii="宋体" w:hAnsi="宋体" w:eastAsia="宋体"/>
                <w:sz w:val="16"/>
              </w:rPr>
              <w:t>贯彻执行国家、自治区、自治州国民经济和社会发展方针、政策。综合办公经费项目的绩效目标保障机关正常运转，为各项业务开展提供</w:t>
            </w:r>
            <w:r>
              <w:rPr>
                <w:rFonts w:hint="eastAsia" w:ascii="宋体" w:hAnsi="宋体"/>
                <w:sz w:val="16"/>
                <w:lang w:eastAsia="zh-CN"/>
              </w:rPr>
              <w:t>有力</w:t>
            </w:r>
            <w:r>
              <w:rPr>
                <w:rFonts w:ascii="宋体" w:hAnsi="宋体" w:eastAsia="宋体"/>
                <w:sz w:val="16"/>
              </w:rPr>
              <w:t>后勤保障不断提高服务水平。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B2A399">
            <w:pPr>
              <w:jc w:val="both"/>
            </w:pPr>
            <w:r>
              <w:rPr>
                <w:rFonts w:ascii="宋体" w:hAnsi="宋体" w:eastAsia="宋体"/>
                <w:sz w:val="16"/>
              </w:rPr>
              <w:t>通过项目的实施，有效保障单位2辆公务车运行，为职工采购电脑10台，提高了办公效率。保障了</w:t>
            </w:r>
            <w:r>
              <w:rPr>
                <w:rFonts w:hint="eastAsia" w:ascii="宋体" w:hAnsi="宋体"/>
                <w:sz w:val="16"/>
                <w:lang w:eastAsia="zh-CN"/>
              </w:rPr>
              <w:t>本单位</w:t>
            </w:r>
            <w:r>
              <w:rPr>
                <w:rFonts w:ascii="宋体" w:hAnsi="宋体" w:eastAsia="宋体"/>
                <w:sz w:val="16"/>
              </w:rPr>
              <w:t>全年的办公费、差旅费、项目咨询、专家评审费等方面支出，保障委机关办公正常运行，我委扎实推进工作推进，不断提高服务群众的水平。</w:t>
            </w:r>
          </w:p>
        </w:tc>
      </w:tr>
      <w:tr w14:paraId="335E52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94697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93AB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E7BA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59B76">
            <w:pPr>
              <w:jc w:val="center"/>
            </w:pPr>
            <w:r>
              <w:rPr>
                <w:rFonts w:ascii="宋体" w:hAnsi="宋体" w:eastAsia="宋体"/>
                <w:sz w:val="16"/>
              </w:rPr>
              <w:t>三级指标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61E26">
            <w:pPr>
              <w:jc w:val="center"/>
            </w:pPr>
            <w:r>
              <w:rPr>
                <w:rFonts w:ascii="宋体" w:hAnsi="宋体" w:eastAsia="宋体"/>
                <w:sz w:val="16"/>
              </w:rPr>
              <w:t>权重</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EE3C45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EA17D">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8CCD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10214">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F1B2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640B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CA23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1EA1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9B38D">
            <w:pPr>
              <w:jc w:val="center"/>
            </w:pPr>
            <w:r>
              <w:rPr>
                <w:rFonts w:ascii="宋体" w:hAnsi="宋体" w:eastAsia="宋体"/>
                <w:sz w:val="16"/>
              </w:rPr>
              <w:t>偏差原因分析及改进措施</w:t>
            </w:r>
          </w:p>
        </w:tc>
      </w:tr>
      <w:tr w14:paraId="3B4733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0AEC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42ED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68617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063C7">
            <w:pPr>
              <w:jc w:val="center"/>
            </w:pPr>
            <w:r>
              <w:rPr>
                <w:rFonts w:ascii="宋体" w:hAnsi="宋体" w:eastAsia="宋体"/>
                <w:sz w:val="16"/>
              </w:rPr>
              <w:t>保障车辆运行数量</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498BB">
            <w:pPr>
              <w:jc w:val="center"/>
            </w:pPr>
            <w:r>
              <w:rPr>
                <w:rFonts w:ascii="宋体" w:hAnsi="宋体" w:eastAsia="宋体"/>
                <w:sz w:val="16"/>
              </w:rPr>
              <w:t>8</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C44E122">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A5BDE">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D53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60F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2B9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41B7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510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C25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BF623">
            <w:pPr>
              <w:jc w:val="center"/>
            </w:pPr>
          </w:p>
        </w:tc>
      </w:tr>
      <w:tr w14:paraId="0AEE20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3C1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414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2CD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FAAD5">
            <w:pPr>
              <w:jc w:val="center"/>
            </w:pPr>
            <w:r>
              <w:rPr>
                <w:rFonts w:ascii="宋体" w:hAnsi="宋体" w:eastAsia="宋体"/>
                <w:sz w:val="16"/>
              </w:rPr>
              <w:t>办公电脑采购数</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A0266">
            <w:pPr>
              <w:jc w:val="center"/>
            </w:pPr>
            <w:r>
              <w:rPr>
                <w:rFonts w:ascii="宋体" w:hAnsi="宋体" w:eastAsia="宋体"/>
                <w:sz w:val="16"/>
              </w:rPr>
              <w:t>8</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F275E7B">
            <w:pPr>
              <w:jc w:val="center"/>
            </w:pPr>
            <w:r>
              <w:rPr>
                <w:rFonts w:ascii="宋体" w:hAnsi="宋体" w:eastAsia="宋体"/>
                <w:sz w:val="16"/>
              </w:rPr>
              <w:t>&lt;=10台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125EE">
            <w:pPr>
              <w:jc w:val="center"/>
            </w:pPr>
            <w:r>
              <w:rPr>
                <w:rFonts w:ascii="宋体" w:hAnsi="宋体" w:eastAsia="宋体"/>
                <w:sz w:val="16"/>
              </w:rPr>
              <w:t>10台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700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BCC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3FA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9538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3C6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FC4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9BDA5">
            <w:pPr>
              <w:jc w:val="center"/>
            </w:pPr>
          </w:p>
        </w:tc>
      </w:tr>
      <w:tr w14:paraId="0DEDE6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B3D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379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953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E2B9C">
            <w:pPr>
              <w:jc w:val="center"/>
            </w:pPr>
            <w:r>
              <w:rPr>
                <w:rFonts w:ascii="宋体" w:hAnsi="宋体" w:eastAsia="宋体"/>
                <w:sz w:val="16"/>
              </w:rPr>
              <w:t>办公设备采购质量合格率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B59C5">
            <w:pPr>
              <w:jc w:val="center"/>
            </w:pPr>
            <w:r>
              <w:rPr>
                <w:rFonts w:ascii="宋体" w:hAnsi="宋体" w:eastAsia="宋体"/>
                <w:sz w:val="16"/>
              </w:rPr>
              <w:t>8</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45F12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B9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C48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AB59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9BA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BBD1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119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8BE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E5464">
            <w:pPr>
              <w:jc w:val="center"/>
            </w:pPr>
          </w:p>
        </w:tc>
      </w:tr>
      <w:tr w14:paraId="4F18E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BBF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8FB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D63D9"/>
        </w:tc>
        <w:tc>
          <w:tcPr>
            <w:tcW w:w="7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AF21B">
            <w:pPr>
              <w:jc w:val="center"/>
            </w:pPr>
            <w:r>
              <w:rPr>
                <w:rFonts w:ascii="宋体" w:hAnsi="宋体" w:eastAsia="宋体"/>
                <w:sz w:val="16"/>
              </w:rPr>
              <w:t>政府采购率</w:t>
            </w:r>
          </w:p>
        </w:tc>
        <w:tc>
          <w:tcPr>
            <w:tcW w:w="526" w:type="dxa"/>
            <w:tcBorders>
              <w:top w:val="single" w:color="auto" w:sz="10" w:space="0"/>
              <w:left w:val="single" w:color="auto" w:sz="10" w:space="0"/>
              <w:bottom w:val="single" w:color="auto" w:sz="10" w:space="0"/>
              <w:right w:val="single" w:color="auto" w:sz="10" w:space="0"/>
              <w:insideV w:val="single" w:sz="10" w:space="0"/>
            </w:tcBorders>
            <w:vAlign w:val="center"/>
          </w:tcPr>
          <w:p w14:paraId="1728C650">
            <w:pPr>
              <w:jc w:val="center"/>
            </w:pPr>
            <w:r>
              <w:rPr>
                <w:rFonts w:ascii="宋体" w:hAnsi="宋体" w:eastAsia="宋体"/>
                <w:sz w:val="16"/>
              </w:rPr>
              <w:t>8</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DB5C8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CB1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7E3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C88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25C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C636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3C7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20F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4EF84">
            <w:pPr>
              <w:jc w:val="center"/>
            </w:pPr>
          </w:p>
        </w:tc>
      </w:tr>
      <w:tr w14:paraId="1F9403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353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116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43A8B">
            <w:pPr>
              <w:jc w:val="center"/>
            </w:pPr>
            <w:r>
              <w:rPr>
                <w:rFonts w:ascii="宋体" w:hAnsi="宋体" w:eastAsia="宋体"/>
                <w:sz w:val="16"/>
              </w:rPr>
              <w:t>时效指标</w:t>
            </w:r>
          </w:p>
        </w:tc>
        <w:tc>
          <w:tcPr>
            <w:tcW w:w="7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641C1">
            <w:pPr>
              <w:jc w:val="center"/>
            </w:pPr>
            <w:r>
              <w:rPr>
                <w:rFonts w:ascii="宋体" w:hAnsi="宋体" w:eastAsia="宋体"/>
                <w:sz w:val="16"/>
              </w:rPr>
              <w:t>办公设备采购完成时间</w:t>
            </w:r>
          </w:p>
        </w:tc>
        <w:tc>
          <w:tcPr>
            <w:tcW w:w="526" w:type="dxa"/>
            <w:tcBorders>
              <w:top w:val="single" w:color="auto" w:sz="10" w:space="0"/>
              <w:left w:val="single" w:color="auto" w:sz="10" w:space="0"/>
              <w:bottom w:val="single" w:color="auto" w:sz="10" w:space="0"/>
              <w:right w:val="single" w:color="auto" w:sz="10" w:space="0"/>
              <w:insideV w:val="single" w:sz="10" w:space="0"/>
            </w:tcBorders>
            <w:vAlign w:val="center"/>
          </w:tcPr>
          <w:p w14:paraId="78947BE6">
            <w:pPr>
              <w:jc w:val="center"/>
            </w:pPr>
            <w:r>
              <w:rPr>
                <w:rFonts w:ascii="宋体" w:hAnsi="宋体" w:eastAsia="宋体"/>
                <w:sz w:val="16"/>
              </w:rPr>
              <w:t>8</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CF32447">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08DEA">
            <w:pPr>
              <w:jc w:val="center"/>
            </w:pPr>
            <w:r>
              <w:rPr>
                <w:rFonts w:ascii="宋体" w:hAnsi="宋体" w:eastAsia="宋体"/>
                <w:sz w:val="16"/>
              </w:rPr>
              <w:t>2024年8月28日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D02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5035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4F4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2210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0B4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9FB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AC17">
            <w:pPr>
              <w:jc w:val="center"/>
            </w:pPr>
          </w:p>
        </w:tc>
      </w:tr>
      <w:tr w14:paraId="5CC70A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A7C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E537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945642">
            <w:pPr>
              <w:jc w:val="center"/>
            </w:pPr>
            <w:r>
              <w:rPr>
                <w:rFonts w:ascii="宋体" w:hAnsi="宋体" w:eastAsia="宋体"/>
                <w:sz w:val="16"/>
              </w:rPr>
              <w:t>经济成本指标</w:t>
            </w:r>
          </w:p>
        </w:tc>
        <w:tc>
          <w:tcPr>
            <w:tcW w:w="7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72025">
            <w:pPr>
              <w:jc w:val="center"/>
            </w:pPr>
            <w:r>
              <w:rPr>
                <w:rFonts w:ascii="宋体" w:hAnsi="宋体" w:eastAsia="宋体"/>
                <w:sz w:val="16"/>
              </w:rPr>
              <w:t>日常办公费</w:t>
            </w:r>
          </w:p>
        </w:tc>
        <w:tc>
          <w:tcPr>
            <w:tcW w:w="526" w:type="dxa"/>
            <w:tcBorders>
              <w:top w:val="single" w:color="auto" w:sz="10" w:space="0"/>
              <w:left w:val="single" w:color="auto" w:sz="10" w:space="0"/>
              <w:bottom w:val="single" w:color="auto" w:sz="10" w:space="0"/>
              <w:right w:val="single" w:color="auto" w:sz="10" w:space="0"/>
              <w:insideV w:val="single" w:sz="10" w:space="0"/>
            </w:tcBorders>
            <w:vAlign w:val="center"/>
          </w:tcPr>
          <w:p w14:paraId="5E1BB36B">
            <w:pPr>
              <w:jc w:val="center"/>
            </w:pPr>
            <w:r>
              <w:rPr>
                <w:rFonts w:ascii="宋体" w:hAnsi="宋体" w:eastAsia="宋体"/>
                <w:sz w:val="16"/>
              </w:rPr>
              <w:t>4</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3636AA4">
            <w:pPr>
              <w:jc w:val="center"/>
            </w:pPr>
            <w:r>
              <w:rPr>
                <w:rFonts w:ascii="宋体" w:hAnsi="宋体" w:eastAsia="宋体"/>
                <w:sz w:val="16"/>
              </w:rPr>
              <w:t>&lt;=65.39万元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A7AA0">
            <w:pPr>
              <w:jc w:val="center"/>
            </w:pPr>
            <w:r>
              <w:rPr>
                <w:rFonts w:ascii="宋体" w:hAnsi="宋体" w:eastAsia="宋体"/>
                <w:sz w:val="16"/>
              </w:rPr>
              <w:t>65.39万元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97E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A0C7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7A3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6A0A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00E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AD0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9B4ED">
            <w:pPr>
              <w:jc w:val="center"/>
            </w:pPr>
          </w:p>
        </w:tc>
      </w:tr>
      <w:tr w14:paraId="0C5652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3DC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7C0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07FD1"/>
        </w:tc>
        <w:tc>
          <w:tcPr>
            <w:tcW w:w="7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FD6CF">
            <w:pPr>
              <w:jc w:val="center"/>
            </w:pPr>
            <w:r>
              <w:rPr>
                <w:rFonts w:ascii="宋体" w:hAnsi="宋体" w:eastAsia="宋体"/>
                <w:sz w:val="16"/>
              </w:rPr>
              <w:t>争取对接项目差旅费</w:t>
            </w:r>
          </w:p>
        </w:tc>
        <w:tc>
          <w:tcPr>
            <w:tcW w:w="526" w:type="dxa"/>
            <w:tcBorders>
              <w:top w:val="single" w:color="auto" w:sz="10" w:space="0"/>
              <w:left w:val="single" w:color="auto" w:sz="10" w:space="0"/>
              <w:bottom w:val="single" w:color="auto" w:sz="10" w:space="0"/>
              <w:right w:val="single" w:color="auto" w:sz="10" w:space="0"/>
              <w:insideV w:val="single" w:sz="10" w:space="0"/>
            </w:tcBorders>
            <w:vAlign w:val="center"/>
          </w:tcPr>
          <w:p w14:paraId="55078EA4">
            <w:pPr>
              <w:jc w:val="center"/>
            </w:pPr>
            <w:r>
              <w:rPr>
                <w:rFonts w:ascii="宋体" w:hAnsi="宋体" w:eastAsia="宋体"/>
                <w:sz w:val="16"/>
              </w:rPr>
              <w:t>2</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1D2FEC3">
            <w:pPr>
              <w:jc w:val="center"/>
            </w:pPr>
            <w:r>
              <w:rPr>
                <w:rFonts w:ascii="宋体" w:hAnsi="宋体" w:eastAsia="宋体"/>
                <w:sz w:val="16"/>
              </w:rPr>
              <w:t>&lt;=2.75万元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416CF">
            <w:pPr>
              <w:jc w:val="center"/>
            </w:pPr>
            <w:r>
              <w:rPr>
                <w:rFonts w:ascii="宋体" w:hAnsi="宋体" w:eastAsia="宋体"/>
                <w:sz w:val="16"/>
              </w:rPr>
              <w:t>2.75万元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A45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0BCE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0A0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55D0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CC7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8EC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85458">
            <w:pPr>
              <w:jc w:val="center"/>
            </w:pPr>
          </w:p>
        </w:tc>
      </w:tr>
      <w:tr w14:paraId="5CBD89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51F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B1F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3F1A7"/>
        </w:tc>
        <w:tc>
          <w:tcPr>
            <w:tcW w:w="7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1E05A">
            <w:pPr>
              <w:jc w:val="center"/>
            </w:pPr>
            <w:r>
              <w:rPr>
                <w:rFonts w:ascii="宋体" w:hAnsi="宋体" w:eastAsia="宋体"/>
                <w:sz w:val="16"/>
              </w:rPr>
              <w:t>保障公务车用车经费</w:t>
            </w:r>
          </w:p>
        </w:tc>
        <w:tc>
          <w:tcPr>
            <w:tcW w:w="526" w:type="dxa"/>
            <w:tcBorders>
              <w:top w:val="single" w:color="auto" w:sz="10" w:space="0"/>
              <w:left w:val="single" w:color="auto" w:sz="10" w:space="0"/>
              <w:bottom w:val="single" w:color="auto" w:sz="10" w:space="0"/>
              <w:right w:val="single" w:color="auto" w:sz="10" w:space="0"/>
              <w:insideV w:val="single" w:sz="10" w:space="0"/>
            </w:tcBorders>
            <w:vAlign w:val="center"/>
          </w:tcPr>
          <w:p w14:paraId="58F0C6C6">
            <w:pPr>
              <w:jc w:val="center"/>
            </w:pPr>
            <w:r>
              <w:rPr>
                <w:rFonts w:ascii="宋体" w:hAnsi="宋体" w:eastAsia="宋体"/>
                <w:sz w:val="16"/>
              </w:rPr>
              <w:t>3</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C61ECA7">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547E8">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E4C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AA57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294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0BAA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5F1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B1F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17B7C">
            <w:pPr>
              <w:jc w:val="center"/>
            </w:pPr>
          </w:p>
        </w:tc>
      </w:tr>
      <w:tr w14:paraId="5617B3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72F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2E2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152BC"/>
        </w:tc>
        <w:tc>
          <w:tcPr>
            <w:tcW w:w="7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20A0D">
            <w:pPr>
              <w:jc w:val="center"/>
            </w:pPr>
            <w:r>
              <w:rPr>
                <w:rFonts w:ascii="宋体" w:hAnsi="宋体" w:eastAsia="宋体"/>
                <w:sz w:val="16"/>
              </w:rPr>
              <w:t>采购办公设备资金</w:t>
            </w:r>
          </w:p>
        </w:tc>
        <w:tc>
          <w:tcPr>
            <w:tcW w:w="526" w:type="dxa"/>
            <w:tcBorders>
              <w:top w:val="single" w:color="auto" w:sz="10" w:space="0"/>
              <w:left w:val="single" w:color="auto" w:sz="10" w:space="0"/>
              <w:bottom w:val="single" w:color="auto" w:sz="10" w:space="0"/>
              <w:right w:val="single" w:color="auto" w:sz="10" w:space="0"/>
              <w:insideV w:val="single" w:sz="10" w:space="0"/>
            </w:tcBorders>
            <w:vAlign w:val="center"/>
          </w:tcPr>
          <w:p w14:paraId="0229D9CE">
            <w:pPr>
              <w:jc w:val="center"/>
            </w:pPr>
            <w:r>
              <w:rPr>
                <w:rFonts w:ascii="宋体" w:hAnsi="宋体" w:eastAsia="宋体"/>
                <w:sz w:val="16"/>
              </w:rPr>
              <w:t>3</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05B09A9">
            <w:pPr>
              <w:jc w:val="center"/>
            </w:pPr>
            <w:r>
              <w:rPr>
                <w:rFonts w:ascii="宋体" w:hAnsi="宋体" w:eastAsia="宋体"/>
                <w:sz w:val="16"/>
              </w:rPr>
              <w:t>&lt;=6.58万元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8743C">
            <w:pPr>
              <w:jc w:val="center"/>
            </w:pPr>
            <w:r>
              <w:rPr>
                <w:rFonts w:ascii="宋体" w:hAnsi="宋体" w:eastAsia="宋体"/>
                <w:sz w:val="16"/>
              </w:rPr>
              <w:t>6.58万元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DA2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06F6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453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12CC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B9B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5E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36A9E">
            <w:pPr>
              <w:jc w:val="center"/>
            </w:pPr>
          </w:p>
        </w:tc>
      </w:tr>
      <w:tr w14:paraId="082DE5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272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D3B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0875A"/>
        </w:tc>
        <w:tc>
          <w:tcPr>
            <w:tcW w:w="7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50706">
            <w:pPr>
              <w:jc w:val="center"/>
            </w:pPr>
            <w:r>
              <w:rPr>
                <w:rFonts w:ascii="宋体" w:hAnsi="宋体" w:eastAsia="宋体"/>
                <w:sz w:val="16"/>
              </w:rPr>
              <w:t>咨询费、专家评审费</w:t>
            </w:r>
          </w:p>
        </w:tc>
        <w:tc>
          <w:tcPr>
            <w:tcW w:w="526" w:type="dxa"/>
            <w:tcBorders>
              <w:top w:val="single" w:color="auto" w:sz="10" w:space="0"/>
              <w:left w:val="single" w:color="auto" w:sz="10" w:space="0"/>
              <w:bottom w:val="single" w:color="auto" w:sz="10" w:space="0"/>
              <w:right w:val="single" w:color="auto" w:sz="10" w:space="0"/>
              <w:insideV w:val="single" w:sz="10" w:space="0"/>
            </w:tcBorders>
            <w:vAlign w:val="center"/>
          </w:tcPr>
          <w:p w14:paraId="0D803968">
            <w:pPr>
              <w:jc w:val="center"/>
            </w:pPr>
            <w:r>
              <w:rPr>
                <w:rFonts w:ascii="宋体" w:hAnsi="宋体" w:eastAsia="宋体"/>
                <w:sz w:val="16"/>
              </w:rPr>
              <w:t>4</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9EF1C58">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7DF02">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0F9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4FCA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737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55B9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12F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62B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FDAE5">
            <w:pPr>
              <w:jc w:val="center"/>
            </w:pPr>
          </w:p>
        </w:tc>
      </w:tr>
      <w:tr w14:paraId="59E033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CBA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A67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49B48"/>
        </w:tc>
        <w:tc>
          <w:tcPr>
            <w:tcW w:w="7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50E54">
            <w:pPr>
              <w:jc w:val="center"/>
            </w:pPr>
            <w:r>
              <w:rPr>
                <w:rFonts w:ascii="宋体" w:hAnsi="宋体" w:eastAsia="宋体"/>
                <w:sz w:val="16"/>
              </w:rPr>
              <w:t>电子政务外网经费</w:t>
            </w:r>
          </w:p>
        </w:tc>
        <w:tc>
          <w:tcPr>
            <w:tcW w:w="526" w:type="dxa"/>
            <w:tcBorders>
              <w:top w:val="single" w:color="auto" w:sz="10" w:space="0"/>
              <w:left w:val="single" w:color="auto" w:sz="10" w:space="0"/>
              <w:bottom w:val="single" w:color="auto" w:sz="10" w:space="0"/>
              <w:right w:val="single" w:color="auto" w:sz="10" w:space="0"/>
              <w:insideV w:val="single" w:sz="10" w:space="0"/>
            </w:tcBorders>
            <w:vAlign w:val="center"/>
          </w:tcPr>
          <w:p w14:paraId="2901F44F">
            <w:pPr>
              <w:jc w:val="center"/>
            </w:pPr>
            <w:r>
              <w:rPr>
                <w:rFonts w:ascii="宋体" w:hAnsi="宋体" w:eastAsia="宋体"/>
                <w:sz w:val="16"/>
              </w:rPr>
              <w:t>4</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6E01463">
            <w:pPr>
              <w:jc w:val="center"/>
            </w:pPr>
            <w:r>
              <w:rPr>
                <w:rFonts w:ascii="宋体" w:hAnsi="宋体" w:eastAsia="宋体"/>
                <w:sz w:val="16"/>
              </w:rPr>
              <w:t>&lt;=0.28万元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63B4F">
            <w:pPr>
              <w:jc w:val="center"/>
            </w:pPr>
            <w:r>
              <w:rPr>
                <w:rFonts w:ascii="宋体" w:hAnsi="宋体" w:eastAsia="宋体"/>
                <w:sz w:val="16"/>
              </w:rPr>
              <w:t>0.28万元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3F6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E41A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E84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F47D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E34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AB3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0B1C4">
            <w:pPr>
              <w:jc w:val="center"/>
            </w:pPr>
          </w:p>
        </w:tc>
      </w:tr>
      <w:tr w14:paraId="580C4A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C0C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D600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07B21">
            <w:pPr>
              <w:jc w:val="center"/>
            </w:pPr>
            <w:r>
              <w:rPr>
                <w:rFonts w:ascii="宋体" w:hAnsi="宋体" w:eastAsia="宋体"/>
                <w:sz w:val="16"/>
              </w:rPr>
              <w:t>社会效益指标</w:t>
            </w:r>
          </w:p>
        </w:tc>
        <w:tc>
          <w:tcPr>
            <w:tcW w:w="7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960E9">
            <w:pPr>
              <w:jc w:val="center"/>
            </w:pPr>
            <w:r>
              <w:rPr>
                <w:rFonts w:ascii="宋体" w:hAnsi="宋体" w:eastAsia="宋体"/>
                <w:sz w:val="16"/>
              </w:rPr>
              <w:t>保障机关正常运转</w:t>
            </w:r>
          </w:p>
        </w:tc>
        <w:tc>
          <w:tcPr>
            <w:tcW w:w="526" w:type="dxa"/>
            <w:tcBorders>
              <w:top w:val="single" w:color="auto" w:sz="10" w:space="0"/>
              <w:left w:val="single" w:color="auto" w:sz="10" w:space="0"/>
              <w:bottom w:val="single" w:color="auto" w:sz="10" w:space="0"/>
              <w:right w:val="single" w:color="auto" w:sz="10" w:space="0"/>
              <w:insideV w:val="single" w:sz="10" w:space="0"/>
            </w:tcBorders>
            <w:vAlign w:val="center"/>
          </w:tcPr>
          <w:p w14:paraId="10974D67">
            <w:pPr>
              <w:jc w:val="center"/>
            </w:pPr>
            <w:r>
              <w:rPr>
                <w:rFonts w:ascii="宋体" w:hAnsi="宋体" w:eastAsia="宋体"/>
                <w:sz w:val="16"/>
              </w:rPr>
              <w:t>30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D8BF1C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559DB">
            <w:pPr>
              <w:jc w:val="center"/>
            </w:pPr>
            <w:r>
              <w:rPr>
                <w:rFonts w:ascii="宋体" w:hAnsi="宋体" w:eastAsia="宋体"/>
                <w:sz w:val="16"/>
              </w:rPr>
              <w:t>有所保障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293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5128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7C0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C7CA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E155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8A3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1718">
            <w:pPr>
              <w:jc w:val="center"/>
            </w:pPr>
          </w:p>
        </w:tc>
      </w:tr>
      <w:tr w14:paraId="2A7D8089">
        <w:tblPrEx>
          <w:tblCellMar>
            <w:top w:w="0" w:type="dxa"/>
            <w:left w:w="108" w:type="dxa"/>
            <w:bottom w:w="0" w:type="dxa"/>
            <w:right w:w="108" w:type="dxa"/>
          </w:tblCellMar>
        </w:tblPrEx>
        <w:tc>
          <w:tcPr>
            <w:tcW w:w="263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662DFD">
            <w:pPr>
              <w:jc w:val="center"/>
            </w:pPr>
            <w:r>
              <w:rPr>
                <w:rFonts w:ascii="宋体" w:hAnsi="宋体" w:eastAsia="宋体"/>
                <w:sz w:val="16"/>
              </w:rPr>
              <w:t>总分</w:t>
            </w:r>
          </w:p>
        </w:tc>
        <w:tc>
          <w:tcPr>
            <w:tcW w:w="526" w:type="dxa"/>
            <w:tcBorders>
              <w:top w:val="single" w:color="auto" w:sz="10" w:space="0"/>
              <w:left w:val="single" w:color="auto" w:sz="10" w:space="0"/>
              <w:bottom w:val="single" w:color="auto" w:sz="10" w:space="0"/>
              <w:right w:val="single" w:color="auto" w:sz="10" w:space="0"/>
              <w:insideV w:val="single" w:sz="10" w:space="0"/>
            </w:tcBorders>
            <w:vAlign w:val="center"/>
          </w:tcPr>
          <w:p w14:paraId="06A64666">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6C6B03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ABBE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F94F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079C1">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2601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949E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AAD9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75B6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5E2C83"/>
        </w:tc>
      </w:tr>
    </w:tbl>
    <w:p w14:paraId="0F12859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3725A3B">
        <w:tblPrEx>
          <w:tblCellMar>
            <w:top w:w="0" w:type="dxa"/>
            <w:left w:w="108" w:type="dxa"/>
            <w:bottom w:w="0" w:type="dxa"/>
            <w:right w:w="108" w:type="dxa"/>
          </w:tblCellMar>
        </w:tblPrEx>
        <w:tc>
          <w:tcPr>
            <w:tcW w:w="8848" w:type="dxa"/>
            <w:gridSpan w:val="14"/>
            <w:vAlign w:val="center"/>
          </w:tcPr>
          <w:p w14:paraId="36CA7C13">
            <w:pPr>
              <w:jc w:val="center"/>
            </w:pPr>
            <w:r>
              <w:rPr>
                <w:rFonts w:ascii="宋体" w:hAnsi="宋体" w:eastAsia="宋体"/>
                <w:sz w:val="24"/>
              </w:rPr>
              <w:t>项目支出绩效自评表</w:t>
            </w:r>
          </w:p>
        </w:tc>
      </w:tr>
      <w:tr w14:paraId="5FAE5F49">
        <w:tblPrEx>
          <w:tblCellMar>
            <w:top w:w="0" w:type="dxa"/>
            <w:left w:w="108" w:type="dxa"/>
            <w:bottom w:w="0" w:type="dxa"/>
            <w:right w:w="108" w:type="dxa"/>
          </w:tblCellMar>
        </w:tblPrEx>
        <w:tc>
          <w:tcPr>
            <w:tcW w:w="8848" w:type="dxa"/>
            <w:gridSpan w:val="14"/>
            <w:vAlign w:val="center"/>
          </w:tcPr>
          <w:p w14:paraId="3E634403">
            <w:pPr>
              <w:jc w:val="center"/>
            </w:pPr>
            <w:r>
              <w:rPr>
                <w:rFonts w:ascii="宋体" w:hAnsi="宋体" w:eastAsia="宋体"/>
                <w:sz w:val="24"/>
              </w:rPr>
              <w:t>(2024年度)</w:t>
            </w:r>
          </w:p>
        </w:tc>
      </w:tr>
      <w:tr w14:paraId="217349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DE6D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F8FBD0">
            <w:pPr>
              <w:jc w:val="center"/>
            </w:pPr>
            <w:r>
              <w:rPr>
                <w:rFonts w:ascii="宋体" w:hAnsi="宋体" w:eastAsia="宋体"/>
                <w:sz w:val="16"/>
              </w:rPr>
              <w:t>县级储备粮贷款利息及保管费用（含成品粮）</w:t>
            </w:r>
          </w:p>
        </w:tc>
      </w:tr>
      <w:tr w14:paraId="715443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F3DA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0B396F">
            <w:pPr>
              <w:jc w:val="center"/>
            </w:pPr>
            <w:r>
              <w:rPr>
                <w:rFonts w:ascii="宋体" w:hAnsi="宋体" w:eastAsia="宋体"/>
                <w:sz w:val="16"/>
              </w:rPr>
              <w:t>霍城县发展和改革委员会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DF8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83F15A">
            <w:pPr>
              <w:jc w:val="center"/>
            </w:pPr>
            <w:r>
              <w:rPr>
                <w:rFonts w:ascii="宋体" w:hAnsi="宋体" w:eastAsia="宋体"/>
                <w:sz w:val="16"/>
              </w:rPr>
              <w:t>霍城县发展和改革委员会</w:t>
            </w:r>
          </w:p>
        </w:tc>
      </w:tr>
      <w:tr w14:paraId="1462AF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D317EF">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5304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500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F781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CDD7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0BFD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632C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1A398">
            <w:pPr>
              <w:jc w:val="center"/>
            </w:pPr>
            <w:r>
              <w:rPr>
                <w:rFonts w:ascii="宋体" w:hAnsi="宋体" w:eastAsia="宋体"/>
                <w:sz w:val="16"/>
              </w:rPr>
              <w:t>得分</w:t>
            </w:r>
          </w:p>
        </w:tc>
      </w:tr>
      <w:tr w14:paraId="426B26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59B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89C9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83F86">
            <w:pPr>
              <w:jc w:val="center"/>
            </w:pPr>
            <w:r>
              <w:rPr>
                <w:rFonts w:ascii="宋体" w:hAnsi="宋体" w:eastAsia="宋体"/>
                <w:sz w:val="16"/>
              </w:rPr>
              <w:t>182.80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06DE7">
            <w:pPr>
              <w:jc w:val="center"/>
            </w:pPr>
            <w:r>
              <w:rPr>
                <w:rFonts w:ascii="宋体" w:hAnsi="宋体" w:eastAsia="宋体"/>
                <w:sz w:val="16"/>
              </w:rPr>
              <w:t>182.80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96C4C">
            <w:pPr>
              <w:jc w:val="center"/>
            </w:pPr>
            <w:r>
              <w:rPr>
                <w:rFonts w:ascii="宋体" w:hAnsi="宋体" w:eastAsia="宋体"/>
                <w:sz w:val="16"/>
              </w:rPr>
              <w:t>182.80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C00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330A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91604">
            <w:pPr>
              <w:jc w:val="center"/>
            </w:pPr>
            <w:r>
              <w:rPr>
                <w:rFonts w:ascii="宋体" w:hAnsi="宋体" w:eastAsia="宋体"/>
                <w:sz w:val="16"/>
              </w:rPr>
              <w:t>10.00</w:t>
            </w:r>
          </w:p>
        </w:tc>
      </w:tr>
      <w:tr w14:paraId="43670A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BD6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3891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9FD8D">
            <w:pPr>
              <w:jc w:val="center"/>
            </w:pPr>
            <w:r>
              <w:rPr>
                <w:rFonts w:ascii="宋体" w:hAnsi="宋体" w:eastAsia="宋体"/>
                <w:sz w:val="16"/>
              </w:rPr>
              <w:t>182.80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19E6F">
            <w:pPr>
              <w:jc w:val="center"/>
            </w:pPr>
            <w:r>
              <w:rPr>
                <w:rFonts w:ascii="宋体" w:hAnsi="宋体" w:eastAsia="宋体"/>
                <w:sz w:val="16"/>
              </w:rPr>
              <w:t>182.80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69469">
            <w:pPr>
              <w:jc w:val="center"/>
            </w:pPr>
            <w:r>
              <w:rPr>
                <w:rFonts w:ascii="宋体" w:hAnsi="宋体" w:eastAsia="宋体"/>
                <w:sz w:val="16"/>
              </w:rPr>
              <w:t>182.80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C55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B6C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CE84">
            <w:pPr>
              <w:jc w:val="center"/>
            </w:pPr>
            <w:r>
              <w:rPr>
                <w:rFonts w:ascii="宋体" w:hAnsi="宋体" w:eastAsia="宋体"/>
                <w:sz w:val="16"/>
              </w:rPr>
              <w:t>—</w:t>
            </w:r>
          </w:p>
        </w:tc>
      </w:tr>
      <w:tr w14:paraId="262966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838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D07A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BF6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22E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D02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D1C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820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5480D">
            <w:pPr>
              <w:jc w:val="center"/>
            </w:pPr>
            <w:r>
              <w:rPr>
                <w:rFonts w:ascii="宋体" w:hAnsi="宋体" w:eastAsia="宋体"/>
                <w:sz w:val="16"/>
              </w:rPr>
              <w:t>—</w:t>
            </w:r>
          </w:p>
        </w:tc>
      </w:tr>
      <w:tr w14:paraId="7E6650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A45D5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209DD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A474EF">
            <w:pPr>
              <w:jc w:val="center"/>
            </w:pPr>
            <w:r>
              <w:rPr>
                <w:rFonts w:ascii="宋体" w:hAnsi="宋体" w:eastAsia="宋体"/>
                <w:sz w:val="16"/>
              </w:rPr>
              <w:t>实际完成情况</w:t>
            </w:r>
          </w:p>
        </w:tc>
      </w:tr>
      <w:tr w14:paraId="2B699B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9F70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D5BA6C">
            <w:pPr>
              <w:jc w:val="both"/>
            </w:pPr>
            <w:r>
              <w:rPr>
                <w:rFonts w:ascii="宋体" w:hAnsi="宋体" w:eastAsia="宋体"/>
                <w:sz w:val="16"/>
              </w:rPr>
              <w:t>县级储备粮是县政府储备的用于在本区域内调控市场或者遇有重大自然灾害和突发事件等情况时，保障供应的粮食。加强县级储备粮的管理，确保县级储备粮的安全，维护粮食市场稳定，有效发挥县级储备粮在宏观调控中的作用。</w:t>
            </w:r>
            <w:r>
              <w:rPr>
                <w:rFonts w:ascii="宋体" w:hAnsi="宋体" w:eastAsia="宋体"/>
                <w:sz w:val="16"/>
              </w:rPr>
              <w:br w:type="textWrapping"/>
            </w:r>
            <w:r>
              <w:rPr>
                <w:rFonts w:ascii="宋体" w:hAnsi="宋体" w:eastAsia="宋体"/>
                <w:sz w:val="16"/>
              </w:rPr>
              <w:t>目标 1:支付粮食贷款利息、保管费用补贴。</w:t>
            </w:r>
            <w:r>
              <w:rPr>
                <w:rFonts w:ascii="宋体" w:hAnsi="宋体" w:eastAsia="宋体"/>
                <w:sz w:val="16"/>
              </w:rPr>
              <w:br w:type="textWrapping"/>
            </w:r>
            <w:r>
              <w:rPr>
                <w:rFonts w:ascii="宋体" w:hAnsi="宋体" w:eastAsia="宋体"/>
                <w:sz w:val="16"/>
              </w:rPr>
              <w:t>目标 2:保障储备粮安全。</w:t>
            </w:r>
            <w:r>
              <w:rPr>
                <w:rFonts w:ascii="宋体" w:hAnsi="宋体" w:eastAsia="宋体"/>
                <w:sz w:val="16"/>
              </w:rPr>
              <w:br w:type="textWrapping"/>
            </w:r>
            <w:r>
              <w:rPr>
                <w:rFonts w:ascii="宋体" w:hAnsi="宋体" w:eastAsia="宋体"/>
                <w:sz w:val="16"/>
              </w:rPr>
              <w:t>目标 3:维护粮食市场稳定。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18E2E2">
            <w:pPr>
              <w:jc w:val="both"/>
            </w:pPr>
            <w:r>
              <w:rPr>
                <w:rFonts w:ascii="宋体" w:hAnsi="宋体" w:eastAsia="宋体"/>
                <w:sz w:val="16"/>
              </w:rPr>
              <w:t>2024年完成县级储备原粮7500吨，成品粮储备1280吨，县级储备粮的稳定储备对于保障地区粮食安全、稳定粮食市场具有不可替代的重要意义。</w:t>
            </w:r>
            <w:r>
              <w:rPr>
                <w:rFonts w:hint="eastAsia" w:ascii="宋体" w:hAnsi="宋体"/>
                <w:sz w:val="16"/>
                <w:lang w:eastAsia="zh-CN"/>
              </w:rPr>
              <w:t>本单位</w:t>
            </w:r>
            <w:r>
              <w:rPr>
                <w:rFonts w:ascii="宋体" w:hAnsi="宋体" w:eastAsia="宋体"/>
                <w:sz w:val="16"/>
              </w:rPr>
              <w:t>按照职能履行监管职责，2024年共计开展检查4次，督促整改存在的安全隐患。及时支付原粮贷款利息及成品粮油保管费，保障企业的正常生产经营。</w:t>
            </w:r>
          </w:p>
        </w:tc>
      </w:tr>
      <w:tr w14:paraId="696D40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68B0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C2E5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2531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918A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A306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A38BC">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BA4C2">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ABB1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7540">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C3F6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F86B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E478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1277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75582">
            <w:pPr>
              <w:jc w:val="center"/>
            </w:pPr>
            <w:r>
              <w:rPr>
                <w:rFonts w:ascii="宋体" w:hAnsi="宋体" w:eastAsia="宋体"/>
                <w:sz w:val="16"/>
              </w:rPr>
              <w:t>偏差原因分析及改进措施</w:t>
            </w:r>
          </w:p>
        </w:tc>
      </w:tr>
      <w:tr w14:paraId="304A97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7589D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F7BF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8CC4E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51DF1">
            <w:pPr>
              <w:jc w:val="center"/>
            </w:pPr>
            <w:r>
              <w:rPr>
                <w:rFonts w:ascii="宋体" w:hAnsi="宋体" w:eastAsia="宋体"/>
                <w:sz w:val="16"/>
              </w:rPr>
              <w:t>县级储备粮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955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EEF91">
            <w:pPr>
              <w:jc w:val="center"/>
            </w:pPr>
            <w:r>
              <w:rPr>
                <w:rFonts w:ascii="宋体" w:hAnsi="宋体" w:eastAsia="宋体"/>
                <w:sz w:val="16"/>
              </w:rPr>
              <w:t>=7500吨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016A9">
            <w:pPr>
              <w:jc w:val="center"/>
            </w:pPr>
            <w:r>
              <w:rPr>
                <w:rFonts w:ascii="宋体" w:hAnsi="宋体" w:eastAsia="宋体"/>
                <w:sz w:val="16"/>
              </w:rPr>
              <w:t>7500吨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B72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46EE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0DF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20D86">
            <w:pPr>
              <w:jc w:val="center"/>
            </w:pPr>
            <w:r>
              <w:rPr>
                <w:rFonts w:ascii="宋体" w:hAnsi="宋体" w:eastAsia="宋体"/>
                <w:sz w:val="16"/>
              </w:rPr>
              <w:t>7500吨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FEB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106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FE6B4">
            <w:pPr>
              <w:jc w:val="center"/>
            </w:pPr>
          </w:p>
        </w:tc>
      </w:tr>
      <w:tr w14:paraId="305803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759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D02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74B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45B4F">
            <w:pPr>
              <w:jc w:val="center"/>
            </w:pPr>
            <w:r>
              <w:rPr>
                <w:rFonts w:ascii="宋体" w:hAnsi="宋体" w:eastAsia="宋体"/>
                <w:sz w:val="16"/>
              </w:rPr>
              <w:t>成品储备粮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0C7E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87796">
            <w:pPr>
              <w:jc w:val="center"/>
            </w:pPr>
            <w:r>
              <w:rPr>
                <w:rFonts w:ascii="宋体" w:hAnsi="宋体" w:eastAsia="宋体"/>
                <w:sz w:val="16"/>
              </w:rPr>
              <w:t>=1280吨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5084B">
            <w:pPr>
              <w:jc w:val="center"/>
            </w:pPr>
            <w:r>
              <w:rPr>
                <w:rFonts w:ascii="宋体" w:hAnsi="宋体" w:eastAsia="宋体"/>
                <w:sz w:val="16"/>
              </w:rPr>
              <w:t>1280吨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29F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5C0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FF8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E4376">
            <w:pPr>
              <w:jc w:val="center"/>
            </w:pPr>
            <w:r>
              <w:rPr>
                <w:rFonts w:ascii="宋体" w:hAnsi="宋体" w:eastAsia="宋体"/>
                <w:sz w:val="16"/>
              </w:rPr>
              <w:t>1280吨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080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166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CB1A1">
            <w:pPr>
              <w:jc w:val="center"/>
            </w:pPr>
          </w:p>
        </w:tc>
      </w:tr>
      <w:tr w14:paraId="3F2D49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CE1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119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05E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003F9">
            <w:pPr>
              <w:jc w:val="center"/>
            </w:pPr>
            <w:r>
              <w:rPr>
                <w:rFonts w:ascii="宋体" w:hAnsi="宋体" w:eastAsia="宋体"/>
                <w:sz w:val="16"/>
              </w:rPr>
              <w:t>县级储备粮承储站点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6D0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F173D">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EAD8F">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C8F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FC2C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700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46C34">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8B2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99F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D7D3A">
            <w:pPr>
              <w:jc w:val="center"/>
            </w:pPr>
          </w:p>
        </w:tc>
      </w:tr>
      <w:tr w14:paraId="608B5A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47F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07D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3880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92BD4">
            <w:pPr>
              <w:jc w:val="center"/>
            </w:pPr>
            <w:r>
              <w:rPr>
                <w:rFonts w:ascii="宋体" w:hAnsi="宋体" w:eastAsia="宋体"/>
                <w:sz w:val="16"/>
              </w:rPr>
              <w:t>储备粮质量验收合格率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7676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E69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91F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680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71F7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CDE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6F4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2AD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2AC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60D4C">
            <w:pPr>
              <w:jc w:val="center"/>
            </w:pPr>
          </w:p>
        </w:tc>
      </w:tr>
      <w:tr w14:paraId="49A9DB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E46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6EF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B37B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A66F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BE1B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774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621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E7B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AD7C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9CE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DEB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BDF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BF7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53B79">
            <w:pPr>
              <w:jc w:val="center"/>
            </w:pPr>
          </w:p>
        </w:tc>
      </w:tr>
      <w:tr w14:paraId="50F432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F4D9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3CEE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1F44A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99160">
            <w:pPr>
              <w:jc w:val="center"/>
            </w:pPr>
            <w:r>
              <w:rPr>
                <w:rFonts w:ascii="宋体" w:hAnsi="宋体" w:eastAsia="宋体"/>
                <w:sz w:val="16"/>
              </w:rPr>
              <w:t>原粮保管费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9DF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FD258">
            <w:pPr>
              <w:jc w:val="center"/>
            </w:pPr>
            <w:r>
              <w:rPr>
                <w:rFonts w:ascii="宋体" w:hAnsi="宋体" w:eastAsia="宋体"/>
                <w:sz w:val="16"/>
              </w:rPr>
              <w:t>=145万元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AC036">
            <w:pPr>
              <w:jc w:val="center"/>
            </w:pPr>
            <w:r>
              <w:rPr>
                <w:rFonts w:ascii="宋体" w:hAnsi="宋体" w:eastAsia="宋体"/>
                <w:sz w:val="16"/>
              </w:rPr>
              <w:t>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C01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344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573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0D666">
            <w:pPr>
              <w:jc w:val="center"/>
            </w:pPr>
            <w:r>
              <w:rPr>
                <w:rFonts w:ascii="宋体" w:hAnsi="宋体" w:eastAsia="宋体"/>
                <w:sz w:val="16"/>
              </w:rPr>
              <w: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E3C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7BC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6614C">
            <w:pPr>
              <w:jc w:val="center"/>
            </w:pPr>
          </w:p>
        </w:tc>
      </w:tr>
      <w:tr w14:paraId="58B08D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D23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51F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DEA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901D4">
            <w:pPr>
              <w:jc w:val="center"/>
            </w:pPr>
            <w:r>
              <w:rPr>
                <w:rFonts w:ascii="宋体" w:hAnsi="宋体" w:eastAsia="宋体"/>
                <w:sz w:val="16"/>
              </w:rPr>
              <w:t>成品粮油轮换及保管费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AED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D7CF8">
            <w:pPr>
              <w:jc w:val="center"/>
            </w:pPr>
            <w:r>
              <w:rPr>
                <w:rFonts w:ascii="宋体" w:hAnsi="宋体" w:eastAsia="宋体"/>
                <w:sz w:val="16"/>
              </w:rPr>
              <w:t>=37.8万元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E4E68">
            <w:pPr>
              <w:jc w:val="center"/>
            </w:pPr>
            <w:r>
              <w:rPr>
                <w:rFonts w:ascii="宋体" w:hAnsi="宋体" w:eastAsia="宋体"/>
                <w:sz w:val="16"/>
              </w:rPr>
              <w:t>37.8万元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68E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EAC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EE8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F488E">
            <w:pPr>
              <w:jc w:val="center"/>
            </w:pPr>
            <w:r>
              <w:rPr>
                <w:rFonts w:ascii="宋体" w:hAnsi="宋体" w:eastAsia="宋体"/>
                <w:sz w:val="16"/>
              </w:rPr>
              <w:t>12.8万元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11F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06F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C76F9">
            <w:pPr>
              <w:jc w:val="center"/>
            </w:pPr>
          </w:p>
        </w:tc>
      </w:tr>
      <w:tr w14:paraId="01A01D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2AF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5F8D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974A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5BA86">
            <w:pPr>
              <w:jc w:val="center"/>
            </w:pPr>
            <w:r>
              <w:rPr>
                <w:rFonts w:ascii="宋体" w:hAnsi="宋体" w:eastAsia="宋体"/>
                <w:sz w:val="16"/>
              </w:rPr>
              <w:t>确保县级储备粮的安全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2456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DBC5E">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7C7D2">
            <w:pPr>
              <w:jc w:val="center"/>
            </w:pPr>
            <w:r>
              <w:rPr>
                <w:rFonts w:ascii="宋体" w:hAnsi="宋体" w:eastAsia="宋体"/>
                <w:sz w:val="16"/>
              </w:rPr>
              <w:t>有所保障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66E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F53DB">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887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97C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9A2A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92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B3893">
            <w:pPr>
              <w:jc w:val="center"/>
            </w:pPr>
          </w:p>
        </w:tc>
      </w:tr>
      <w:tr w14:paraId="069514B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270AD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1A2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7062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01CB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15C0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81860">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5DD2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C016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3BDD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10BCA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4BC02F"/>
        </w:tc>
      </w:tr>
    </w:tbl>
    <w:p w14:paraId="25B9A40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26BF0A73">
        <w:tblPrEx>
          <w:tblCellMar>
            <w:top w:w="0" w:type="dxa"/>
            <w:left w:w="108" w:type="dxa"/>
            <w:bottom w:w="0" w:type="dxa"/>
            <w:right w:w="108" w:type="dxa"/>
          </w:tblCellMar>
        </w:tblPrEx>
        <w:tc>
          <w:tcPr>
            <w:tcW w:w="8848" w:type="dxa"/>
            <w:gridSpan w:val="14"/>
            <w:vAlign w:val="center"/>
          </w:tcPr>
          <w:p w14:paraId="4609417C">
            <w:pPr>
              <w:jc w:val="center"/>
            </w:pPr>
            <w:r>
              <w:rPr>
                <w:rFonts w:ascii="宋体" w:hAnsi="宋体" w:eastAsia="宋体"/>
                <w:sz w:val="24"/>
              </w:rPr>
              <w:t>项目支出绩效自评表</w:t>
            </w:r>
          </w:p>
        </w:tc>
      </w:tr>
      <w:tr w14:paraId="669FDF86">
        <w:tblPrEx>
          <w:tblCellMar>
            <w:top w:w="0" w:type="dxa"/>
            <w:left w:w="108" w:type="dxa"/>
            <w:bottom w:w="0" w:type="dxa"/>
            <w:right w:w="108" w:type="dxa"/>
          </w:tblCellMar>
        </w:tblPrEx>
        <w:tc>
          <w:tcPr>
            <w:tcW w:w="8848" w:type="dxa"/>
            <w:gridSpan w:val="14"/>
            <w:vAlign w:val="center"/>
          </w:tcPr>
          <w:p w14:paraId="07BD3F16">
            <w:pPr>
              <w:jc w:val="center"/>
            </w:pPr>
            <w:r>
              <w:rPr>
                <w:rFonts w:ascii="宋体" w:hAnsi="宋体" w:eastAsia="宋体"/>
                <w:sz w:val="24"/>
              </w:rPr>
              <w:t>(2024年度)</w:t>
            </w:r>
          </w:p>
        </w:tc>
      </w:tr>
      <w:tr w14:paraId="641075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C431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8A9D9F">
            <w:pPr>
              <w:jc w:val="center"/>
            </w:pPr>
            <w:r>
              <w:rPr>
                <w:rFonts w:ascii="宋体" w:hAnsi="宋体" w:eastAsia="宋体"/>
                <w:sz w:val="16"/>
              </w:rPr>
              <w:t>霍城县发改委经济发展优秀奖励资金（自有资金）</w:t>
            </w:r>
          </w:p>
        </w:tc>
      </w:tr>
      <w:tr w14:paraId="220AC4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4C23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5BD8A0">
            <w:pPr>
              <w:jc w:val="center"/>
            </w:pPr>
            <w:r>
              <w:rPr>
                <w:rFonts w:ascii="宋体" w:hAnsi="宋体" w:eastAsia="宋体"/>
                <w:sz w:val="16"/>
              </w:rPr>
              <w:t>霍城县发展和改革委员会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3B77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57352E">
            <w:pPr>
              <w:jc w:val="center"/>
            </w:pPr>
            <w:r>
              <w:rPr>
                <w:rFonts w:ascii="宋体" w:hAnsi="宋体" w:eastAsia="宋体"/>
                <w:sz w:val="16"/>
              </w:rPr>
              <w:t>霍城县发展和改革委员会</w:t>
            </w:r>
          </w:p>
        </w:tc>
      </w:tr>
      <w:tr w14:paraId="0CE6B3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56A09">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5388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4F6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4600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47A6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9E84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BE06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C8977">
            <w:pPr>
              <w:jc w:val="center"/>
            </w:pPr>
            <w:r>
              <w:rPr>
                <w:rFonts w:ascii="宋体" w:hAnsi="宋体" w:eastAsia="宋体"/>
                <w:sz w:val="16"/>
              </w:rPr>
              <w:t>得分</w:t>
            </w:r>
          </w:p>
        </w:tc>
      </w:tr>
      <w:tr w14:paraId="0A4C7E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D8F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91BE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8D62E">
            <w:pPr>
              <w:jc w:val="center"/>
            </w:pPr>
            <w:r>
              <w:rPr>
                <w:rFonts w:ascii="宋体" w:hAnsi="宋体" w:eastAsia="宋体"/>
                <w:sz w:val="16"/>
              </w:rPr>
              <w:t>5.47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33C4C">
            <w:pPr>
              <w:jc w:val="center"/>
            </w:pPr>
            <w:r>
              <w:rPr>
                <w:rFonts w:ascii="宋体" w:hAnsi="宋体" w:eastAsia="宋体"/>
                <w:sz w:val="16"/>
              </w:rPr>
              <w:t>5.47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4186F">
            <w:pPr>
              <w:jc w:val="center"/>
            </w:pPr>
            <w:r>
              <w:rPr>
                <w:rFonts w:ascii="宋体" w:hAnsi="宋体" w:eastAsia="宋体"/>
                <w:sz w:val="16"/>
              </w:rPr>
              <w:t>5.47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716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D545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3924F">
            <w:pPr>
              <w:jc w:val="center"/>
            </w:pPr>
            <w:r>
              <w:rPr>
                <w:rFonts w:ascii="宋体" w:hAnsi="宋体" w:eastAsia="宋体"/>
                <w:sz w:val="16"/>
              </w:rPr>
              <w:t>10.00</w:t>
            </w:r>
          </w:p>
        </w:tc>
      </w:tr>
      <w:tr w14:paraId="68C811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2FF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4918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9F2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0AE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DB1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298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057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EFCF1">
            <w:pPr>
              <w:jc w:val="center"/>
            </w:pPr>
            <w:r>
              <w:rPr>
                <w:rFonts w:ascii="宋体" w:hAnsi="宋体" w:eastAsia="宋体"/>
                <w:sz w:val="16"/>
              </w:rPr>
              <w:t>—</w:t>
            </w:r>
          </w:p>
        </w:tc>
      </w:tr>
      <w:tr w14:paraId="2CCA3A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AB2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C499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2BB3E">
            <w:pPr>
              <w:jc w:val="center"/>
            </w:pPr>
            <w:r>
              <w:rPr>
                <w:rFonts w:ascii="宋体" w:hAnsi="宋体" w:eastAsia="宋体"/>
                <w:sz w:val="16"/>
              </w:rPr>
              <w:t>5.47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B510E">
            <w:pPr>
              <w:jc w:val="center"/>
            </w:pPr>
            <w:r>
              <w:rPr>
                <w:rFonts w:ascii="宋体" w:hAnsi="宋体" w:eastAsia="宋体"/>
                <w:sz w:val="16"/>
              </w:rPr>
              <w:t>5.47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58BC8">
            <w:pPr>
              <w:jc w:val="center"/>
            </w:pPr>
            <w:r>
              <w:rPr>
                <w:rFonts w:ascii="宋体" w:hAnsi="宋体" w:eastAsia="宋体"/>
                <w:sz w:val="16"/>
              </w:rPr>
              <w:t>5.47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EA5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74F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3475E">
            <w:pPr>
              <w:jc w:val="center"/>
            </w:pPr>
            <w:r>
              <w:rPr>
                <w:rFonts w:ascii="宋体" w:hAnsi="宋体" w:eastAsia="宋体"/>
                <w:sz w:val="16"/>
              </w:rPr>
              <w:t>—</w:t>
            </w:r>
          </w:p>
        </w:tc>
      </w:tr>
      <w:tr w14:paraId="25E5C5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A680D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F47C6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315E3B">
            <w:pPr>
              <w:jc w:val="center"/>
            </w:pPr>
            <w:r>
              <w:rPr>
                <w:rFonts w:ascii="宋体" w:hAnsi="宋体" w:eastAsia="宋体"/>
                <w:sz w:val="16"/>
              </w:rPr>
              <w:t>实际完成情况</w:t>
            </w:r>
          </w:p>
        </w:tc>
      </w:tr>
      <w:tr w14:paraId="265925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3A4C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F86919">
            <w:pPr>
              <w:jc w:val="both"/>
            </w:pPr>
            <w:r>
              <w:rPr>
                <w:rFonts w:ascii="宋体" w:hAnsi="宋体" w:eastAsia="宋体"/>
                <w:sz w:val="16"/>
              </w:rPr>
              <w:t>研究提出霍城县国民经济和社会发展中长期规划和年度发展计划</w:t>
            </w:r>
            <w:r>
              <w:rPr>
                <w:rFonts w:hint="eastAsia" w:ascii="宋体" w:hAnsi="宋体"/>
                <w:sz w:val="16"/>
                <w:lang w:eastAsia="zh-CN"/>
              </w:rPr>
              <w:t>；</w:t>
            </w:r>
            <w:r>
              <w:rPr>
                <w:rFonts w:ascii="宋体" w:hAnsi="宋体" w:eastAsia="宋体"/>
                <w:sz w:val="16"/>
              </w:rPr>
              <w:t>贯彻执行国家、自治区、自治州国民经济和社会发展方针、政策。综合办公经费项目的绩效目标保障机关正常运转，为各项业务开展提供</w:t>
            </w:r>
            <w:r>
              <w:rPr>
                <w:rFonts w:hint="eastAsia" w:ascii="宋体" w:hAnsi="宋体"/>
                <w:sz w:val="16"/>
                <w:lang w:eastAsia="zh-CN"/>
              </w:rPr>
              <w:t>有力</w:t>
            </w:r>
            <w:r>
              <w:rPr>
                <w:rFonts w:ascii="宋体" w:hAnsi="宋体" w:eastAsia="宋体"/>
                <w:sz w:val="16"/>
              </w:rPr>
              <w:t>后勤保障不断提高服务水平。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20FECF">
            <w:pPr>
              <w:jc w:val="both"/>
            </w:pPr>
            <w:r>
              <w:rPr>
                <w:rFonts w:ascii="宋体" w:hAnsi="宋体" w:eastAsia="宋体"/>
                <w:sz w:val="16"/>
              </w:rPr>
              <w:t>综合办公经费项目的绩效目标保障机关正常运转，采购办公电脑4台；保障36人办公，有效保障为各项业务开展提供</w:t>
            </w:r>
            <w:r>
              <w:rPr>
                <w:rFonts w:hint="eastAsia" w:ascii="宋体" w:hAnsi="宋体"/>
                <w:sz w:val="16"/>
                <w:lang w:eastAsia="zh-CN"/>
              </w:rPr>
              <w:t>有力</w:t>
            </w:r>
            <w:r>
              <w:rPr>
                <w:rFonts w:ascii="宋体" w:hAnsi="宋体" w:eastAsia="宋体"/>
                <w:sz w:val="16"/>
              </w:rPr>
              <w:t>后勤保障不断提高服务水平。</w:t>
            </w:r>
          </w:p>
        </w:tc>
      </w:tr>
      <w:tr w14:paraId="6245C3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B189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D368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B2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3EC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0AB3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B94C6">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F203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6C2D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C0D25">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3803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04C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3272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03A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D42E2">
            <w:pPr>
              <w:jc w:val="center"/>
            </w:pPr>
            <w:r>
              <w:rPr>
                <w:rFonts w:ascii="宋体" w:hAnsi="宋体" w:eastAsia="宋体"/>
                <w:sz w:val="16"/>
              </w:rPr>
              <w:t>偏差原因分析及改进措施</w:t>
            </w:r>
          </w:p>
        </w:tc>
      </w:tr>
      <w:tr w14:paraId="6F1E0F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5542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9BF70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1CA5C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B34BA">
            <w:pPr>
              <w:jc w:val="center"/>
            </w:pPr>
            <w:r>
              <w:rPr>
                <w:rFonts w:ascii="宋体" w:hAnsi="宋体" w:eastAsia="宋体"/>
                <w:sz w:val="16"/>
              </w:rPr>
              <w:t>办公电脑采购数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A575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8865D">
            <w:pPr>
              <w:jc w:val="center"/>
            </w:pPr>
            <w:r>
              <w:rPr>
                <w:rFonts w:ascii="宋体" w:hAnsi="宋体" w:eastAsia="宋体"/>
                <w:sz w:val="16"/>
              </w:rPr>
              <w:t>=4台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5D54D">
            <w:pPr>
              <w:jc w:val="center"/>
            </w:pPr>
            <w:r>
              <w:rPr>
                <w:rFonts w:ascii="宋体" w:hAnsi="宋体" w:eastAsia="宋体"/>
                <w:sz w:val="16"/>
              </w:rPr>
              <w:t>4台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14A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7BCB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35A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C4D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B62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410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FD778">
            <w:pPr>
              <w:jc w:val="center"/>
            </w:pPr>
          </w:p>
        </w:tc>
      </w:tr>
      <w:tr w14:paraId="5BB63D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BC9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172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BE8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CBEE5">
            <w:pPr>
              <w:jc w:val="center"/>
            </w:pPr>
            <w:r>
              <w:rPr>
                <w:rFonts w:ascii="宋体" w:hAnsi="宋体" w:eastAsia="宋体"/>
                <w:sz w:val="16"/>
              </w:rPr>
              <w:t>保障办公人数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0B4C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919BE">
            <w:pPr>
              <w:jc w:val="center"/>
            </w:pPr>
            <w:r>
              <w:rPr>
                <w:rFonts w:ascii="宋体" w:hAnsi="宋体" w:eastAsia="宋体"/>
                <w:sz w:val="16"/>
              </w:rPr>
              <w:t>&gt;=36人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8168C">
            <w:pPr>
              <w:jc w:val="center"/>
            </w:pPr>
            <w:r>
              <w:rPr>
                <w:rFonts w:ascii="宋体" w:hAnsi="宋体" w:eastAsia="宋体"/>
                <w:sz w:val="16"/>
              </w:rPr>
              <w: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E3E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15E4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3D1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9A9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80F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B64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71191">
            <w:pPr>
              <w:jc w:val="center"/>
            </w:pPr>
          </w:p>
        </w:tc>
      </w:tr>
      <w:tr w14:paraId="06BD9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F11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3DA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C031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01CE3">
            <w:pPr>
              <w:jc w:val="center"/>
            </w:pPr>
            <w:r>
              <w:rPr>
                <w:rFonts w:ascii="宋体" w:hAnsi="宋体" w:eastAsia="宋体"/>
                <w:sz w:val="16"/>
              </w:rPr>
              <w:t>购置电脑质量合格率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A741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213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FBC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873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F509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937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AA7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EC4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A10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6A9E7">
            <w:pPr>
              <w:jc w:val="center"/>
            </w:pPr>
          </w:p>
        </w:tc>
      </w:tr>
      <w:tr w14:paraId="2A2ED4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EC2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69C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9E3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6A5FC">
            <w:pPr>
              <w:jc w:val="center"/>
            </w:pPr>
            <w:r>
              <w:rPr>
                <w:rFonts w:ascii="宋体" w:hAnsi="宋体" w:eastAsia="宋体"/>
                <w:sz w:val="16"/>
              </w:rPr>
              <w:t>购置电脑验收合格率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7655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7A7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B99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62C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E578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F83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973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8B2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4F7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013AC">
            <w:pPr>
              <w:jc w:val="center"/>
            </w:pPr>
          </w:p>
        </w:tc>
      </w:tr>
      <w:tr w14:paraId="7CDE27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FE8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965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757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E7895">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92D7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089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46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57B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1AA4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E2B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B1F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EEA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B74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742A3">
            <w:pPr>
              <w:jc w:val="center"/>
            </w:pPr>
          </w:p>
        </w:tc>
      </w:tr>
      <w:tr w14:paraId="678530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E90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5D7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CD8F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302FB">
            <w:pPr>
              <w:jc w:val="center"/>
            </w:pPr>
            <w:r>
              <w:rPr>
                <w:rFonts w:ascii="宋体" w:hAnsi="宋体" w:eastAsia="宋体"/>
                <w:sz w:val="16"/>
              </w:rPr>
              <w:t>购置电脑完成时间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DC3B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B09BD">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8FCE7">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858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FE3C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500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A94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4656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5EA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E575A">
            <w:pPr>
              <w:jc w:val="center"/>
            </w:pPr>
          </w:p>
        </w:tc>
      </w:tr>
      <w:tr w14:paraId="639EC0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AA9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F320F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D2298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4956A">
            <w:pPr>
              <w:jc w:val="center"/>
            </w:pPr>
            <w:r>
              <w:rPr>
                <w:rFonts w:ascii="宋体" w:hAnsi="宋体" w:eastAsia="宋体"/>
                <w:sz w:val="16"/>
              </w:rPr>
              <w:t>日常办公费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D298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45816">
            <w:pPr>
              <w:jc w:val="center"/>
            </w:pPr>
            <w:r>
              <w:rPr>
                <w:rFonts w:ascii="宋体" w:hAnsi="宋体" w:eastAsia="宋体"/>
                <w:sz w:val="16"/>
              </w:rPr>
              <w:t>&lt;=2.45万元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21BBD">
            <w:pPr>
              <w:jc w:val="center"/>
            </w:pPr>
            <w:r>
              <w:rPr>
                <w:rFonts w:ascii="宋体" w:hAnsi="宋体" w:eastAsia="宋体"/>
                <w:sz w:val="16"/>
              </w:rPr>
              <w:t>2.45万元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276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E545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2ED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213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D9A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0C1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3BE72">
            <w:pPr>
              <w:jc w:val="center"/>
            </w:pPr>
          </w:p>
        </w:tc>
      </w:tr>
      <w:tr w14:paraId="2F3B21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BA0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AF4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7F6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7B71E">
            <w:pPr>
              <w:jc w:val="center"/>
            </w:pPr>
            <w:r>
              <w:rPr>
                <w:rFonts w:ascii="宋体" w:hAnsi="宋体" w:eastAsia="宋体"/>
                <w:sz w:val="16"/>
              </w:rPr>
              <w:t>对接项目差旅费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2765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076DA">
            <w:pPr>
              <w:jc w:val="center"/>
            </w:pPr>
            <w:r>
              <w:rPr>
                <w:rFonts w:ascii="宋体" w:hAnsi="宋体" w:eastAsia="宋体"/>
                <w:sz w:val="16"/>
              </w:rPr>
              <w:t>&lt;=1.02万元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C69AA">
            <w:pPr>
              <w:jc w:val="center"/>
            </w:pPr>
            <w:r>
              <w:rPr>
                <w:rFonts w:ascii="宋体" w:hAnsi="宋体" w:eastAsia="宋体"/>
                <w:sz w:val="16"/>
              </w:rPr>
              <w:t>1.02万元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640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30B1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900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327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7FD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CCF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1A95">
            <w:pPr>
              <w:jc w:val="center"/>
            </w:pPr>
          </w:p>
        </w:tc>
      </w:tr>
      <w:tr w14:paraId="59569B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0C0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F93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2AE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138CE">
            <w:pPr>
              <w:jc w:val="center"/>
            </w:pPr>
            <w:r>
              <w:rPr>
                <w:rFonts w:ascii="宋体" w:hAnsi="宋体" w:eastAsia="宋体"/>
                <w:sz w:val="16"/>
              </w:rPr>
              <w:t>采购电脑款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56BE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F7D95">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C5E67">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423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F3AF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0C5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0C4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288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C16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F505E">
            <w:pPr>
              <w:jc w:val="center"/>
            </w:pPr>
          </w:p>
        </w:tc>
      </w:tr>
      <w:tr w14:paraId="381214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DE9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6015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EEDA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60B77">
            <w:pPr>
              <w:jc w:val="center"/>
            </w:pPr>
            <w:r>
              <w:rPr>
                <w:rFonts w:ascii="宋体" w:hAnsi="宋体" w:eastAsia="宋体"/>
                <w:sz w:val="16"/>
              </w:rPr>
              <w:t>业务保障能力提升情况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DDDA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3964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AE500">
            <w:pPr>
              <w:jc w:val="center"/>
            </w:pPr>
            <w:r>
              <w:rPr>
                <w:rFonts w:ascii="宋体" w:hAnsi="宋体" w:eastAsia="宋体"/>
                <w:sz w:val="16"/>
              </w:rPr>
              <w:t>有所保障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775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B8C6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8F4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F0E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23D6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AEC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8E3ED">
            <w:pPr>
              <w:jc w:val="center"/>
            </w:pPr>
          </w:p>
        </w:tc>
      </w:tr>
      <w:tr w14:paraId="7F6A761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DB651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564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043F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5450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99B7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32F5F">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4398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A046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B567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E898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2845FD"/>
        </w:tc>
      </w:tr>
    </w:tbl>
    <w:p w14:paraId="0559D81E">
      <w:r>
        <w:br w:type="page"/>
      </w:r>
    </w:p>
    <w:p w14:paraId="364587B5">
      <w:pPr>
        <w:spacing w:line="640" w:lineRule="exact"/>
        <w:ind w:firstLine="640"/>
        <w:jc w:val="both"/>
        <w:outlineLvl w:val="2"/>
      </w:pPr>
      <w:r>
        <w:rPr>
          <w:rFonts w:ascii="黑体" w:hAnsi="黑体" w:eastAsia="黑体"/>
          <w:sz w:val="32"/>
        </w:rPr>
        <w:t>十二、其他需说明的事项</w:t>
      </w:r>
    </w:p>
    <w:p w14:paraId="3C9518B8">
      <w:pPr>
        <w:spacing w:line="580" w:lineRule="exact"/>
        <w:ind w:firstLine="640"/>
        <w:jc w:val="both"/>
      </w:pPr>
      <w:r>
        <w:rPr>
          <w:rFonts w:ascii="仿宋_GB2312" w:hAnsi="仿宋_GB2312" w:eastAsia="仿宋_GB2312"/>
          <w:b w:val="0"/>
          <w:sz w:val="32"/>
        </w:rPr>
        <w:t>本单位无其他需说明的事项。</w:t>
      </w:r>
    </w:p>
    <w:p w14:paraId="5336040E">
      <w:r>
        <w:br w:type="page"/>
      </w:r>
    </w:p>
    <w:p w14:paraId="42B7A221">
      <w:pPr>
        <w:spacing w:line="240" w:lineRule="auto"/>
        <w:jc w:val="center"/>
        <w:outlineLvl w:val="1"/>
      </w:pPr>
      <w:r>
        <w:rPr>
          <w:rFonts w:ascii="黑体" w:hAnsi="黑体" w:eastAsia="黑体"/>
          <w:sz w:val="32"/>
        </w:rPr>
        <w:t>第三部分 专业名词解释</w:t>
      </w:r>
    </w:p>
    <w:p w14:paraId="0A94D0B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A6A8F3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26C9FE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80C1B3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35C289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07D09D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59F199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FF35A5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ABF4C4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591225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E09A2C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5FF342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528FED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BA5D34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4520029">
      <w:r>
        <w:br w:type="page"/>
      </w:r>
    </w:p>
    <w:p w14:paraId="578B64D1">
      <w:pPr>
        <w:spacing w:line="240" w:lineRule="auto"/>
        <w:jc w:val="center"/>
        <w:outlineLvl w:val="1"/>
      </w:pPr>
      <w:r>
        <w:rPr>
          <w:rFonts w:ascii="黑体" w:hAnsi="黑体" w:eastAsia="黑体"/>
          <w:sz w:val="32"/>
        </w:rPr>
        <w:t>第四部分 部门决算报表（见附表）</w:t>
      </w:r>
    </w:p>
    <w:p w14:paraId="5AD362EF">
      <w:pPr>
        <w:spacing w:line="240" w:lineRule="auto"/>
        <w:ind w:firstLine="640"/>
        <w:jc w:val="both"/>
      </w:pPr>
      <w:r>
        <w:rPr>
          <w:rFonts w:ascii="仿宋_GB2312" w:hAnsi="仿宋_GB2312" w:eastAsia="仿宋_GB2312"/>
          <w:b w:val="0"/>
          <w:sz w:val="32"/>
        </w:rPr>
        <w:t>一、《收入支出决算总表》</w:t>
      </w:r>
    </w:p>
    <w:p w14:paraId="55C31214">
      <w:pPr>
        <w:spacing w:line="240" w:lineRule="auto"/>
        <w:ind w:firstLine="640"/>
        <w:jc w:val="both"/>
      </w:pPr>
      <w:r>
        <w:rPr>
          <w:rFonts w:ascii="仿宋_GB2312" w:hAnsi="仿宋_GB2312" w:eastAsia="仿宋_GB2312"/>
          <w:b w:val="0"/>
          <w:sz w:val="32"/>
        </w:rPr>
        <w:t>二、《收入决算表》</w:t>
      </w:r>
    </w:p>
    <w:p w14:paraId="16CC68FB">
      <w:pPr>
        <w:spacing w:line="240" w:lineRule="auto"/>
        <w:ind w:firstLine="640"/>
        <w:jc w:val="both"/>
      </w:pPr>
      <w:r>
        <w:rPr>
          <w:rFonts w:ascii="仿宋_GB2312" w:hAnsi="仿宋_GB2312" w:eastAsia="仿宋_GB2312"/>
          <w:b w:val="0"/>
          <w:sz w:val="32"/>
        </w:rPr>
        <w:t>三、《支出决算表》</w:t>
      </w:r>
    </w:p>
    <w:p w14:paraId="7FE7CF99">
      <w:pPr>
        <w:spacing w:line="240" w:lineRule="auto"/>
        <w:ind w:firstLine="640"/>
        <w:jc w:val="both"/>
      </w:pPr>
      <w:r>
        <w:rPr>
          <w:rFonts w:ascii="仿宋_GB2312" w:hAnsi="仿宋_GB2312" w:eastAsia="仿宋_GB2312"/>
          <w:b w:val="0"/>
          <w:sz w:val="32"/>
        </w:rPr>
        <w:t>四、《财政拨款收入支出决算总表》</w:t>
      </w:r>
    </w:p>
    <w:p w14:paraId="4711F925">
      <w:pPr>
        <w:spacing w:line="240" w:lineRule="auto"/>
        <w:ind w:firstLine="640"/>
        <w:jc w:val="both"/>
      </w:pPr>
      <w:r>
        <w:rPr>
          <w:rFonts w:ascii="仿宋_GB2312" w:hAnsi="仿宋_GB2312" w:eastAsia="仿宋_GB2312"/>
          <w:b w:val="0"/>
          <w:sz w:val="32"/>
        </w:rPr>
        <w:t>五、《一般公共预算财政拨款支出决算表》</w:t>
      </w:r>
    </w:p>
    <w:p w14:paraId="6E40140E">
      <w:pPr>
        <w:spacing w:line="240" w:lineRule="auto"/>
        <w:ind w:firstLine="640"/>
        <w:jc w:val="both"/>
      </w:pPr>
      <w:r>
        <w:rPr>
          <w:rFonts w:ascii="仿宋_GB2312" w:hAnsi="仿宋_GB2312" w:eastAsia="仿宋_GB2312"/>
          <w:b w:val="0"/>
          <w:sz w:val="32"/>
        </w:rPr>
        <w:t>六、《一般公共预算财政拨款基本支出决算表》</w:t>
      </w:r>
    </w:p>
    <w:p w14:paraId="6838CB0B">
      <w:pPr>
        <w:spacing w:line="240" w:lineRule="auto"/>
        <w:ind w:firstLine="640"/>
        <w:jc w:val="both"/>
      </w:pPr>
      <w:r>
        <w:rPr>
          <w:rFonts w:ascii="仿宋_GB2312" w:hAnsi="仿宋_GB2312" w:eastAsia="仿宋_GB2312"/>
          <w:b w:val="0"/>
          <w:sz w:val="32"/>
        </w:rPr>
        <w:t>七、《政府性基金预算财政拨款收入支出决算表》</w:t>
      </w:r>
    </w:p>
    <w:p w14:paraId="33581BA4">
      <w:pPr>
        <w:spacing w:line="240" w:lineRule="auto"/>
        <w:ind w:firstLine="640"/>
        <w:jc w:val="both"/>
      </w:pPr>
      <w:r>
        <w:rPr>
          <w:rFonts w:ascii="仿宋_GB2312" w:hAnsi="仿宋_GB2312" w:eastAsia="仿宋_GB2312"/>
          <w:b w:val="0"/>
          <w:sz w:val="32"/>
        </w:rPr>
        <w:t>八、《国有资本经营预算财政拨款收入支出决算表》</w:t>
      </w:r>
    </w:p>
    <w:p w14:paraId="155ED31E">
      <w:pPr>
        <w:spacing w:line="240" w:lineRule="auto"/>
        <w:ind w:firstLine="640"/>
        <w:jc w:val="both"/>
      </w:pPr>
      <w:r>
        <w:rPr>
          <w:rFonts w:ascii="仿宋_GB2312" w:hAnsi="仿宋_GB2312" w:eastAsia="仿宋_GB2312"/>
          <w:b w:val="0"/>
          <w:sz w:val="32"/>
        </w:rPr>
        <w:t>九、《财政拨款“三公”经费支出决算表》</w:t>
      </w:r>
    </w:p>
    <w:p w14:paraId="48E735D8">
      <w:pPr>
        <w:spacing w:line="240" w:lineRule="auto"/>
        <w:ind w:firstLine="640"/>
        <w:jc w:val="both"/>
      </w:pPr>
    </w:p>
    <w:p w14:paraId="6061FC03">
      <w:pPr>
        <w:spacing w:line="240" w:lineRule="auto"/>
        <w:ind w:firstLine="640"/>
        <w:jc w:val="both"/>
      </w:pPr>
    </w:p>
    <w:p w14:paraId="680467C7">
      <w:pPr>
        <w:spacing w:line="240" w:lineRule="auto"/>
        <w:ind w:firstLine="640"/>
        <w:jc w:val="both"/>
      </w:pPr>
    </w:p>
    <w:p w14:paraId="4D87A2D4">
      <w:pPr>
        <w:spacing w:line="240" w:lineRule="auto"/>
        <w:ind w:firstLine="640"/>
        <w:jc w:val="both"/>
      </w:pPr>
    </w:p>
    <w:p w14:paraId="26AA1B2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6">
    <w:panose1 w:val="02000000000000000000"/>
    <w:charset w:val="86"/>
    <w:family w:val="auto"/>
    <w:pitch w:val="default"/>
    <w:sig w:usb0="A00002BF" w:usb1="38CF7CFA" w:usb2="00082016" w:usb3="00000000" w:csb0="00040001" w:csb1="00000000"/>
  </w:font>
  <w:font w:name="WPSEMBED5">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D017A77"/>
    <w:rsid w:val="4F3F074E"/>
    <w:rsid w:val="4FAA6124"/>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F333D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9209</Words>
  <Characters>10344</Characters>
  <Lines>0</Lines>
  <Paragraphs>0</Paragraphs>
  <TotalTime>12</TotalTime>
  <ScaleCrop>false</ScaleCrop>
  <LinksUpToDate>false</LinksUpToDate>
  <CharactersWithSpaces>10352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2025-09-25T03:50:50Z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