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霍城县卫生健康综合监督执法局2024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5922700">
      <w:r>
        <w:br w:type="page"/>
      </w:r>
    </w:p>
    <w:p w14:paraId="634011A6">
      <w:pPr>
        <w:spacing w:line="640" w:lineRule="exact"/>
        <w:jc w:val="center"/>
        <w:outlineLvl w:val="1"/>
      </w:pPr>
      <w:r>
        <w:rPr>
          <w:rFonts w:ascii="黑体" w:hAnsi="黑体" w:eastAsia="黑体"/>
          <w:sz w:val="32"/>
        </w:rPr>
        <w:t>第一部分 单位概况</w:t>
      </w:r>
    </w:p>
    <w:p w14:paraId="0DFB5EED">
      <w:pPr>
        <w:spacing w:line="640" w:lineRule="exact"/>
        <w:ind w:firstLine="640"/>
        <w:jc w:val="both"/>
        <w:outlineLvl w:val="2"/>
      </w:pPr>
      <w:r>
        <w:rPr>
          <w:rFonts w:ascii="黑体" w:hAnsi="黑体" w:eastAsia="黑体"/>
          <w:sz w:val="32"/>
        </w:rPr>
        <w:t>一、主要职能</w:t>
      </w:r>
    </w:p>
    <w:p w14:paraId="0D7FE43A">
      <w:pPr>
        <w:spacing w:line="580" w:lineRule="exact"/>
        <w:ind w:firstLine="640"/>
        <w:jc w:val="both"/>
      </w:pPr>
      <w:r>
        <w:rPr>
          <w:rFonts w:ascii="仿宋_GB2312" w:hAnsi="仿宋_GB2312" w:eastAsia="仿宋_GB2312"/>
          <w:sz w:val="32"/>
        </w:rPr>
        <w:t>负责监督检查卫生健康法律法规的落实情况；承担公共场所卫生、饮用水卫生、学校卫生、医疗卫生、职业卫生、放射卫生、传染病防治、中医服务等综合行政执法职责；承担食品安全标准的相关工作；承担县卫生健康综合监督执法机构的业务指导培训和稽查考核；指导重大活动的公共卫生监督保障，组织开展卫生监督应急工作。</w:t>
      </w:r>
    </w:p>
    <w:p w14:paraId="318B3807">
      <w:pPr>
        <w:spacing w:line="640" w:lineRule="exact"/>
        <w:ind w:firstLine="640"/>
        <w:jc w:val="both"/>
        <w:outlineLvl w:val="2"/>
      </w:pPr>
      <w:r>
        <w:rPr>
          <w:rFonts w:ascii="黑体" w:hAnsi="黑体" w:eastAsia="黑体"/>
          <w:sz w:val="32"/>
        </w:rPr>
        <w:t>二、机构设置及人员情况</w:t>
      </w:r>
    </w:p>
    <w:p w14:paraId="3062846C">
      <w:pPr>
        <w:spacing w:line="580" w:lineRule="exact"/>
        <w:ind w:firstLine="640"/>
        <w:jc w:val="both"/>
      </w:pPr>
      <w:r>
        <w:rPr>
          <w:rFonts w:ascii="仿宋_GB2312" w:hAnsi="仿宋_GB2312" w:eastAsia="仿宋_GB2312"/>
          <w:sz w:val="32"/>
        </w:rPr>
        <w:t>霍城县卫生健康综合监督执法局2024年度，实有人数13人，其中：在职人员9人，增加0人；离休人员0人，增加0人；退休人员4人,增加0人。</w:t>
      </w:r>
    </w:p>
    <w:p w14:paraId="711A65A2">
      <w:pPr>
        <w:spacing w:line="580" w:lineRule="exact"/>
        <w:ind w:firstLine="640"/>
        <w:jc w:val="both"/>
      </w:pPr>
      <w:r>
        <w:rPr>
          <w:rFonts w:ascii="仿宋_GB2312" w:hAnsi="仿宋_GB2312" w:eastAsia="仿宋_GB2312"/>
          <w:sz w:val="32"/>
        </w:rPr>
        <w:t>霍城县卫生健康综合监督执法局无下属预算单位，下设4个科室，分别是：办公室、监督科、稽查科、财务科。</w:t>
      </w:r>
    </w:p>
    <w:p w14:paraId="0784275E">
      <w:r>
        <w:br w:type="page"/>
      </w:r>
    </w:p>
    <w:p w14:paraId="3D63B3A5">
      <w:pPr>
        <w:spacing w:line="240" w:lineRule="auto"/>
        <w:jc w:val="center"/>
        <w:outlineLvl w:val="1"/>
      </w:pPr>
      <w:r>
        <w:rPr>
          <w:rFonts w:ascii="黑体" w:hAnsi="黑体" w:eastAsia="黑体"/>
          <w:sz w:val="32"/>
        </w:rPr>
        <w:t>第二部分 部门决算情况说明</w:t>
      </w:r>
    </w:p>
    <w:p w14:paraId="5A0317C9">
      <w:pPr>
        <w:spacing w:line="640" w:lineRule="exact"/>
        <w:ind w:firstLine="640"/>
        <w:jc w:val="both"/>
        <w:outlineLvl w:val="2"/>
      </w:pPr>
      <w:r>
        <w:rPr>
          <w:rFonts w:ascii="黑体" w:hAnsi="黑体" w:eastAsia="黑体"/>
          <w:sz w:val="32"/>
        </w:rPr>
        <w:t>一、收入支出决算总体情况说明</w:t>
      </w:r>
    </w:p>
    <w:p w14:paraId="7A9317FF">
      <w:pPr>
        <w:spacing w:line="580" w:lineRule="exact"/>
        <w:ind w:firstLine="640"/>
        <w:jc w:val="both"/>
      </w:pPr>
      <w:r>
        <w:rPr>
          <w:rFonts w:ascii="仿宋_GB2312" w:hAnsi="仿宋_GB2312" w:eastAsia="仿宋_GB2312"/>
          <w:b/>
          <w:sz w:val="32"/>
        </w:rPr>
        <w:t>2024年度收入总计150.12万元，</w:t>
      </w:r>
      <w:r>
        <w:rPr>
          <w:rFonts w:ascii="仿宋_GB2312" w:hAnsi="仿宋_GB2312" w:eastAsia="仿宋_GB2312"/>
          <w:b w:val="0"/>
          <w:sz w:val="32"/>
        </w:rPr>
        <w:t>其中：本年收入合计150.12万元，使用非财政拨款结余（含专用结余）0.00万元，年初结转和结余0.00万元。</w:t>
      </w:r>
    </w:p>
    <w:p w14:paraId="7439FA09">
      <w:pPr>
        <w:spacing w:line="580" w:lineRule="exact"/>
        <w:ind w:firstLine="640"/>
        <w:jc w:val="both"/>
      </w:pPr>
      <w:r>
        <w:rPr>
          <w:rFonts w:ascii="仿宋_GB2312" w:hAnsi="仿宋_GB2312" w:eastAsia="仿宋_GB2312"/>
          <w:b/>
          <w:sz w:val="32"/>
        </w:rPr>
        <w:t>2024年度支出总计150.12万元，</w:t>
      </w:r>
      <w:r>
        <w:rPr>
          <w:rFonts w:ascii="仿宋_GB2312" w:hAnsi="仿宋_GB2312" w:eastAsia="仿宋_GB2312"/>
          <w:b w:val="0"/>
          <w:sz w:val="32"/>
        </w:rPr>
        <w:t>其中：本年支出合计150.12万元，结余分配0.00万元，年末结转和结余0.00万元。</w:t>
      </w:r>
    </w:p>
    <w:p w14:paraId="7BD2BA07">
      <w:pPr>
        <w:spacing w:line="580" w:lineRule="exact"/>
        <w:ind w:firstLine="640"/>
        <w:jc w:val="both"/>
      </w:pPr>
      <w:r>
        <w:rPr>
          <w:rFonts w:ascii="仿宋_GB2312" w:hAnsi="仿宋_GB2312" w:eastAsia="仿宋_GB2312"/>
          <w:b w:val="0"/>
          <w:sz w:val="32"/>
        </w:rPr>
        <w:t>收入支出总体与上年相比，减少2.98万元，下降1.95%，主要原因是：2024年减少中央基本公共卫生服务资金</w:t>
      </w:r>
      <w:r>
        <w:rPr>
          <w:rFonts w:hint="eastAsia" w:ascii="仿宋_GB2312" w:hAnsi="仿宋_GB2312" w:eastAsia="仿宋_GB2312"/>
          <w:b w:val="0"/>
          <w:sz w:val="32"/>
          <w:lang w:eastAsia="zh-CN"/>
        </w:rPr>
        <w:t>、</w:t>
      </w:r>
      <w:r>
        <w:rPr>
          <w:rFonts w:ascii="仿宋_GB2312" w:hAnsi="仿宋_GB2312" w:eastAsia="仿宋_GB2312"/>
          <w:b w:val="0"/>
          <w:sz w:val="32"/>
        </w:rPr>
        <w:t>中央重大公共卫生项目经费。</w:t>
      </w:r>
    </w:p>
    <w:p w14:paraId="7F1100DB">
      <w:pPr>
        <w:spacing w:line="640" w:lineRule="exact"/>
        <w:ind w:firstLine="640"/>
        <w:jc w:val="both"/>
        <w:outlineLvl w:val="2"/>
      </w:pPr>
      <w:r>
        <w:rPr>
          <w:rFonts w:ascii="黑体" w:hAnsi="黑体" w:eastAsia="黑体"/>
          <w:sz w:val="32"/>
        </w:rPr>
        <w:t>二、收入决算情况说明</w:t>
      </w:r>
    </w:p>
    <w:p w14:paraId="15E2A320">
      <w:pPr>
        <w:spacing w:line="580" w:lineRule="exact"/>
        <w:ind w:firstLine="640"/>
        <w:jc w:val="both"/>
      </w:pPr>
      <w:r>
        <w:rPr>
          <w:rFonts w:ascii="仿宋_GB2312" w:hAnsi="仿宋_GB2312" w:eastAsia="仿宋_GB2312"/>
          <w:b/>
          <w:sz w:val="32"/>
        </w:rPr>
        <w:t>本年收入150.12万元，</w:t>
      </w:r>
      <w:r>
        <w:rPr>
          <w:rFonts w:ascii="仿宋_GB2312" w:hAnsi="仿宋_GB2312" w:eastAsia="仿宋_GB2312"/>
          <w:b w:val="0"/>
          <w:sz w:val="32"/>
        </w:rPr>
        <w:t>其中：财政拨款收入150.12万元，占100.00%；上级补助收入0.00万元，占0.00%；事业收入0.00万元，占0.00%；经营收入0.00万元，占0.00%；附属单位上缴收入0.00万元，占0.00%；其他收入0.00万元，占0.00%。</w:t>
      </w:r>
    </w:p>
    <w:p w14:paraId="4D4BB2F7">
      <w:pPr>
        <w:spacing w:line="640" w:lineRule="exact"/>
        <w:ind w:firstLine="640"/>
        <w:jc w:val="both"/>
        <w:outlineLvl w:val="2"/>
      </w:pPr>
      <w:r>
        <w:rPr>
          <w:rFonts w:ascii="黑体" w:hAnsi="黑体" w:eastAsia="黑体"/>
          <w:sz w:val="32"/>
        </w:rPr>
        <w:t>三、支出决算情况说明</w:t>
      </w:r>
    </w:p>
    <w:p w14:paraId="6A7463CA">
      <w:pPr>
        <w:spacing w:line="580" w:lineRule="exact"/>
        <w:ind w:firstLine="640"/>
        <w:jc w:val="both"/>
      </w:pPr>
      <w:r>
        <w:rPr>
          <w:rFonts w:ascii="仿宋_GB2312" w:hAnsi="仿宋_GB2312" w:eastAsia="仿宋_GB2312"/>
          <w:b/>
          <w:sz w:val="32"/>
        </w:rPr>
        <w:t>本年支出150.12万元，</w:t>
      </w:r>
      <w:r>
        <w:rPr>
          <w:rFonts w:ascii="仿宋_GB2312" w:hAnsi="仿宋_GB2312" w:eastAsia="仿宋_GB2312"/>
          <w:b w:val="0"/>
          <w:sz w:val="32"/>
        </w:rPr>
        <w:t>其中：基本支出140.94万元，占93.88%；项目支出9.18万元，占6.12%；上缴上级支出0.00万元，占0.00%；经营支出0.00万元，占0.00%；对附属单位补助支出0.00万元，占0.00%。</w:t>
      </w:r>
    </w:p>
    <w:p w14:paraId="7307BFDA">
      <w:pPr>
        <w:spacing w:line="640" w:lineRule="exact"/>
        <w:ind w:firstLine="640"/>
        <w:jc w:val="both"/>
        <w:outlineLvl w:val="2"/>
      </w:pPr>
      <w:r>
        <w:rPr>
          <w:rFonts w:ascii="黑体" w:hAnsi="黑体" w:eastAsia="黑体"/>
          <w:sz w:val="32"/>
        </w:rPr>
        <w:t>四、财政拨款收入支出决算总体情况说明</w:t>
      </w:r>
    </w:p>
    <w:p w14:paraId="198DEDB2">
      <w:pPr>
        <w:spacing w:line="580" w:lineRule="exact"/>
        <w:ind w:firstLine="640"/>
        <w:jc w:val="both"/>
      </w:pPr>
      <w:r>
        <w:rPr>
          <w:rFonts w:ascii="仿宋_GB2312" w:hAnsi="仿宋_GB2312" w:eastAsia="仿宋_GB2312"/>
          <w:b/>
          <w:sz w:val="32"/>
        </w:rPr>
        <w:t>2024年度财政拨款收入总计150.12万元，</w:t>
      </w:r>
      <w:r>
        <w:rPr>
          <w:rFonts w:ascii="仿宋_GB2312" w:hAnsi="仿宋_GB2312" w:eastAsia="仿宋_GB2312"/>
          <w:b w:val="0"/>
          <w:sz w:val="32"/>
        </w:rPr>
        <w:t>其中：年初财政拨款结转和结余0.00万元，本年财政拨款收入150.12万元。</w:t>
      </w:r>
      <w:r>
        <w:rPr>
          <w:rFonts w:ascii="仿宋_GB2312" w:hAnsi="仿宋_GB2312" w:eastAsia="仿宋_GB2312"/>
          <w:b/>
          <w:sz w:val="32"/>
        </w:rPr>
        <w:t>财政拨款支出总计150.12万元，</w:t>
      </w:r>
      <w:r>
        <w:rPr>
          <w:rFonts w:ascii="仿宋_GB2312" w:hAnsi="仿宋_GB2312" w:eastAsia="仿宋_GB2312"/>
          <w:b w:val="0"/>
          <w:sz w:val="32"/>
        </w:rPr>
        <w:t>其中：年末财政拨款结转和结余0.00万元，本年财政拨款支出150.12万元。</w:t>
      </w:r>
    </w:p>
    <w:p w14:paraId="787878B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减少2.98万元，下降1.95%，主要原因是：2024年减少中央基本公共卫生服务资金</w:t>
      </w:r>
      <w:r>
        <w:rPr>
          <w:rFonts w:hint="eastAsia" w:ascii="仿宋_GB2312" w:hAnsi="仿宋_GB2312" w:eastAsia="仿宋_GB2312"/>
          <w:b w:val="0"/>
          <w:sz w:val="32"/>
          <w:lang w:eastAsia="zh-CN"/>
        </w:rPr>
        <w:t>、</w:t>
      </w:r>
      <w:r>
        <w:rPr>
          <w:rFonts w:ascii="仿宋_GB2312" w:hAnsi="仿宋_GB2312" w:eastAsia="仿宋_GB2312"/>
          <w:b w:val="0"/>
          <w:sz w:val="32"/>
        </w:rPr>
        <w:t>中央重大公共卫生项目经费。</w:t>
      </w:r>
      <w:r>
        <w:rPr>
          <w:rFonts w:ascii="仿宋_GB2312" w:hAnsi="仿宋_GB2312" w:eastAsia="仿宋_GB2312"/>
          <w:b/>
          <w:sz w:val="32"/>
        </w:rPr>
        <w:t>与年初预算相比，</w:t>
      </w:r>
      <w:r>
        <w:rPr>
          <w:rFonts w:ascii="仿宋_GB2312" w:hAnsi="仿宋_GB2312" w:eastAsia="仿宋_GB2312"/>
          <w:b w:val="0"/>
          <w:sz w:val="32"/>
        </w:rPr>
        <w:t>年初预算数141.86万元，决算数150.12万元，预决算差异率5.82%，主要原因是：年中追加人员工资、社保、公积金基数调增部分资金，导致预决算存在差异。</w:t>
      </w:r>
    </w:p>
    <w:p w14:paraId="10753758">
      <w:pPr>
        <w:spacing w:line="640" w:lineRule="exact"/>
        <w:ind w:firstLine="640"/>
        <w:jc w:val="both"/>
        <w:outlineLvl w:val="2"/>
      </w:pPr>
      <w:r>
        <w:rPr>
          <w:rFonts w:ascii="黑体" w:hAnsi="黑体" w:eastAsia="黑体"/>
          <w:sz w:val="32"/>
        </w:rPr>
        <w:t>五、一般公共预算财政拨款支出决算情况说明</w:t>
      </w:r>
    </w:p>
    <w:p w14:paraId="3A15B277">
      <w:pPr>
        <w:spacing w:line="640" w:lineRule="exact"/>
        <w:ind w:firstLine="640"/>
        <w:jc w:val="both"/>
        <w:outlineLvl w:val="3"/>
      </w:pPr>
      <w:r>
        <w:rPr>
          <w:rFonts w:ascii="楷体_GB2312" w:hAnsi="楷体_GB2312" w:eastAsia="楷体_GB2312"/>
          <w:b/>
          <w:sz w:val="32"/>
        </w:rPr>
        <w:t>（一）一般公共预算财政拨款支出决算总体情况</w:t>
      </w:r>
    </w:p>
    <w:p w14:paraId="43A78B15">
      <w:pPr>
        <w:spacing w:line="580" w:lineRule="exact"/>
        <w:ind w:firstLine="640"/>
        <w:jc w:val="both"/>
      </w:pPr>
      <w:r>
        <w:rPr>
          <w:rFonts w:ascii="仿宋_GB2312" w:hAnsi="仿宋_GB2312" w:eastAsia="仿宋_GB2312"/>
          <w:b/>
          <w:sz w:val="32"/>
        </w:rPr>
        <w:t>2024年度一般公共预算财政拨款支出150.12万元，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减少2.98万元，下降1.95%，主要原因是：2024年减少中央基本公共卫生服务资金</w:t>
      </w:r>
      <w:r>
        <w:rPr>
          <w:rFonts w:hint="eastAsia" w:ascii="仿宋_GB2312" w:hAnsi="仿宋_GB2312" w:eastAsia="仿宋_GB2312"/>
          <w:b w:val="0"/>
          <w:sz w:val="32"/>
          <w:lang w:eastAsia="zh-CN"/>
        </w:rPr>
        <w:t>、</w:t>
      </w:r>
      <w:r>
        <w:rPr>
          <w:rFonts w:ascii="仿宋_GB2312" w:hAnsi="仿宋_GB2312" w:eastAsia="仿宋_GB2312"/>
          <w:b w:val="0"/>
          <w:sz w:val="32"/>
        </w:rPr>
        <w:t>中央重大公共卫生项目经费。</w:t>
      </w:r>
      <w:r>
        <w:rPr>
          <w:rFonts w:ascii="仿宋_GB2312" w:hAnsi="仿宋_GB2312" w:eastAsia="仿宋_GB2312"/>
          <w:b/>
          <w:sz w:val="32"/>
        </w:rPr>
        <w:t>与年初预算相比,</w:t>
      </w:r>
      <w:r>
        <w:rPr>
          <w:rFonts w:ascii="仿宋_GB2312" w:hAnsi="仿宋_GB2312" w:eastAsia="仿宋_GB2312"/>
          <w:b w:val="0"/>
          <w:sz w:val="32"/>
        </w:rPr>
        <w:t>年初预算数141.86万元，决算数150.12万元，预决算差异率5.82%，主要原因是：年中追加人员工资、社保、公积金基数调增部分资金，导致预决算存在差异。</w:t>
      </w:r>
    </w:p>
    <w:p w14:paraId="57931A82">
      <w:pPr>
        <w:spacing w:line="640" w:lineRule="exact"/>
        <w:ind w:firstLine="640"/>
        <w:jc w:val="both"/>
        <w:outlineLvl w:val="3"/>
      </w:pPr>
      <w:r>
        <w:rPr>
          <w:rFonts w:ascii="楷体_GB2312" w:hAnsi="楷体_GB2312" w:eastAsia="楷体_GB2312"/>
          <w:b/>
          <w:sz w:val="32"/>
        </w:rPr>
        <w:t>（二）一般公共预算财政拨款支出决算结构情况</w:t>
      </w:r>
    </w:p>
    <w:p w14:paraId="5BEAC2BD">
      <w:pPr>
        <w:spacing w:line="580" w:lineRule="exact"/>
        <w:ind w:firstLine="640"/>
        <w:jc w:val="both"/>
      </w:pPr>
      <w:r>
        <w:rPr>
          <w:rFonts w:ascii="仿宋_GB2312" w:hAnsi="仿宋_GB2312" w:eastAsia="仿宋_GB2312"/>
          <w:b w:val="0"/>
          <w:sz w:val="32"/>
        </w:rPr>
        <w:t>1.社会保障和就业支出(类)18.03万元,占12.01%。</w:t>
      </w:r>
    </w:p>
    <w:p w14:paraId="4D9FC7B3">
      <w:pPr>
        <w:spacing w:line="580" w:lineRule="exact"/>
        <w:ind w:firstLine="640"/>
        <w:jc w:val="both"/>
      </w:pPr>
      <w:r>
        <w:rPr>
          <w:rFonts w:ascii="仿宋_GB2312" w:hAnsi="仿宋_GB2312" w:eastAsia="仿宋_GB2312"/>
          <w:b w:val="0"/>
          <w:sz w:val="32"/>
        </w:rPr>
        <w:t>2.卫生健康支出(类)120.16万元,占80.04%。</w:t>
      </w:r>
    </w:p>
    <w:p w14:paraId="60AF6210">
      <w:pPr>
        <w:spacing w:line="580" w:lineRule="exact"/>
        <w:ind w:firstLine="640"/>
        <w:jc w:val="both"/>
      </w:pPr>
      <w:r>
        <w:rPr>
          <w:rFonts w:ascii="仿宋_GB2312" w:hAnsi="仿宋_GB2312" w:eastAsia="仿宋_GB2312"/>
          <w:b w:val="0"/>
          <w:sz w:val="32"/>
        </w:rPr>
        <w:t>3.住房保障支出(类)11.93万元,占7.95%。</w:t>
      </w:r>
    </w:p>
    <w:p w14:paraId="40AE1451">
      <w:pPr>
        <w:spacing w:line="640" w:lineRule="exact"/>
        <w:ind w:firstLine="640"/>
        <w:jc w:val="both"/>
        <w:outlineLvl w:val="3"/>
      </w:pPr>
      <w:r>
        <w:rPr>
          <w:rFonts w:ascii="楷体_GB2312" w:hAnsi="楷体_GB2312" w:eastAsia="楷体_GB2312"/>
          <w:b/>
          <w:sz w:val="32"/>
        </w:rPr>
        <w:t>（三）一般公共预算财政拨款支出决算具体情况</w:t>
      </w:r>
    </w:p>
    <w:p w14:paraId="2F2558C9">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1.社会保障和就业支出(类)行政事业单位养老支出(款)行政单位离退休(项):支出决算数为3.17万元，比上年决算增加2.08万元，增长190.83%,主要原因是：本年增加退休人员基础绩效奖，退休费支出增加。</w:t>
      </w:r>
    </w:p>
    <w:p w14:paraId="5469D34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14.86万元，比上年决算增加1.70万元，增长12.92%,主要原因是：本年在职人员工资基数调增，养老缴费基数上涨，相应支出增加。</w:t>
      </w:r>
    </w:p>
    <w:p w14:paraId="763813D0">
      <w:pPr>
        <w:spacing w:line="580" w:lineRule="exact"/>
        <w:ind w:firstLine="640"/>
        <w:jc w:val="both"/>
      </w:pPr>
      <w:r>
        <w:rPr>
          <w:rFonts w:ascii="仿宋_GB2312" w:hAnsi="仿宋_GB2312" w:eastAsia="仿宋_GB2312"/>
          <w:b w:val="0"/>
          <w:sz w:val="32"/>
        </w:rPr>
        <w:t>3.卫生健康支出(类)公共卫生(款)卫生监督机构(项):支出决算数为103.36万元，比上年决算减少3.01万元，下降2.83%,主要原因是：本年因在职人员长期病假，故调减在职人员绩效工资及扣减每月工资。</w:t>
      </w:r>
    </w:p>
    <w:p w14:paraId="79936E12">
      <w:pPr>
        <w:spacing w:line="580" w:lineRule="exact"/>
        <w:ind w:firstLine="640"/>
        <w:jc w:val="both"/>
      </w:pPr>
      <w:r>
        <w:rPr>
          <w:rFonts w:ascii="仿宋_GB2312" w:hAnsi="仿宋_GB2312" w:eastAsia="仿宋_GB2312"/>
          <w:b w:val="0"/>
          <w:sz w:val="32"/>
        </w:rPr>
        <w:t>4.卫生健康支出(类)公共卫生(款)基本公共卫生服务(项):支出决算数为0.40万元，比上年决算减少1.80万元，下降81.82%,主要原因是：2024年减少中央基本公共卫生服务资金。</w:t>
      </w:r>
    </w:p>
    <w:p w14:paraId="73410B64">
      <w:pPr>
        <w:spacing w:line="580" w:lineRule="exact"/>
        <w:ind w:firstLine="640"/>
        <w:jc w:val="both"/>
      </w:pPr>
      <w:r>
        <w:rPr>
          <w:rFonts w:ascii="仿宋_GB2312" w:hAnsi="仿宋_GB2312" w:eastAsia="仿宋_GB2312"/>
          <w:b w:val="0"/>
          <w:sz w:val="32"/>
        </w:rPr>
        <w:t>5.卫生健康支出(类)公共卫生(款)重大公共卫生服务(项):支出决算数为7.78万元，比上年决算减少2.22万元，下降22.20%,主要原因是：2024年减少中央重大公共卫生项目经费。</w:t>
      </w:r>
    </w:p>
    <w:p w14:paraId="21D4FEEC">
      <w:pPr>
        <w:spacing w:line="580" w:lineRule="exact"/>
        <w:ind w:firstLine="640"/>
        <w:jc w:val="both"/>
      </w:pPr>
      <w:r>
        <w:rPr>
          <w:rFonts w:ascii="仿宋_GB2312" w:hAnsi="仿宋_GB2312" w:eastAsia="仿宋_GB2312"/>
          <w:b w:val="0"/>
          <w:sz w:val="32"/>
        </w:rPr>
        <w:t>6.卫生健康支出(类)公共卫生(款)其他公共卫生支出(项):支出决算数为1.00万元，比上年决算增加1.00万元，增长100.00%,主要原因是：2024年新增全民健康体检资金双色随机项目资金增加。</w:t>
      </w:r>
    </w:p>
    <w:p w14:paraId="0E2DAD43">
      <w:pPr>
        <w:spacing w:line="580" w:lineRule="exact"/>
        <w:ind w:firstLine="640"/>
        <w:jc w:val="both"/>
      </w:pPr>
      <w:r>
        <w:rPr>
          <w:rFonts w:ascii="仿宋_GB2312" w:hAnsi="仿宋_GB2312" w:eastAsia="仿宋_GB2312"/>
          <w:b w:val="0"/>
          <w:sz w:val="32"/>
        </w:rPr>
        <w:t>7.卫生健康支出(类)行政事业单位医疗(款)行政单位医疗(项):支出决算数为7.43万元，比上年决算减少1.58万元，下降17.54%,主要原因是：因退休人员医疗保险制度改革，退休人员基本医疗不再由单位缴纳，导致经费较上年减少。</w:t>
      </w:r>
    </w:p>
    <w:p w14:paraId="10550CF6">
      <w:pPr>
        <w:spacing w:line="580" w:lineRule="exact"/>
        <w:ind w:firstLine="640"/>
        <w:jc w:val="both"/>
      </w:pPr>
      <w:r>
        <w:rPr>
          <w:rFonts w:ascii="仿宋_GB2312" w:hAnsi="仿宋_GB2312" w:eastAsia="仿宋_GB2312"/>
          <w:b w:val="0"/>
          <w:sz w:val="32"/>
        </w:rPr>
        <w:t>8.卫生健康支出(类)行政事业单位医疗(款)公务员医疗补助(项):支出决算数为0.18万元，比上年决算减少0.21万元，下降53.85%,主要原因是：本年在职人员调入调出，人员职级不同，缴费基数不同，导致公务员医疗补助较上年减少。</w:t>
      </w:r>
    </w:p>
    <w:p w14:paraId="05B955E3">
      <w:pPr>
        <w:spacing w:line="580" w:lineRule="exact"/>
        <w:ind w:firstLine="640"/>
        <w:jc w:val="both"/>
      </w:pPr>
      <w:r>
        <w:rPr>
          <w:rFonts w:ascii="仿宋_GB2312" w:hAnsi="仿宋_GB2312" w:eastAsia="仿宋_GB2312"/>
          <w:b w:val="0"/>
          <w:sz w:val="32"/>
        </w:rPr>
        <w:t>9.住房保障支出(类)住房改革支出(款)住房公积金(项):支出决算数为11.93万元，比上年决算增加1.05万元，增长9.65%,主要原因是：本年在职人员工资基数调增，公积金缴费基数上涨，相应支出增加。</w:t>
      </w:r>
    </w:p>
    <w:p w14:paraId="3DFBF2D1">
      <w:pPr>
        <w:spacing w:line="640" w:lineRule="exact"/>
        <w:ind w:firstLine="640"/>
        <w:jc w:val="both"/>
        <w:outlineLvl w:val="2"/>
      </w:pPr>
      <w:r>
        <w:rPr>
          <w:rFonts w:ascii="黑体" w:hAnsi="黑体" w:eastAsia="黑体"/>
          <w:sz w:val="32"/>
        </w:rPr>
        <w:t>六、一般公共预算财政拨款基本支出决算情况说明</w:t>
      </w:r>
    </w:p>
    <w:p w14:paraId="6E5E0010">
      <w:pPr>
        <w:spacing w:line="580" w:lineRule="exact"/>
        <w:ind w:firstLine="640"/>
        <w:jc w:val="both"/>
      </w:pPr>
      <w:r>
        <w:rPr>
          <w:rFonts w:ascii="仿宋_GB2312" w:hAnsi="仿宋_GB2312" w:eastAsia="仿宋_GB2312"/>
          <w:b w:val="0"/>
          <w:sz w:val="32"/>
        </w:rPr>
        <w:t>2024年度一般公共预算财政拨款基本支出140.94万元，其中：</w:t>
      </w:r>
      <w:r>
        <w:rPr>
          <w:rFonts w:ascii="仿宋_GB2312" w:hAnsi="仿宋_GB2312" w:eastAsia="仿宋_GB2312"/>
          <w:b/>
          <w:sz w:val="32"/>
        </w:rPr>
        <w:t>人员经费140.76万元，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包括：基本工资、津贴补贴、奖金、机关事业单位基本养老保险缴费、职工基本医疗保险缴费、公务员医疗补助缴费、其他社会保障缴费、住房公积金、退休费、奖励金。</w:t>
      </w:r>
    </w:p>
    <w:p w14:paraId="25D93887">
      <w:pPr>
        <w:spacing w:line="580" w:lineRule="exact"/>
        <w:ind w:firstLine="640"/>
        <w:jc w:val="both"/>
      </w:pPr>
      <w:r>
        <w:rPr>
          <w:rFonts w:ascii="仿宋_GB2312" w:hAnsi="仿宋_GB2312" w:eastAsia="仿宋_GB2312"/>
          <w:b/>
          <w:sz w:val="32"/>
        </w:rPr>
        <w:t>公用经费0.18万元，</w:t>
      </w:r>
      <w:r>
        <w:rPr>
          <w:rFonts w:ascii="仿宋_GB2312" w:hAnsi="仿宋_GB2312" w:eastAsia="仿宋_GB2312"/>
          <w:b w:val="0"/>
          <w:sz w:val="32"/>
        </w:rPr>
        <w:t>包括：工会经费。</w:t>
      </w:r>
    </w:p>
    <w:p w14:paraId="570F9C4F">
      <w:pPr>
        <w:spacing w:line="640" w:lineRule="exact"/>
        <w:ind w:firstLine="640"/>
        <w:jc w:val="both"/>
        <w:outlineLvl w:val="2"/>
      </w:pPr>
      <w:r>
        <w:rPr>
          <w:rFonts w:ascii="黑体" w:hAnsi="黑体" w:eastAsia="黑体"/>
          <w:sz w:val="32"/>
        </w:rPr>
        <w:t>七、政府性基金预算财政拨款收入支出决算情况说明</w:t>
      </w:r>
    </w:p>
    <w:p w14:paraId="59FB076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A13D2BD">
      <w:pPr>
        <w:spacing w:line="640" w:lineRule="exact"/>
        <w:ind w:firstLine="640"/>
        <w:jc w:val="both"/>
        <w:outlineLvl w:val="2"/>
      </w:pPr>
      <w:r>
        <w:rPr>
          <w:rFonts w:ascii="黑体" w:hAnsi="黑体" w:eastAsia="黑体"/>
          <w:sz w:val="32"/>
        </w:rPr>
        <w:t>八、国有资本经营预算财政拨款收入支出决算情况说明</w:t>
      </w:r>
    </w:p>
    <w:p w14:paraId="1A3BF08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D5E580D">
      <w:pPr>
        <w:spacing w:line="640" w:lineRule="exact"/>
        <w:ind w:firstLine="640"/>
        <w:jc w:val="both"/>
        <w:outlineLvl w:val="2"/>
      </w:pPr>
      <w:r>
        <w:rPr>
          <w:rFonts w:ascii="黑体" w:hAnsi="黑体" w:eastAsia="黑体"/>
          <w:sz w:val="32"/>
        </w:rPr>
        <w:t>九、财政拨款“三公”经费支出决算情况说明</w:t>
      </w:r>
    </w:p>
    <w:p w14:paraId="081137C7">
      <w:pPr>
        <w:spacing w:line="580" w:lineRule="exact"/>
        <w:ind w:firstLine="640"/>
        <w:jc w:val="both"/>
      </w:pPr>
      <w:r>
        <w:rPr>
          <w:rFonts w:ascii="仿宋_GB2312" w:hAnsi="仿宋_GB2312" w:eastAsia="仿宋_GB2312"/>
          <w:b/>
          <w:sz w:val="32"/>
        </w:rPr>
        <w:t>2024年度财政拨款“三公”经费支出1.14万元，</w:t>
      </w:r>
      <w:r>
        <w:rPr>
          <w:rFonts w:ascii="仿宋_GB2312" w:hAnsi="仿宋_GB2312" w:eastAsia="仿宋_GB2312"/>
          <w:b w:val="0"/>
          <w:sz w:val="32"/>
        </w:rPr>
        <w:t>比上年减少0.97万元，下降45.97%，主要原因是：本年度减少车辆使用次数，故车辆燃油费及车辆维修费减少。其中：因公出国（境）费支出0.00万元，占0.00%，比上年增加0.00万元，增长0.00%，主要原因是：2023年与2024年均未安排因公出国（境）费支出。公务用车购置及运行维护费支出1.14万元，占100.00%，比上年减少0.97万元，下降45.97%，主要原因是：本年度减少车辆使用次数，故车辆燃油费及车辆维修费减少。公务接待费支出0.00万元，占0.00%，比上年增加0.00万元，增长0.00%，主要原因是：2023年与2024年均未安排公务接待费支出。</w:t>
      </w:r>
    </w:p>
    <w:p w14:paraId="37206763">
      <w:pPr>
        <w:spacing w:line="580" w:lineRule="exact"/>
        <w:ind w:firstLine="640"/>
        <w:jc w:val="both"/>
      </w:pPr>
      <w:r>
        <w:rPr>
          <w:rFonts w:ascii="仿宋_GB2312" w:hAnsi="仿宋_GB2312" w:eastAsia="仿宋_GB2312"/>
          <w:b/>
          <w:sz w:val="32"/>
        </w:rPr>
        <w:t>具体情况如下：</w:t>
      </w:r>
    </w:p>
    <w:p w14:paraId="7C40304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11698AE">
      <w:pPr>
        <w:spacing w:line="580" w:lineRule="exact"/>
        <w:ind w:firstLine="640"/>
        <w:jc w:val="both"/>
      </w:pPr>
      <w:r>
        <w:rPr>
          <w:rFonts w:ascii="仿宋_GB2312" w:hAnsi="仿宋_GB2312" w:eastAsia="仿宋_GB2312"/>
          <w:b w:val="0"/>
          <w:sz w:val="32"/>
        </w:rPr>
        <w:t>公务用车购置及运行维护费1.14万元，其中：公务用车购置费0.00万元，公务用车运行维护费1.14万元。公务用车运行维护费开支内容包括燃油费、保险费、维修费、过路费。公务用车购置数0辆，公务用车保有量3辆。国有资产占用情况中固定资产车辆3辆，与公务用车保有量差异原因是：本单位固定资产车辆与公务用车保有量一致无差异。</w:t>
      </w:r>
    </w:p>
    <w:p w14:paraId="7F61257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E4B83A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1.14万元，决算数1.14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1.14万元，决算数1.14万元，预决算差异率0.00%，主要原因是：严格按照预算执行，预决算无差异。公务接待费全年预算数0.00万元，决算数0.00万元，预决算差异率0.00%，主要原因是：本单位无公务接待费。</w:t>
      </w:r>
    </w:p>
    <w:p w14:paraId="304F35B6">
      <w:pPr>
        <w:spacing w:line="640" w:lineRule="exact"/>
        <w:ind w:firstLine="640"/>
        <w:jc w:val="both"/>
        <w:outlineLvl w:val="2"/>
      </w:pPr>
      <w:r>
        <w:rPr>
          <w:rFonts w:ascii="黑体" w:hAnsi="黑体" w:eastAsia="黑体"/>
          <w:sz w:val="32"/>
        </w:rPr>
        <w:t>十、其他重要事项的情况说明</w:t>
      </w:r>
    </w:p>
    <w:p w14:paraId="547E8E44">
      <w:pPr>
        <w:spacing w:line="640" w:lineRule="exact"/>
        <w:ind w:firstLine="640"/>
        <w:jc w:val="both"/>
        <w:outlineLvl w:val="3"/>
      </w:pPr>
      <w:r>
        <w:rPr>
          <w:rFonts w:ascii="楷体_GB2312" w:hAnsi="楷体_GB2312" w:eastAsia="楷体_GB2312"/>
          <w:b/>
          <w:sz w:val="32"/>
        </w:rPr>
        <w:t>（一）机关运行经费及公用经费支出情况</w:t>
      </w:r>
    </w:p>
    <w:p w14:paraId="75286F1B">
      <w:pPr>
        <w:spacing w:line="580" w:lineRule="exact"/>
        <w:ind w:firstLine="640"/>
        <w:jc w:val="both"/>
      </w:pPr>
      <w:r>
        <w:rPr>
          <w:rFonts w:ascii="仿宋_GB2312" w:hAnsi="仿宋_GB2312" w:eastAsia="仿宋_GB2312"/>
          <w:b w:val="0"/>
          <w:sz w:val="32"/>
        </w:rPr>
        <w:t>2024年度霍城县卫生健康综合监督执法局（行政单位和参照公务员法管理事业单位）机关运行经费支出0.18万元，比上年增加0.02万元，增长12.50%，主要原因是：本年</w:t>
      </w:r>
      <w:r>
        <w:rPr>
          <w:rFonts w:hint="eastAsia" w:ascii="仿宋_GB2312" w:hAnsi="仿宋_GB2312" w:eastAsia="仿宋_GB2312"/>
          <w:b w:val="0"/>
          <w:sz w:val="32"/>
          <w:lang w:val="en-US" w:eastAsia="zh-CN"/>
        </w:rPr>
        <w:t>工会经费增加</w:t>
      </w:r>
      <w:r>
        <w:rPr>
          <w:rFonts w:ascii="仿宋_GB2312" w:hAnsi="仿宋_GB2312" w:eastAsia="仿宋_GB2312"/>
          <w:b w:val="0"/>
          <w:sz w:val="32"/>
        </w:rPr>
        <w:t>，导致机关运行经费较上年增加。</w:t>
      </w:r>
      <w:bookmarkStart w:id="0" w:name="_GoBack"/>
      <w:bookmarkEnd w:id="0"/>
    </w:p>
    <w:p w14:paraId="76F8D750">
      <w:pPr>
        <w:spacing w:line="640" w:lineRule="exact"/>
        <w:ind w:firstLine="640"/>
        <w:jc w:val="both"/>
        <w:outlineLvl w:val="3"/>
      </w:pPr>
      <w:r>
        <w:rPr>
          <w:rFonts w:ascii="楷体_GB2312" w:hAnsi="楷体_GB2312" w:eastAsia="楷体_GB2312"/>
          <w:b/>
          <w:sz w:val="32"/>
        </w:rPr>
        <w:t>（二）政府采购情况</w:t>
      </w:r>
    </w:p>
    <w:p w14:paraId="6D4F85CA">
      <w:pPr>
        <w:spacing w:line="580" w:lineRule="exact"/>
        <w:ind w:firstLine="640"/>
        <w:jc w:val="both"/>
      </w:pPr>
      <w:r>
        <w:rPr>
          <w:rFonts w:ascii="仿宋_GB2312" w:hAnsi="仿宋_GB2312" w:eastAsia="仿宋_GB2312"/>
          <w:b w:val="0"/>
          <w:sz w:val="32"/>
        </w:rPr>
        <w:t>2024年度政府采购支出总额2.29万元，其中：政府采购货物支出1.14万元、政府采购工程支出0.00万元、政府采购服务支出1.14万元。</w:t>
      </w:r>
    </w:p>
    <w:p w14:paraId="5ECF8185">
      <w:pPr>
        <w:spacing w:line="580" w:lineRule="exact"/>
        <w:ind w:firstLine="640"/>
        <w:jc w:val="both"/>
      </w:pPr>
      <w:r>
        <w:rPr>
          <w:rFonts w:ascii="仿宋_GB2312" w:hAnsi="仿宋_GB2312" w:eastAsia="仿宋_GB2312"/>
          <w:b w:val="0"/>
          <w:sz w:val="32"/>
        </w:rPr>
        <w:t>授予中小企业合同金额2.29万元，占政府采购支出总额的100.00%，其中：授予小微企业合同金额2.29万元，占政府采购支出总额的100.00%。</w:t>
      </w:r>
    </w:p>
    <w:p w14:paraId="4D20F414">
      <w:pPr>
        <w:spacing w:line="640" w:lineRule="exact"/>
        <w:ind w:firstLine="640"/>
        <w:jc w:val="both"/>
        <w:outlineLvl w:val="3"/>
      </w:pPr>
      <w:r>
        <w:rPr>
          <w:rFonts w:ascii="楷体_GB2312" w:hAnsi="楷体_GB2312" w:eastAsia="楷体_GB2312"/>
          <w:b/>
          <w:sz w:val="32"/>
        </w:rPr>
        <w:t>（三）国有资产占用情况说明</w:t>
      </w:r>
    </w:p>
    <w:p w14:paraId="1F463B73">
      <w:pPr>
        <w:spacing w:line="580" w:lineRule="exact"/>
        <w:ind w:firstLine="640"/>
        <w:jc w:val="both"/>
      </w:pPr>
      <w:r>
        <w:rPr>
          <w:rFonts w:ascii="仿宋_GB2312" w:hAnsi="仿宋_GB2312" w:eastAsia="仿宋_GB2312"/>
          <w:b w:val="0"/>
          <w:sz w:val="32"/>
        </w:rPr>
        <w:t>截至2024年12月31日，房屋2,173.00平方米，价值502.54万元。车辆3辆，价值55.77万元，其中：副部（省）级及以上领导用车0辆、主要负责人用车0辆、机要通信用车0辆、应急保障用车0辆、执法执勤用车3辆、特种专业技术用车0辆、离退休干部服务用车0辆、其他用车0辆，其他用车主要是：本单位无其他用车。单价100万元（含）以上设备（不含车辆）0台（套）。</w:t>
      </w:r>
    </w:p>
    <w:p w14:paraId="07DA0CDD">
      <w:pPr>
        <w:spacing w:line="640" w:lineRule="exact"/>
        <w:ind w:firstLine="640"/>
        <w:jc w:val="both"/>
        <w:outlineLvl w:val="2"/>
      </w:pPr>
      <w:r>
        <w:rPr>
          <w:rFonts w:ascii="黑体" w:hAnsi="黑体" w:eastAsia="黑体"/>
          <w:sz w:val="32"/>
        </w:rPr>
        <w:t>十一、预算绩效的情况说明</w:t>
      </w:r>
    </w:p>
    <w:p w14:paraId="16403A1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150.12万元，实际执行总额150.12万元；预算绩效评价项目0个，全年预算数0.00万元，全年执行数0.00万元。预算绩效管理取得的成效：一是在制定各类资金管理办法时，明确绩效结果应用要求，规范绩效因素使用方式。将重点绩效评价结果反馈被评价部门，及时督促整改；二是将绩效管理融入预算编制、执行、监督全过程。强化绩效目标管理，不断提高绩效目标的科学性、规范性。组织开展绩效运行监控，加强监控结果应用。发现的问题及原因：公共卫生防治体系和应急机制不健全。下一步改进措施：从源头抓起，科学合理编制经费预算。根据中央和省、市、县财政预算改革的有关要求，结合单位实际需要，按标准、按项目科学认真编制部门预算。逐步实现全面预算管理，加强事前控制，及时分析、总结及评估，不断提高预算编制的准确性，提高可操作性。具体附整体支出绩效自评表。</w:t>
      </w:r>
    </w:p>
    <w:p w14:paraId="248224A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E22A5DD">
        <w:tblPrEx>
          <w:tblCellMar>
            <w:top w:w="0" w:type="dxa"/>
            <w:left w:w="108" w:type="dxa"/>
            <w:bottom w:w="0" w:type="dxa"/>
            <w:right w:w="108" w:type="dxa"/>
          </w:tblCellMar>
        </w:tblPrEx>
        <w:tc>
          <w:tcPr>
            <w:tcW w:w="8840" w:type="dxa"/>
            <w:gridSpan w:val="8"/>
            <w:vAlign w:val="center"/>
          </w:tcPr>
          <w:p w14:paraId="2D21E75C">
            <w:pPr>
              <w:jc w:val="center"/>
            </w:pPr>
            <w:r>
              <w:rPr>
                <w:rFonts w:ascii="宋体" w:hAnsi="宋体" w:eastAsia="宋体"/>
                <w:sz w:val="24"/>
              </w:rPr>
              <w:t>单位整体支出绩效自评表</w:t>
            </w:r>
          </w:p>
        </w:tc>
      </w:tr>
      <w:tr w14:paraId="041AED21">
        <w:tblPrEx>
          <w:tblCellMar>
            <w:top w:w="0" w:type="dxa"/>
            <w:left w:w="108" w:type="dxa"/>
            <w:bottom w:w="0" w:type="dxa"/>
            <w:right w:w="108" w:type="dxa"/>
          </w:tblCellMar>
        </w:tblPrEx>
        <w:tc>
          <w:tcPr>
            <w:tcW w:w="8840" w:type="dxa"/>
            <w:gridSpan w:val="8"/>
            <w:vAlign w:val="center"/>
          </w:tcPr>
          <w:p w14:paraId="78B9FCBD">
            <w:pPr>
              <w:jc w:val="center"/>
            </w:pPr>
            <w:r>
              <w:rPr>
                <w:rFonts w:ascii="宋体" w:hAnsi="宋体" w:eastAsia="宋体"/>
                <w:sz w:val="24"/>
              </w:rPr>
              <w:t>（2024年度）</w:t>
            </w:r>
          </w:p>
        </w:tc>
      </w:tr>
      <w:tr w14:paraId="338052F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2D3A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F7485A">
            <w:pPr>
              <w:jc w:val="center"/>
            </w:pPr>
            <w:r>
              <w:rPr>
                <w:rFonts w:ascii="宋体" w:hAnsi="宋体" w:eastAsia="宋体"/>
                <w:sz w:val="16"/>
              </w:rPr>
              <w:t>霍城县卫生健康综合监督执法局</w:t>
            </w:r>
          </w:p>
        </w:tc>
      </w:tr>
      <w:tr w14:paraId="71F99DE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A726F">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6C018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8EE5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80475">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5ABF53">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17CFC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3094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A81AF">
            <w:pPr>
              <w:jc w:val="center"/>
            </w:pPr>
            <w:r>
              <w:rPr>
                <w:rFonts w:ascii="宋体" w:hAnsi="宋体" w:eastAsia="宋体"/>
                <w:sz w:val="16"/>
              </w:rPr>
              <w:t>得分</w:t>
            </w:r>
          </w:p>
        </w:tc>
      </w:tr>
      <w:tr w14:paraId="40A920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0F4D8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8307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D475A">
            <w:pPr>
              <w:jc w:val="center"/>
            </w:pPr>
            <w:r>
              <w:rPr>
                <w:rFonts w:ascii="宋体" w:hAnsi="宋体" w:eastAsia="宋体"/>
                <w:sz w:val="16"/>
              </w:rPr>
              <w:t>141.86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03EF2A">
            <w:pPr>
              <w:jc w:val="center"/>
            </w:pPr>
            <w:r>
              <w:rPr>
                <w:rFonts w:ascii="宋体" w:hAnsi="宋体" w:eastAsia="宋体"/>
                <w:sz w:val="16"/>
              </w:rPr>
              <w:t>150.12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B250BC">
            <w:pPr>
              <w:jc w:val="center"/>
            </w:pPr>
            <w:r>
              <w:rPr>
                <w:rFonts w:ascii="宋体" w:hAnsi="宋体" w:eastAsia="宋体"/>
                <w:sz w:val="16"/>
              </w:rPr>
              <w:t>150.12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4BC70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0371F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04B5C">
            <w:pPr>
              <w:jc w:val="center"/>
            </w:pPr>
            <w:r>
              <w:rPr>
                <w:rFonts w:ascii="宋体" w:hAnsi="宋体" w:eastAsia="宋体"/>
                <w:sz w:val="16"/>
              </w:rPr>
              <w:t>10</w:t>
            </w:r>
          </w:p>
        </w:tc>
      </w:tr>
      <w:tr w14:paraId="4004ACE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ADF2F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637EB6">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F102D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871257">
            <w:pPr>
              <w:jc w:val="center"/>
            </w:pPr>
            <w:r>
              <w:rPr>
                <w:rFonts w:ascii="宋体" w:hAnsi="宋体" w:eastAsia="宋体"/>
                <w:sz w:val="16"/>
              </w:rPr>
              <w:t>9.18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E9B98D">
            <w:pPr>
              <w:jc w:val="center"/>
            </w:pPr>
            <w:r>
              <w:rPr>
                <w:rFonts w:ascii="宋体" w:hAnsi="宋体" w:eastAsia="宋体"/>
                <w:sz w:val="16"/>
              </w:rPr>
              <w:t>9.18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A9D0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33536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42C82E">
            <w:pPr>
              <w:jc w:val="center"/>
            </w:pPr>
            <w:r>
              <w:rPr>
                <w:rFonts w:ascii="宋体" w:hAnsi="宋体" w:eastAsia="宋体"/>
                <w:sz w:val="16"/>
              </w:rPr>
              <w:t>-</w:t>
            </w:r>
          </w:p>
        </w:tc>
      </w:tr>
      <w:tr w14:paraId="7EE7E1E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0C240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E7385A">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733B83">
            <w:pPr>
              <w:jc w:val="center"/>
            </w:pPr>
            <w:r>
              <w:rPr>
                <w:rFonts w:ascii="宋体" w:hAnsi="宋体" w:eastAsia="宋体"/>
                <w:sz w:val="16"/>
              </w:rPr>
              <w:t>141.86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3F8543">
            <w:pPr>
              <w:jc w:val="center"/>
            </w:pPr>
            <w:r>
              <w:rPr>
                <w:rFonts w:ascii="宋体" w:hAnsi="宋体" w:eastAsia="宋体"/>
                <w:sz w:val="16"/>
              </w:rPr>
              <w:t>140.94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1BBE9B">
            <w:pPr>
              <w:jc w:val="center"/>
            </w:pPr>
            <w:r>
              <w:rPr>
                <w:rFonts w:ascii="宋体" w:hAnsi="宋体" w:eastAsia="宋体"/>
                <w:sz w:val="16"/>
              </w:rPr>
              <w:t>140.94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6F41A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17FC4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75A2E9">
            <w:pPr>
              <w:jc w:val="center"/>
            </w:pPr>
            <w:r>
              <w:rPr>
                <w:rFonts w:ascii="宋体" w:hAnsi="宋体" w:eastAsia="宋体"/>
                <w:sz w:val="16"/>
              </w:rPr>
              <w:t>-</w:t>
            </w:r>
          </w:p>
        </w:tc>
      </w:tr>
      <w:tr w14:paraId="7F57AB9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C9D38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359844">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8581A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15DF6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380E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01C2E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F4B6E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C3DD36">
            <w:pPr>
              <w:jc w:val="center"/>
            </w:pPr>
            <w:r>
              <w:rPr>
                <w:rFonts w:ascii="宋体" w:hAnsi="宋体" w:eastAsia="宋体"/>
                <w:sz w:val="16"/>
              </w:rPr>
              <w:t>-</w:t>
            </w:r>
          </w:p>
        </w:tc>
      </w:tr>
      <w:tr w14:paraId="2380049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DF3EB">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5A6E6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34B9A6">
            <w:pPr>
              <w:jc w:val="center"/>
            </w:pPr>
            <w:r>
              <w:rPr>
                <w:rFonts w:ascii="宋体" w:hAnsi="宋体" w:eastAsia="宋体"/>
                <w:sz w:val="16"/>
              </w:rPr>
              <w:t>实际完成情况</w:t>
            </w:r>
          </w:p>
        </w:tc>
      </w:tr>
      <w:tr w14:paraId="61A3E37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8FA23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2FF920">
            <w:pPr>
              <w:jc w:val="both"/>
            </w:pPr>
            <w:r>
              <w:rPr>
                <w:rFonts w:ascii="宋体" w:hAnsi="宋体" w:eastAsia="宋体"/>
                <w:sz w:val="16"/>
              </w:rPr>
              <w:t>贯彻落实习近平新时代中国特色社会主义思想，持续深化医药卫生体制改革，坚持科学发展，坚持以人民为中心，以社会需求为导向，突出重点、整体推进，促进医疗事业与社会经济协调发展。一、负责监督检查卫生健 康法律法规的落实情况；二、承担公共场所卫生、饮用水卫生、学校卫生、医疗卫生、职业卫生、放射卫生、传染病防治、JHSY和中医服务等综合行政执法职责；三、承担食品安全标准的相关工作；四、承担县卫生健康综合监督执法机构的业务指导培训和稽查考核；五、指导重大活动的公共卫生监督保障，组织开展卫生监督应急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477864">
            <w:pPr>
              <w:jc w:val="both"/>
            </w:pPr>
            <w:r>
              <w:rPr>
                <w:rFonts w:ascii="宋体" w:hAnsi="宋体" w:eastAsia="宋体"/>
                <w:sz w:val="16"/>
              </w:rPr>
              <w:t>按照年初设定计划开展日常监督管理工作任务，结合各类专项监督要求，出动卫生监督员200余人次，对全县医疗卫生机构监督检查70余场次，受理各类投诉、举报线索5条，移送线索1条，查实6起，目前共立案6起，其中非法行医3起，违反行业规定1起，目前3起已结案，3起正在办理中（分期付款），共计罚没款19余万元。我局结合各专项检查及新冠感染“乙类乙管”特殊要求重点对各级各类医疗机构的执业情况、医疗质量、传染病</w:t>
            </w:r>
            <w:r>
              <w:rPr>
                <w:rFonts w:hint="eastAsia" w:ascii="宋体" w:hAnsi="宋体"/>
                <w:sz w:val="16"/>
                <w:lang w:eastAsia="zh-CN"/>
              </w:rPr>
              <w:t>防疫</w:t>
            </w:r>
            <w:r>
              <w:rPr>
                <w:rFonts w:ascii="宋体" w:hAnsi="宋体" w:eastAsia="宋体"/>
                <w:sz w:val="16"/>
              </w:rPr>
              <w:t>报告、消毒隔离措施落实，医疗废物和传染病防治情况、放射医疗及抗抑菌剂等情况进行了检查，有效打击了非法行医等违法活动，医疗秩序明显好转，医疗机构管理工作得到了进一步加强。</w:t>
            </w:r>
          </w:p>
        </w:tc>
      </w:tr>
      <w:tr w14:paraId="19C70B0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D6E8D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BAA3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0167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4A566">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80419">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9F3C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AA75A">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D44680">
            <w:pPr>
              <w:jc w:val="center"/>
            </w:pPr>
            <w:r>
              <w:rPr>
                <w:rFonts w:ascii="宋体" w:hAnsi="宋体" w:eastAsia="宋体"/>
                <w:sz w:val="16"/>
              </w:rPr>
              <w:t>得分</w:t>
            </w:r>
          </w:p>
        </w:tc>
      </w:tr>
      <w:tr w14:paraId="051D1EF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0715A">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A493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95D6C">
            <w:pPr>
              <w:jc w:val="center"/>
            </w:pPr>
            <w:r>
              <w:rPr>
                <w:rFonts w:ascii="宋体" w:hAnsi="宋体" w:eastAsia="宋体"/>
                <w:sz w:val="16"/>
              </w:rPr>
              <w:t>职业病防治能力培训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F1D3CC">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CE526A">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F3DC5">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EF3C5">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EA70F7">
            <w:pPr>
              <w:jc w:val="center"/>
            </w:pPr>
            <w:r>
              <w:rPr>
                <w:rFonts w:ascii="宋体" w:hAnsi="宋体" w:eastAsia="宋体"/>
                <w:sz w:val="16"/>
              </w:rPr>
              <w:t>30</w:t>
            </w:r>
          </w:p>
        </w:tc>
      </w:tr>
      <w:tr w14:paraId="5129930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37D9F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591B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77EFB">
            <w:pPr>
              <w:jc w:val="center"/>
            </w:pPr>
            <w:r>
              <w:rPr>
                <w:rFonts w:ascii="宋体" w:hAnsi="宋体" w:eastAsia="宋体"/>
                <w:sz w:val="16"/>
              </w:rPr>
              <w:t>“双随机”检查完结率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9CEFB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461C43">
            <w:pPr>
              <w:jc w:val="center"/>
            </w:pPr>
            <w:r>
              <w:rPr>
                <w:rFonts w:ascii="宋体" w:hAnsi="宋体" w:eastAsia="宋体"/>
                <w:sz w:val="16"/>
              </w:rPr>
              <w:t>年度工作总结及计划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7597E4">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4ED36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DD6B2E">
            <w:pPr>
              <w:jc w:val="center"/>
            </w:pPr>
            <w:r>
              <w:rPr>
                <w:rFonts w:ascii="宋体" w:hAnsi="宋体" w:eastAsia="宋体"/>
                <w:sz w:val="16"/>
              </w:rPr>
              <w:t>30</w:t>
            </w:r>
          </w:p>
        </w:tc>
      </w:tr>
      <w:tr w14:paraId="7FF0C57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720A5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C6FEFE">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98BAA4">
            <w:pPr>
              <w:jc w:val="center"/>
            </w:pPr>
            <w:r>
              <w:rPr>
                <w:rFonts w:ascii="宋体" w:hAnsi="宋体" w:eastAsia="宋体"/>
                <w:sz w:val="16"/>
              </w:rPr>
              <w:t>卫生许可证办理及时率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024AE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520C1D">
            <w:pPr>
              <w:jc w:val="center"/>
            </w:pPr>
            <w:r>
              <w:rPr>
                <w:rFonts w:ascii="宋体" w:hAnsi="宋体" w:eastAsia="宋体"/>
                <w:sz w:val="16"/>
              </w:rPr>
              <w:t>年度工作总结及计划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3B5C1">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EBECD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36CBD6">
            <w:pPr>
              <w:jc w:val="center"/>
            </w:pPr>
            <w:r>
              <w:rPr>
                <w:rFonts w:ascii="宋体" w:hAnsi="宋体" w:eastAsia="宋体"/>
                <w:sz w:val="16"/>
              </w:rPr>
              <w:t>30</w:t>
            </w:r>
          </w:p>
        </w:tc>
      </w:tr>
    </w:tbl>
    <w:p w14:paraId="57E89639">
      <w:r>
        <w:br w:type="page"/>
      </w:r>
    </w:p>
    <w:p w14:paraId="4C1DC4E9">
      <w:pPr>
        <w:spacing w:line="640" w:lineRule="exact"/>
        <w:ind w:firstLine="640"/>
        <w:jc w:val="both"/>
        <w:outlineLvl w:val="2"/>
      </w:pPr>
      <w:r>
        <w:rPr>
          <w:rFonts w:ascii="黑体" w:hAnsi="黑体" w:eastAsia="黑体"/>
          <w:sz w:val="32"/>
        </w:rPr>
        <w:t>十二、其他需说明的事项</w:t>
      </w:r>
    </w:p>
    <w:p w14:paraId="5070F493">
      <w:pPr>
        <w:spacing w:line="580" w:lineRule="exact"/>
        <w:ind w:firstLine="640"/>
        <w:jc w:val="both"/>
      </w:pPr>
      <w:r>
        <w:rPr>
          <w:rFonts w:ascii="仿宋_GB2312" w:hAnsi="仿宋_GB2312" w:eastAsia="仿宋_GB2312"/>
          <w:b w:val="0"/>
          <w:sz w:val="32"/>
        </w:rPr>
        <w:t>本单位无其他需说明的事项。</w:t>
      </w:r>
    </w:p>
    <w:p w14:paraId="7BC64104">
      <w:r>
        <w:br w:type="page"/>
      </w:r>
    </w:p>
    <w:p w14:paraId="169195E7">
      <w:pPr>
        <w:spacing w:line="240" w:lineRule="auto"/>
        <w:jc w:val="center"/>
        <w:outlineLvl w:val="1"/>
      </w:pPr>
      <w:r>
        <w:rPr>
          <w:rFonts w:ascii="黑体" w:hAnsi="黑体" w:eastAsia="黑体"/>
          <w:sz w:val="32"/>
        </w:rPr>
        <w:t>第三部分 专业名词解释</w:t>
      </w:r>
    </w:p>
    <w:p w14:paraId="541D741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62CB6B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487F37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D729A1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C4FD50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55C3ED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9832DD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2F5815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7EE18D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01629D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753ABF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82F87C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D5B8E7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56F73B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559AF90">
      <w:r>
        <w:br w:type="page"/>
      </w:r>
    </w:p>
    <w:p w14:paraId="17CB360A">
      <w:pPr>
        <w:spacing w:line="240" w:lineRule="auto"/>
        <w:jc w:val="center"/>
        <w:outlineLvl w:val="1"/>
      </w:pPr>
      <w:r>
        <w:rPr>
          <w:rFonts w:ascii="黑体" w:hAnsi="黑体" w:eastAsia="黑体"/>
          <w:sz w:val="32"/>
        </w:rPr>
        <w:t>第四部分 部门决算报表（见附表）</w:t>
      </w:r>
    </w:p>
    <w:p w14:paraId="34C98AF6">
      <w:pPr>
        <w:spacing w:line="240" w:lineRule="auto"/>
        <w:ind w:firstLine="640"/>
        <w:jc w:val="both"/>
      </w:pPr>
      <w:r>
        <w:rPr>
          <w:rFonts w:ascii="仿宋_GB2312" w:hAnsi="仿宋_GB2312" w:eastAsia="仿宋_GB2312"/>
          <w:b w:val="0"/>
          <w:sz w:val="32"/>
        </w:rPr>
        <w:t>一、《收入支出决算总表》</w:t>
      </w:r>
    </w:p>
    <w:p w14:paraId="38C6D9B0">
      <w:pPr>
        <w:spacing w:line="240" w:lineRule="auto"/>
        <w:ind w:firstLine="640"/>
        <w:jc w:val="both"/>
      </w:pPr>
      <w:r>
        <w:rPr>
          <w:rFonts w:ascii="仿宋_GB2312" w:hAnsi="仿宋_GB2312" w:eastAsia="仿宋_GB2312"/>
          <w:b w:val="0"/>
          <w:sz w:val="32"/>
        </w:rPr>
        <w:t>二、《收入决算表》</w:t>
      </w:r>
    </w:p>
    <w:p w14:paraId="3A25B58E">
      <w:pPr>
        <w:spacing w:line="240" w:lineRule="auto"/>
        <w:ind w:firstLine="640"/>
        <w:jc w:val="both"/>
      </w:pPr>
      <w:r>
        <w:rPr>
          <w:rFonts w:ascii="仿宋_GB2312" w:hAnsi="仿宋_GB2312" w:eastAsia="仿宋_GB2312"/>
          <w:b w:val="0"/>
          <w:sz w:val="32"/>
        </w:rPr>
        <w:t>三、《支出决算表》</w:t>
      </w:r>
    </w:p>
    <w:p w14:paraId="23CA36C0">
      <w:pPr>
        <w:spacing w:line="240" w:lineRule="auto"/>
        <w:ind w:firstLine="640"/>
        <w:jc w:val="both"/>
      </w:pPr>
      <w:r>
        <w:rPr>
          <w:rFonts w:ascii="仿宋_GB2312" w:hAnsi="仿宋_GB2312" w:eastAsia="仿宋_GB2312"/>
          <w:b w:val="0"/>
          <w:sz w:val="32"/>
        </w:rPr>
        <w:t>四、《财政拨款收入支出决算总表》</w:t>
      </w:r>
    </w:p>
    <w:p w14:paraId="1CB12453">
      <w:pPr>
        <w:spacing w:line="240" w:lineRule="auto"/>
        <w:ind w:firstLine="640"/>
        <w:jc w:val="both"/>
      </w:pPr>
      <w:r>
        <w:rPr>
          <w:rFonts w:ascii="仿宋_GB2312" w:hAnsi="仿宋_GB2312" w:eastAsia="仿宋_GB2312"/>
          <w:b w:val="0"/>
          <w:sz w:val="32"/>
        </w:rPr>
        <w:t>五、《一般公共预算财政拨款支出决算表》</w:t>
      </w:r>
    </w:p>
    <w:p w14:paraId="5D1266D2">
      <w:pPr>
        <w:spacing w:line="240" w:lineRule="auto"/>
        <w:ind w:firstLine="640"/>
        <w:jc w:val="both"/>
      </w:pPr>
      <w:r>
        <w:rPr>
          <w:rFonts w:ascii="仿宋_GB2312" w:hAnsi="仿宋_GB2312" w:eastAsia="仿宋_GB2312"/>
          <w:b w:val="0"/>
          <w:sz w:val="32"/>
        </w:rPr>
        <w:t>六、《一般公共预算财政拨款基本支出决算表》</w:t>
      </w:r>
    </w:p>
    <w:p w14:paraId="441CD210">
      <w:pPr>
        <w:spacing w:line="240" w:lineRule="auto"/>
        <w:ind w:firstLine="640"/>
        <w:jc w:val="both"/>
      </w:pPr>
      <w:r>
        <w:rPr>
          <w:rFonts w:ascii="仿宋_GB2312" w:hAnsi="仿宋_GB2312" w:eastAsia="仿宋_GB2312"/>
          <w:b w:val="0"/>
          <w:sz w:val="32"/>
        </w:rPr>
        <w:t>七、《政府性基金预算财政拨款收入支出决算表》</w:t>
      </w:r>
    </w:p>
    <w:p w14:paraId="33678226">
      <w:pPr>
        <w:spacing w:line="240" w:lineRule="auto"/>
        <w:ind w:firstLine="640"/>
        <w:jc w:val="both"/>
      </w:pPr>
      <w:r>
        <w:rPr>
          <w:rFonts w:ascii="仿宋_GB2312" w:hAnsi="仿宋_GB2312" w:eastAsia="仿宋_GB2312"/>
          <w:b w:val="0"/>
          <w:sz w:val="32"/>
        </w:rPr>
        <w:t>八、《国有资本经营预算财政拨款收入支出决算表》</w:t>
      </w:r>
    </w:p>
    <w:p w14:paraId="4A4627FF">
      <w:pPr>
        <w:spacing w:line="240" w:lineRule="auto"/>
        <w:ind w:firstLine="640"/>
        <w:jc w:val="both"/>
      </w:pPr>
      <w:r>
        <w:rPr>
          <w:rFonts w:ascii="仿宋_GB2312" w:hAnsi="仿宋_GB2312" w:eastAsia="仿宋_GB2312"/>
          <w:b w:val="0"/>
          <w:sz w:val="32"/>
        </w:rPr>
        <w:t>九、《财政拨款“三公”经费支出决算表》</w:t>
      </w:r>
    </w:p>
    <w:p w14:paraId="05D5FB4F">
      <w:pPr>
        <w:spacing w:line="240" w:lineRule="auto"/>
        <w:ind w:firstLine="640"/>
        <w:jc w:val="both"/>
      </w:pPr>
    </w:p>
    <w:p w14:paraId="62748E49">
      <w:pPr>
        <w:spacing w:line="240" w:lineRule="auto"/>
        <w:ind w:firstLine="640"/>
        <w:jc w:val="both"/>
      </w:pPr>
    </w:p>
    <w:p w14:paraId="68BEA102">
      <w:pPr>
        <w:spacing w:line="240" w:lineRule="auto"/>
        <w:ind w:firstLine="640"/>
        <w:jc w:val="both"/>
      </w:pPr>
    </w:p>
    <w:p w14:paraId="355F63AB">
      <w:pPr>
        <w:spacing w:line="240" w:lineRule="auto"/>
        <w:ind w:firstLine="640"/>
        <w:jc w:val="both"/>
      </w:pPr>
    </w:p>
    <w:p w14:paraId="3015114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4A54226-81D1-488E-BC97-53A7D6159A4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F286C9A-0737-471C-A2D7-A22238272180}"/>
  </w:font>
  <w:font w:name="仿宋_GB2312">
    <w:altName w:val="仿宋"/>
    <w:panose1 w:val="02010609030101010101"/>
    <w:charset w:val="86"/>
    <w:family w:val="modern"/>
    <w:pitch w:val="default"/>
    <w:sig w:usb0="00000000" w:usb1="00000000" w:usb2="00000000" w:usb3="00000000" w:csb0="00040000" w:csb1="00000000"/>
    <w:embedRegular r:id="rId3" w:fontKey="{F1B4696D-96F1-4D02-B4D7-63A3A4BCF17C}"/>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5E874FB9-DABA-4476-982E-EC8BAE1EBD07}"/>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1BD7E57"/>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983E4D"/>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5151</Words>
  <Characters>5879</Characters>
  <Lines>0</Lines>
  <Paragraphs>0</Paragraphs>
  <TotalTime>4</TotalTime>
  <ScaleCrop>false</ScaleCrop>
  <LinksUpToDate>false</LinksUpToDate>
  <CharactersWithSpaces>5888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2025-09-25T05:26:17Z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