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霍城县医疗保障局2024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3D4F178">
      <w:r>
        <w:br w:type="page"/>
      </w:r>
    </w:p>
    <w:p w14:paraId="726747D4">
      <w:pPr>
        <w:spacing w:line="640" w:lineRule="exact"/>
        <w:jc w:val="center"/>
        <w:outlineLvl w:val="1"/>
      </w:pPr>
      <w:r>
        <w:rPr>
          <w:rFonts w:ascii="黑体" w:hAnsi="黑体" w:eastAsia="黑体"/>
          <w:sz w:val="32"/>
        </w:rPr>
        <w:t>第一部分 单位概况</w:t>
      </w:r>
    </w:p>
    <w:p w14:paraId="02B12641">
      <w:pPr>
        <w:spacing w:line="640" w:lineRule="exact"/>
        <w:ind w:firstLine="640"/>
        <w:jc w:val="both"/>
        <w:outlineLvl w:val="2"/>
      </w:pPr>
      <w:r>
        <w:rPr>
          <w:rFonts w:ascii="黑体" w:hAnsi="黑体" w:eastAsia="黑体"/>
          <w:sz w:val="32"/>
        </w:rPr>
        <w:t>一、主要职能</w:t>
      </w:r>
    </w:p>
    <w:p w14:paraId="1B940C1F">
      <w:pPr>
        <w:spacing w:line="580" w:lineRule="exact"/>
        <w:ind w:firstLine="640"/>
        <w:jc w:val="both"/>
      </w:pPr>
      <w:r>
        <w:rPr>
          <w:rFonts w:ascii="仿宋_GB2312" w:hAnsi="仿宋_GB2312" w:eastAsia="仿宋_GB2312"/>
          <w:sz w:val="32"/>
        </w:rPr>
        <w:t>（一）贯彻执行城镇职工和城乡居民基本医疗保险、生育保险、医疗救助等医疗保障政策、制度和标准。</w:t>
      </w:r>
    </w:p>
    <w:p w14:paraId="7DA44863">
      <w:pPr>
        <w:spacing w:line="580" w:lineRule="exact"/>
        <w:ind w:firstLine="640"/>
        <w:jc w:val="both"/>
      </w:pPr>
      <w:r>
        <w:rPr>
          <w:rFonts w:ascii="仿宋_GB2312" w:hAnsi="仿宋_GB2312" w:eastAsia="仿宋_GB2312"/>
          <w:sz w:val="32"/>
        </w:rPr>
        <w:t>（二）拟定完善全县医疗保障基金监督管理办法，建立健全医疗保障基金安全防控机制，组织建设智能监控平台，推进医疗保障基金支付方式改革，并组织实施。</w:t>
      </w:r>
    </w:p>
    <w:p w14:paraId="3B01AA8E">
      <w:pPr>
        <w:spacing w:line="580" w:lineRule="exact"/>
        <w:ind w:firstLine="640"/>
        <w:jc w:val="both"/>
      </w:pPr>
      <w:r>
        <w:rPr>
          <w:rFonts w:ascii="仿宋_GB2312" w:hAnsi="仿宋_GB2312" w:eastAsia="仿宋_GB2312"/>
          <w:sz w:val="32"/>
        </w:rPr>
        <w:t>（三）落实上级下达制定的城镇职工、城乡居民参保筹资和保障待遇政策，建立健全与筹资水平相适应的待遇调整机制。组织拟定长期护理保险制度改革方案并组织实施。负责全县机关、企事业单位离休人员（含建国前老工人）医疗费统筹管理工作。</w:t>
      </w:r>
    </w:p>
    <w:p w14:paraId="6DEEBD51">
      <w:pPr>
        <w:spacing w:line="580" w:lineRule="exact"/>
        <w:ind w:firstLine="640"/>
        <w:jc w:val="both"/>
      </w:pPr>
      <w:r>
        <w:rPr>
          <w:rFonts w:ascii="仿宋_GB2312" w:hAnsi="仿宋_GB2312" w:eastAsia="仿宋_GB2312"/>
          <w:sz w:val="32"/>
        </w:rPr>
        <w:t>（四）根据全省制定的城乡统一的药品、医用耗材、医保服务项目、医疗服务设施等医保目录，执行统一支付标准。</w:t>
      </w:r>
    </w:p>
    <w:p w14:paraId="7709A548">
      <w:pPr>
        <w:spacing w:line="580" w:lineRule="exact"/>
        <w:ind w:firstLine="640"/>
        <w:jc w:val="both"/>
      </w:pPr>
      <w:r>
        <w:rPr>
          <w:rFonts w:ascii="仿宋_GB2312" w:hAnsi="仿宋_GB2312" w:eastAsia="仿宋_GB2312"/>
          <w:sz w:val="32"/>
        </w:rPr>
        <w:t>（五）贯彻药品、医用耗材价格和医疗服务项目价格、医疗服务设施收费等政策；依法管理药品、医用耗材、医疗服务价格政策执行情况；建立完善药品、医用耗材和医疗服务价格监测信息发布制度。</w:t>
      </w:r>
    </w:p>
    <w:p w14:paraId="790BD1C1">
      <w:pPr>
        <w:spacing w:line="580" w:lineRule="exact"/>
        <w:ind w:firstLine="640"/>
        <w:jc w:val="both"/>
      </w:pPr>
      <w:r>
        <w:rPr>
          <w:rFonts w:ascii="仿宋_GB2312" w:hAnsi="仿宋_GB2312" w:eastAsia="仿宋_GB2312"/>
          <w:sz w:val="32"/>
        </w:rPr>
        <w:t>（六）贯彻执行药品医用耗材的招标采购政策，组织全县药品、医用耗材采购并监督实施，负责县级药品、医用耗材招标采购平台建设。</w:t>
      </w:r>
    </w:p>
    <w:p w14:paraId="430018D6">
      <w:pPr>
        <w:spacing w:line="580" w:lineRule="exact"/>
        <w:ind w:firstLine="640"/>
        <w:jc w:val="both"/>
      </w:pPr>
      <w:r>
        <w:rPr>
          <w:rFonts w:ascii="仿宋_GB2312" w:hAnsi="仿宋_GB2312" w:eastAsia="仿宋_GB2312"/>
          <w:sz w:val="32"/>
        </w:rPr>
        <w:t>（七）制定全县定点医药机构协议和支付管理办法并组织实施。建立健全医疗保障信用评价体系和信息披露制度，监督管理定点医药机构的医疗服务行为、医疗费用和医药价格，依法查处医疗保障领域违法违规行为。</w:t>
      </w:r>
    </w:p>
    <w:p w14:paraId="09EE3E27">
      <w:pPr>
        <w:spacing w:line="640" w:lineRule="exact"/>
        <w:ind w:firstLine="640"/>
        <w:jc w:val="both"/>
        <w:outlineLvl w:val="2"/>
      </w:pPr>
      <w:r>
        <w:rPr>
          <w:rFonts w:ascii="黑体" w:hAnsi="黑体" w:eastAsia="黑体"/>
          <w:sz w:val="32"/>
        </w:rPr>
        <w:t>二、机构设置及人员情况</w:t>
      </w:r>
    </w:p>
    <w:p w14:paraId="04FE11FD">
      <w:pPr>
        <w:spacing w:line="580" w:lineRule="exact"/>
        <w:ind w:firstLine="640"/>
        <w:jc w:val="both"/>
      </w:pPr>
      <w:r>
        <w:rPr>
          <w:rFonts w:ascii="仿宋_GB2312" w:hAnsi="仿宋_GB2312" w:eastAsia="仿宋_GB2312"/>
          <w:sz w:val="32"/>
        </w:rPr>
        <w:t>霍城县医疗保障局2024年度，实有人数19人，其中：在职人员19人，减少1人；离休人员0人，增加0人；退休人员0人,增加0人。</w:t>
      </w:r>
    </w:p>
    <w:p w14:paraId="748C162B">
      <w:pPr>
        <w:spacing w:line="580" w:lineRule="exact"/>
        <w:ind w:firstLine="640"/>
        <w:jc w:val="both"/>
      </w:pPr>
      <w:r>
        <w:rPr>
          <w:rFonts w:ascii="仿宋_GB2312" w:hAnsi="仿宋_GB2312" w:eastAsia="仿宋_GB2312"/>
          <w:sz w:val="32"/>
        </w:rPr>
        <w:t>霍城县医疗保障局无下属预算单位，下设5个科室，分别是：党政办、财务科、医疗审核科、稽核科、征缴科。</w:t>
      </w:r>
    </w:p>
    <w:p w14:paraId="3FEF1FAF">
      <w:r>
        <w:br w:type="page"/>
      </w:r>
    </w:p>
    <w:p w14:paraId="5324BED8">
      <w:pPr>
        <w:spacing w:line="240" w:lineRule="auto"/>
        <w:jc w:val="center"/>
        <w:outlineLvl w:val="1"/>
      </w:pPr>
      <w:r>
        <w:rPr>
          <w:rFonts w:ascii="黑体" w:hAnsi="黑体" w:eastAsia="黑体"/>
          <w:sz w:val="32"/>
        </w:rPr>
        <w:t>第二部分 部门决算情况说明</w:t>
      </w:r>
    </w:p>
    <w:p w14:paraId="43708E96">
      <w:pPr>
        <w:spacing w:line="640" w:lineRule="exact"/>
        <w:ind w:firstLine="640"/>
        <w:jc w:val="both"/>
        <w:outlineLvl w:val="2"/>
      </w:pPr>
      <w:r>
        <w:rPr>
          <w:rFonts w:ascii="黑体" w:hAnsi="黑体" w:eastAsia="黑体"/>
          <w:sz w:val="32"/>
        </w:rPr>
        <w:t>一、收入支出决算总体情况说明</w:t>
      </w:r>
    </w:p>
    <w:p w14:paraId="1076226A">
      <w:pPr>
        <w:spacing w:line="580" w:lineRule="exact"/>
        <w:ind w:firstLine="640"/>
        <w:jc w:val="both"/>
      </w:pPr>
      <w:r>
        <w:rPr>
          <w:rFonts w:ascii="仿宋_GB2312" w:hAnsi="仿宋_GB2312" w:eastAsia="仿宋_GB2312"/>
          <w:b/>
          <w:sz w:val="32"/>
        </w:rPr>
        <w:t>2024年度收入总计625.33万元，</w:t>
      </w:r>
      <w:r>
        <w:rPr>
          <w:rFonts w:ascii="仿宋_GB2312" w:hAnsi="仿宋_GB2312" w:eastAsia="仿宋_GB2312"/>
          <w:b w:val="0"/>
          <w:sz w:val="32"/>
        </w:rPr>
        <w:t>其中：本年收入合计625.33万元，使用非财政拨款结余（含专用结余）0.00万元，年初结转和结余0.00万元。</w:t>
      </w:r>
    </w:p>
    <w:p w14:paraId="183C32C1">
      <w:pPr>
        <w:spacing w:line="580" w:lineRule="exact"/>
        <w:ind w:firstLine="640"/>
        <w:jc w:val="both"/>
      </w:pPr>
      <w:r>
        <w:rPr>
          <w:rFonts w:ascii="仿宋_GB2312" w:hAnsi="仿宋_GB2312" w:eastAsia="仿宋_GB2312"/>
          <w:b/>
          <w:sz w:val="32"/>
        </w:rPr>
        <w:t>2024年度支出总计625.33万元，</w:t>
      </w:r>
      <w:r>
        <w:rPr>
          <w:rFonts w:ascii="仿宋_GB2312" w:hAnsi="仿宋_GB2312" w:eastAsia="仿宋_GB2312"/>
          <w:b w:val="0"/>
          <w:sz w:val="32"/>
        </w:rPr>
        <w:t>其中：本年支出合计625.33万元，结余分配0.00万元，年末结转和结余0.00万元。</w:t>
      </w:r>
    </w:p>
    <w:p w14:paraId="2A50FDCE">
      <w:pPr>
        <w:spacing w:line="580" w:lineRule="exact"/>
        <w:ind w:firstLine="640"/>
        <w:jc w:val="both"/>
      </w:pPr>
      <w:r>
        <w:rPr>
          <w:rFonts w:ascii="仿宋_GB2312" w:hAnsi="仿宋_GB2312" w:eastAsia="仿宋_GB2312"/>
          <w:b w:val="0"/>
          <w:sz w:val="32"/>
        </w:rPr>
        <w:t>收入支出总体与上年相比，增加103.20万元，增长19.77%，主要原因是：本年在职人员工资调增，社保、公积金基数调增，人员经费增加；本年人身意外伤害保险补助资金较上年增加；本年增加全民参保补助资金。</w:t>
      </w:r>
    </w:p>
    <w:p w14:paraId="6CC12A93">
      <w:pPr>
        <w:spacing w:line="640" w:lineRule="exact"/>
        <w:ind w:firstLine="640"/>
        <w:jc w:val="both"/>
        <w:outlineLvl w:val="2"/>
      </w:pPr>
      <w:r>
        <w:rPr>
          <w:rFonts w:ascii="黑体" w:hAnsi="黑体" w:eastAsia="黑体"/>
          <w:sz w:val="32"/>
        </w:rPr>
        <w:t>二、收入决算情况说明</w:t>
      </w:r>
    </w:p>
    <w:p w14:paraId="25411E27">
      <w:pPr>
        <w:spacing w:line="580" w:lineRule="exact"/>
        <w:ind w:firstLine="640"/>
        <w:jc w:val="both"/>
      </w:pPr>
      <w:r>
        <w:rPr>
          <w:rFonts w:ascii="仿宋_GB2312" w:hAnsi="仿宋_GB2312" w:eastAsia="仿宋_GB2312"/>
          <w:b/>
          <w:sz w:val="32"/>
        </w:rPr>
        <w:t>本年收入625.33万元，</w:t>
      </w:r>
      <w:r>
        <w:rPr>
          <w:rFonts w:ascii="仿宋_GB2312" w:hAnsi="仿宋_GB2312" w:eastAsia="仿宋_GB2312"/>
          <w:b w:val="0"/>
          <w:sz w:val="32"/>
        </w:rPr>
        <w:t>其中：财政拨款收入625.33万元，占100.00%；上级补助收入0.00万元，占0.00%；事业收入0.00万元，占0.00%；经营收入0.00万元，占0.00%；附属单位上缴收入0.00万元，占0.00%；其他收入0.00万元，占0.00%。</w:t>
      </w:r>
    </w:p>
    <w:p w14:paraId="4F6D76E6">
      <w:pPr>
        <w:spacing w:line="640" w:lineRule="exact"/>
        <w:ind w:firstLine="640"/>
        <w:jc w:val="both"/>
        <w:outlineLvl w:val="2"/>
      </w:pPr>
      <w:r>
        <w:rPr>
          <w:rFonts w:ascii="黑体" w:hAnsi="黑体" w:eastAsia="黑体"/>
          <w:sz w:val="32"/>
        </w:rPr>
        <w:t>三、支出决算情况说明</w:t>
      </w:r>
    </w:p>
    <w:p w14:paraId="4F72E5E6">
      <w:pPr>
        <w:spacing w:line="580" w:lineRule="exact"/>
        <w:ind w:firstLine="640"/>
        <w:jc w:val="both"/>
      </w:pPr>
      <w:r>
        <w:rPr>
          <w:rFonts w:ascii="仿宋_GB2312" w:hAnsi="仿宋_GB2312" w:eastAsia="仿宋_GB2312"/>
          <w:b/>
          <w:sz w:val="32"/>
        </w:rPr>
        <w:t>本年支出625.33万元，</w:t>
      </w:r>
      <w:r>
        <w:rPr>
          <w:rFonts w:ascii="仿宋_GB2312" w:hAnsi="仿宋_GB2312" w:eastAsia="仿宋_GB2312"/>
          <w:b w:val="0"/>
          <w:sz w:val="32"/>
        </w:rPr>
        <w:t>其中：基本支出385.17万元，占61.59%；项目支出240.16万元，占38.41%；上缴上级支出0.00万元，占0.00%；经营支出0.00万元，占0.00%；对附属单位补助支出0.00万元，占0.00%。</w:t>
      </w:r>
    </w:p>
    <w:p w14:paraId="55AD6F1B">
      <w:pPr>
        <w:spacing w:line="640" w:lineRule="exact"/>
        <w:ind w:firstLine="640"/>
        <w:jc w:val="both"/>
        <w:outlineLvl w:val="2"/>
      </w:pPr>
      <w:r>
        <w:rPr>
          <w:rFonts w:ascii="黑体" w:hAnsi="黑体" w:eastAsia="黑体"/>
          <w:sz w:val="32"/>
        </w:rPr>
        <w:t>四、财政拨款收入支出决算总体情况说明</w:t>
      </w:r>
    </w:p>
    <w:p w14:paraId="5A5A2BCA">
      <w:pPr>
        <w:spacing w:line="580" w:lineRule="exact"/>
        <w:ind w:firstLine="640"/>
        <w:jc w:val="both"/>
      </w:pPr>
      <w:r>
        <w:rPr>
          <w:rFonts w:ascii="仿宋_GB2312" w:hAnsi="仿宋_GB2312" w:eastAsia="仿宋_GB2312"/>
          <w:b/>
          <w:sz w:val="32"/>
        </w:rPr>
        <w:t>2024年度财政拨款收入总计625.33万元，</w:t>
      </w:r>
      <w:r>
        <w:rPr>
          <w:rFonts w:ascii="仿宋_GB2312" w:hAnsi="仿宋_GB2312" w:eastAsia="仿宋_GB2312"/>
          <w:b w:val="0"/>
          <w:sz w:val="32"/>
        </w:rPr>
        <w:t>其中：年初财政拨款结转和结余0.00万元，本年财政拨款收入625.33万元。</w:t>
      </w:r>
      <w:r>
        <w:rPr>
          <w:rFonts w:ascii="仿宋_GB2312" w:hAnsi="仿宋_GB2312" w:eastAsia="仿宋_GB2312"/>
          <w:b/>
          <w:sz w:val="32"/>
        </w:rPr>
        <w:t>财政拨款支出总计625.33万元，</w:t>
      </w:r>
      <w:r>
        <w:rPr>
          <w:rFonts w:ascii="仿宋_GB2312" w:hAnsi="仿宋_GB2312" w:eastAsia="仿宋_GB2312"/>
          <w:b w:val="0"/>
          <w:sz w:val="32"/>
        </w:rPr>
        <w:t>其中：年末财政拨款结转和结余0.00万元，本年财政拨款支出625.33万元。</w:t>
      </w:r>
    </w:p>
    <w:p w14:paraId="58F7D96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增加103.20万元，增长19.77%，主要原因是：本年在职人员工资调增，社保、公积金基数调增，人员经费增加；本年人身意外伤害保险补助资金较上年增加；本年增加全民参保补助资金。</w:t>
      </w:r>
      <w:r>
        <w:rPr>
          <w:rFonts w:ascii="仿宋_GB2312" w:hAnsi="仿宋_GB2312" w:eastAsia="仿宋_GB2312"/>
          <w:b/>
          <w:sz w:val="32"/>
        </w:rPr>
        <w:t>与年初预算相比，</w:t>
      </w:r>
      <w:r>
        <w:rPr>
          <w:rFonts w:ascii="仿宋_GB2312" w:hAnsi="仿宋_GB2312" w:eastAsia="仿宋_GB2312"/>
          <w:b w:val="0"/>
          <w:sz w:val="32"/>
        </w:rPr>
        <w:t>年初预算数732.58万元，决算数625.33万元，预决算差异率-14.64%，主要原因是：年中调减人身意外伤害保险补助资金、公务员医疗补助资金、离休干部超定额医疗经费，导致预决算存在差异。</w:t>
      </w:r>
    </w:p>
    <w:p w14:paraId="501A65DF">
      <w:pPr>
        <w:spacing w:line="640" w:lineRule="exact"/>
        <w:ind w:firstLine="640"/>
        <w:jc w:val="both"/>
        <w:outlineLvl w:val="2"/>
      </w:pPr>
      <w:r>
        <w:rPr>
          <w:rFonts w:ascii="黑体" w:hAnsi="黑体" w:eastAsia="黑体"/>
          <w:sz w:val="32"/>
        </w:rPr>
        <w:t>五、一般公共预算财政拨款支出决算情况说明</w:t>
      </w:r>
    </w:p>
    <w:p w14:paraId="2F7B2748">
      <w:pPr>
        <w:spacing w:line="640" w:lineRule="exact"/>
        <w:ind w:firstLine="640"/>
        <w:jc w:val="both"/>
        <w:outlineLvl w:val="3"/>
      </w:pPr>
      <w:r>
        <w:rPr>
          <w:rFonts w:ascii="楷体_GB2312" w:hAnsi="楷体_GB2312" w:eastAsia="楷体_GB2312"/>
          <w:b/>
          <w:sz w:val="32"/>
        </w:rPr>
        <w:t>（一）一般公共预算财政拨款支出决算总体情况</w:t>
      </w:r>
    </w:p>
    <w:p w14:paraId="5393D608">
      <w:pPr>
        <w:spacing w:line="580" w:lineRule="exact"/>
        <w:ind w:firstLine="640"/>
        <w:jc w:val="both"/>
      </w:pPr>
      <w:r>
        <w:rPr>
          <w:rFonts w:ascii="仿宋_GB2312" w:hAnsi="仿宋_GB2312" w:eastAsia="仿宋_GB2312"/>
          <w:b/>
          <w:sz w:val="32"/>
        </w:rPr>
        <w:t>2024年度一般公共预算财政拨款支出625.33万元，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增加103.20万元，增长19.77%，主要原因是：本年在职人员工资调增，社保、公积金基数调增，人员经费增加；本年人身意外伤害保险补助资金较上年增加；本年增加全民参保补助资金。</w:t>
      </w:r>
      <w:r>
        <w:rPr>
          <w:rFonts w:ascii="仿宋_GB2312" w:hAnsi="仿宋_GB2312" w:eastAsia="仿宋_GB2312"/>
          <w:b/>
          <w:sz w:val="32"/>
        </w:rPr>
        <w:t>与年初预算相比,</w:t>
      </w:r>
      <w:r>
        <w:rPr>
          <w:rFonts w:ascii="仿宋_GB2312" w:hAnsi="仿宋_GB2312" w:eastAsia="仿宋_GB2312"/>
          <w:b w:val="0"/>
          <w:sz w:val="32"/>
        </w:rPr>
        <w:t>年初预算数732.58万元，决算数625.33万元，预决算差异率-14.64%，主要原因是：年中调减人身意外伤害保险补助资金、公务员医疗补助资金、离休干部超定额医疗经费，导致预决算存在差异。</w:t>
      </w:r>
    </w:p>
    <w:p w14:paraId="69393BA1">
      <w:pPr>
        <w:spacing w:line="640" w:lineRule="exact"/>
        <w:ind w:firstLine="640"/>
        <w:jc w:val="both"/>
        <w:outlineLvl w:val="3"/>
      </w:pPr>
      <w:r>
        <w:rPr>
          <w:rFonts w:ascii="楷体_GB2312" w:hAnsi="楷体_GB2312" w:eastAsia="楷体_GB2312"/>
          <w:b/>
          <w:sz w:val="32"/>
        </w:rPr>
        <w:t>（二）一般公共预算财政拨款支出决算结构情况</w:t>
      </w:r>
    </w:p>
    <w:p w14:paraId="5A912A6F">
      <w:pPr>
        <w:spacing w:line="580" w:lineRule="exact"/>
        <w:ind w:firstLine="640"/>
        <w:jc w:val="both"/>
      </w:pPr>
      <w:r>
        <w:rPr>
          <w:rFonts w:ascii="仿宋_GB2312" w:hAnsi="仿宋_GB2312" w:eastAsia="仿宋_GB2312"/>
          <w:b w:val="0"/>
          <w:sz w:val="32"/>
        </w:rPr>
        <w:t>1.社会保障和就业支出(类)34.11万元,占5.45%。</w:t>
      </w:r>
    </w:p>
    <w:p w14:paraId="47C6B4A7">
      <w:pPr>
        <w:spacing w:line="580" w:lineRule="exact"/>
        <w:ind w:firstLine="640"/>
        <w:jc w:val="both"/>
      </w:pPr>
      <w:r>
        <w:rPr>
          <w:rFonts w:ascii="仿宋_GB2312" w:hAnsi="仿宋_GB2312" w:eastAsia="仿宋_GB2312"/>
          <w:b w:val="0"/>
          <w:sz w:val="32"/>
        </w:rPr>
        <w:t>2.卫生健康支出(类)563.45万元,占90.10%。</w:t>
      </w:r>
    </w:p>
    <w:p w14:paraId="6FC0AF5B">
      <w:pPr>
        <w:spacing w:line="580" w:lineRule="exact"/>
        <w:ind w:firstLine="640"/>
        <w:jc w:val="both"/>
      </w:pPr>
      <w:r>
        <w:rPr>
          <w:rFonts w:ascii="仿宋_GB2312" w:hAnsi="仿宋_GB2312" w:eastAsia="仿宋_GB2312"/>
          <w:b w:val="0"/>
          <w:sz w:val="32"/>
        </w:rPr>
        <w:t>3.住房保障支出(类)27.78万元,占4.44%。</w:t>
      </w:r>
    </w:p>
    <w:p w14:paraId="664BB436">
      <w:pPr>
        <w:spacing w:line="640" w:lineRule="exact"/>
        <w:ind w:firstLine="640"/>
        <w:jc w:val="both"/>
        <w:outlineLvl w:val="3"/>
      </w:pPr>
      <w:r>
        <w:rPr>
          <w:rFonts w:ascii="楷体_GB2312" w:hAnsi="楷体_GB2312" w:eastAsia="楷体_GB2312"/>
          <w:b/>
          <w:sz w:val="32"/>
        </w:rPr>
        <w:t>（三）一般公共预算财政拨款支出决算具体情况</w:t>
      </w:r>
    </w:p>
    <w:p w14:paraId="0B583B9D">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34.11万元，比上年决算增加3.53万元，增长11.54%,主要原因是：本年在职人员工资基数调增，养老缴费基数上涨，相应支出增加。</w:t>
      </w:r>
    </w:p>
    <w:p w14:paraId="70A116C4">
      <w:pPr>
        <w:spacing w:line="580" w:lineRule="exact"/>
        <w:ind w:firstLine="640"/>
        <w:jc w:val="both"/>
      </w:pPr>
      <w:r>
        <w:rPr>
          <w:rFonts w:ascii="仿宋_GB2312" w:hAnsi="仿宋_GB2312" w:eastAsia="仿宋_GB2312"/>
          <w:b w:val="0"/>
          <w:sz w:val="32"/>
        </w:rPr>
        <w:t>2.卫生健康支出(类)行政事业单位医疗(款)行政单位医疗(项):支出决算数为8.16万元，比上年决算减少1.48万元，下降15.35%,主要原因是：本年在职人员减少，行政单位医疗较上年减少。</w:t>
      </w:r>
    </w:p>
    <w:p w14:paraId="4445914D">
      <w:pPr>
        <w:spacing w:line="580" w:lineRule="exact"/>
        <w:ind w:firstLine="640"/>
        <w:jc w:val="both"/>
      </w:pPr>
      <w:r>
        <w:rPr>
          <w:rFonts w:ascii="仿宋_GB2312" w:hAnsi="仿宋_GB2312" w:eastAsia="仿宋_GB2312"/>
          <w:b w:val="0"/>
          <w:sz w:val="32"/>
        </w:rPr>
        <w:t>3.卫生健康支出(类)行政事业单位医疗(款)事业单位医疗(项):支出决算数为11.56万元，比上年决算增加0.37万元，增长3.31%,主要原因是：本年在职人员工资基数调增，医疗缴费基数上涨，相应支出增加。</w:t>
      </w:r>
    </w:p>
    <w:p w14:paraId="4B9DA177">
      <w:pPr>
        <w:spacing w:line="580" w:lineRule="exact"/>
        <w:ind w:firstLine="640"/>
        <w:jc w:val="both"/>
      </w:pPr>
      <w:r>
        <w:rPr>
          <w:rFonts w:ascii="仿宋_GB2312" w:hAnsi="仿宋_GB2312" w:eastAsia="仿宋_GB2312"/>
          <w:b w:val="0"/>
          <w:sz w:val="32"/>
        </w:rPr>
        <w:t>4.卫生健康支出(类)行政事业单位医疗(款)公务员医疗补助(项):支出决算数为54.58万元，比上年决算增加54.42万元，增长34,012.50%,主要原因是：本年全县退休人员公务员医疗补助在本单位支出，导致经费较上年增加。</w:t>
      </w:r>
    </w:p>
    <w:p w14:paraId="07F1E5BA">
      <w:pPr>
        <w:spacing w:line="580" w:lineRule="exact"/>
        <w:ind w:firstLine="640"/>
        <w:jc w:val="both"/>
      </w:pPr>
      <w:r>
        <w:rPr>
          <w:rFonts w:ascii="仿宋_GB2312" w:hAnsi="仿宋_GB2312" w:eastAsia="仿宋_GB2312"/>
          <w:b w:val="0"/>
          <w:sz w:val="32"/>
        </w:rPr>
        <w:t>5.卫生健康支出(类)医疗救助(款)其他医疗救助支出(项):支出决算数为235.16万元，比上年决算增加59.56万元，增长33.92%,主要原因是：本年人身意外伤害保险补助资金较上年增加。</w:t>
      </w:r>
    </w:p>
    <w:p w14:paraId="0413B088">
      <w:pPr>
        <w:spacing w:line="580" w:lineRule="exact"/>
        <w:ind w:firstLine="640"/>
        <w:jc w:val="both"/>
      </w:pPr>
      <w:r>
        <w:rPr>
          <w:rFonts w:ascii="仿宋_GB2312" w:hAnsi="仿宋_GB2312" w:eastAsia="仿宋_GB2312"/>
          <w:b w:val="0"/>
          <w:sz w:val="32"/>
        </w:rPr>
        <w:t>6.卫生健康支出(类)医疗保障管理事务(款)行政运行(项):支出决算数为82.61万元，比上年决算减少1.08万元，下降1.29%,主要原因是：本年在职人员调入调出，人员职级不同，工资基数不同，导致人员经费较上年减少。</w:t>
      </w:r>
    </w:p>
    <w:p w14:paraId="5D45A4C4">
      <w:pPr>
        <w:spacing w:line="580" w:lineRule="exact"/>
        <w:ind w:firstLine="640"/>
        <w:jc w:val="both"/>
      </w:pPr>
      <w:r>
        <w:rPr>
          <w:rFonts w:ascii="仿宋_GB2312" w:hAnsi="仿宋_GB2312" w:eastAsia="仿宋_GB2312"/>
          <w:b w:val="0"/>
          <w:sz w:val="32"/>
        </w:rPr>
        <w:t>7.卫生健康支出(类)医疗保障管理事务(款)医疗保障经办事务(项):支出决算数为0.00万元，比上年决算减少15.09万元，下降100.00%,主要原因是：本年未安排医疗保障经办事务项目资金。</w:t>
      </w:r>
    </w:p>
    <w:p w14:paraId="0C284153">
      <w:pPr>
        <w:spacing w:line="580" w:lineRule="exact"/>
        <w:ind w:firstLine="640"/>
        <w:jc w:val="both"/>
      </w:pPr>
      <w:r>
        <w:rPr>
          <w:rFonts w:ascii="仿宋_GB2312" w:hAnsi="仿宋_GB2312" w:eastAsia="仿宋_GB2312"/>
          <w:b w:val="0"/>
          <w:sz w:val="32"/>
        </w:rPr>
        <w:t>8.卫生健康支出(类)医疗保障管理事务(款)事业运行(项):支出决算数为166.37万元，比上年决算减少4.32万元，下降2.53%,主要原因是：本年在职人员减少，相应人员经费较上年减少。</w:t>
      </w:r>
    </w:p>
    <w:p w14:paraId="0AEA2CF0">
      <w:pPr>
        <w:spacing w:line="580" w:lineRule="exact"/>
        <w:ind w:firstLine="640"/>
        <w:jc w:val="both"/>
      </w:pPr>
      <w:r>
        <w:rPr>
          <w:rFonts w:ascii="仿宋_GB2312" w:hAnsi="仿宋_GB2312" w:eastAsia="仿宋_GB2312"/>
          <w:b w:val="0"/>
          <w:sz w:val="32"/>
        </w:rPr>
        <w:t>9.卫生健康支出(类)医疗保障管理事务(款)其他医疗保障管理事务支出(项):支出决算数为5.00万元，比上年决算增加5.00万元，增长100.00%,主要原因是：本年增加2024年全民参保补助资金。</w:t>
      </w:r>
    </w:p>
    <w:p w14:paraId="422AE136">
      <w:pPr>
        <w:spacing w:line="580" w:lineRule="exact"/>
        <w:ind w:firstLine="640"/>
        <w:jc w:val="both"/>
      </w:pPr>
      <w:r>
        <w:rPr>
          <w:rFonts w:ascii="仿宋_GB2312" w:hAnsi="仿宋_GB2312" w:eastAsia="仿宋_GB2312"/>
          <w:b w:val="0"/>
          <w:sz w:val="32"/>
        </w:rPr>
        <w:t>10.住房保障支出(类)住房改革支出(款)住房公积金(项):支出决算数为27.78万元，比上年决算增加2.29万元，增长8.98%,主要原因是：本年在职人员工资基数调增，公积金缴费基数上涨，相应支出增加。</w:t>
      </w:r>
    </w:p>
    <w:p w14:paraId="02585DBF">
      <w:pPr>
        <w:spacing w:line="640" w:lineRule="exact"/>
        <w:ind w:firstLine="640"/>
        <w:jc w:val="both"/>
        <w:outlineLvl w:val="2"/>
      </w:pPr>
      <w:r>
        <w:rPr>
          <w:rFonts w:ascii="黑体" w:hAnsi="黑体" w:eastAsia="黑体"/>
          <w:sz w:val="32"/>
        </w:rPr>
        <w:t>六、一般公共预算财政拨款基本支出决算情况说明</w:t>
      </w:r>
    </w:p>
    <w:p w14:paraId="38599ACE">
      <w:pPr>
        <w:spacing w:line="580" w:lineRule="exact"/>
        <w:ind w:firstLine="640"/>
        <w:jc w:val="both"/>
      </w:pPr>
      <w:r>
        <w:rPr>
          <w:rFonts w:ascii="仿宋_GB2312" w:hAnsi="仿宋_GB2312" w:eastAsia="仿宋_GB2312"/>
          <w:b w:val="0"/>
          <w:sz w:val="32"/>
        </w:rPr>
        <w:t>2024年度一般公共预算财政拨款基本支出385.17万元，其中：</w:t>
      </w:r>
      <w:r>
        <w:rPr>
          <w:rFonts w:ascii="仿宋_GB2312" w:hAnsi="仿宋_GB2312" w:eastAsia="仿宋_GB2312"/>
          <w:b/>
          <w:sz w:val="32"/>
        </w:rPr>
        <w:t>人员经费376.90万元，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w:t>
      </w:r>
    </w:p>
    <w:p w14:paraId="49CD7490">
      <w:pPr>
        <w:spacing w:line="580" w:lineRule="exact"/>
        <w:ind w:firstLine="640"/>
        <w:jc w:val="both"/>
      </w:pPr>
      <w:r>
        <w:rPr>
          <w:rFonts w:ascii="仿宋_GB2312" w:hAnsi="仿宋_GB2312" w:eastAsia="仿宋_GB2312"/>
          <w:b/>
          <w:sz w:val="32"/>
        </w:rPr>
        <w:t>公用经费8.27万元，</w:t>
      </w:r>
      <w:r>
        <w:rPr>
          <w:rFonts w:ascii="仿宋_GB2312" w:hAnsi="仿宋_GB2312" w:eastAsia="仿宋_GB2312"/>
          <w:b w:val="0"/>
          <w:sz w:val="32"/>
        </w:rPr>
        <w:t>包括：办公费、印刷费、邮电费、取暖费、差旅费、劳务费、工会经费、福利费、公务用车运行维护费。</w:t>
      </w:r>
    </w:p>
    <w:p w14:paraId="11C3844D">
      <w:pPr>
        <w:spacing w:line="640" w:lineRule="exact"/>
        <w:ind w:firstLine="640"/>
        <w:jc w:val="both"/>
        <w:outlineLvl w:val="2"/>
      </w:pPr>
      <w:r>
        <w:rPr>
          <w:rFonts w:ascii="黑体" w:hAnsi="黑体" w:eastAsia="黑体"/>
          <w:sz w:val="32"/>
        </w:rPr>
        <w:t>七、政府性基金预算财政拨款收入支出决算情况说明</w:t>
      </w:r>
    </w:p>
    <w:p w14:paraId="3EBF3C5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5D244F4">
      <w:pPr>
        <w:spacing w:line="640" w:lineRule="exact"/>
        <w:ind w:firstLine="640"/>
        <w:jc w:val="both"/>
        <w:outlineLvl w:val="2"/>
      </w:pPr>
      <w:r>
        <w:rPr>
          <w:rFonts w:ascii="黑体" w:hAnsi="黑体" w:eastAsia="黑体"/>
          <w:sz w:val="32"/>
        </w:rPr>
        <w:t>八、国有资本经营预算财政拨款收入支出决算情况说明</w:t>
      </w:r>
    </w:p>
    <w:p w14:paraId="604C40D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6E18AC9">
      <w:pPr>
        <w:spacing w:line="640" w:lineRule="exact"/>
        <w:ind w:firstLine="640"/>
        <w:jc w:val="both"/>
        <w:outlineLvl w:val="2"/>
      </w:pPr>
      <w:r>
        <w:rPr>
          <w:rFonts w:ascii="黑体" w:hAnsi="黑体" w:eastAsia="黑体"/>
          <w:sz w:val="32"/>
        </w:rPr>
        <w:t>九、财政拨款“三公”经费支出决算情况说明</w:t>
      </w:r>
    </w:p>
    <w:p w14:paraId="309E2219">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比上年减少0.42万元，下降21.88%，主要原因是：严格落实中央八项规定精神，厉行节约，减少公</w:t>
      </w:r>
      <w:bookmarkStart w:id="0" w:name="_GoBack"/>
      <w:bookmarkEnd w:id="0"/>
      <w:r>
        <w:rPr>
          <w:rFonts w:ascii="仿宋_GB2312" w:hAnsi="仿宋_GB2312" w:eastAsia="仿宋_GB2312"/>
          <w:b w:val="0"/>
          <w:sz w:val="32"/>
        </w:rPr>
        <w:t>务用车运行维护费。其中：因公出国（境）费支出0.00万元，占0.00%，比上年增加0.00万元，增长0.00%，主要原因是：2023年与2024年均未安排因公出国（境）费支出。公务用车购置及运行维护费支出1.50万元，占100.00%，比上年减少0.42万元，下降21.88%，主要原因是：严格落实中央八项规定精神，厉行节约，减少公务用车运行维护费。公务接待费支出0.00万元，占0.00%，比上年增加0.00万元，增长0.00%，主要原因是：2023年与2024年均未安排公务接待费支出。</w:t>
      </w:r>
    </w:p>
    <w:p w14:paraId="21C7AEC4">
      <w:pPr>
        <w:spacing w:line="580" w:lineRule="exact"/>
        <w:ind w:firstLine="640"/>
        <w:jc w:val="both"/>
      </w:pPr>
      <w:r>
        <w:rPr>
          <w:rFonts w:ascii="仿宋_GB2312" w:hAnsi="仿宋_GB2312" w:eastAsia="仿宋_GB2312"/>
          <w:b/>
          <w:sz w:val="32"/>
        </w:rPr>
        <w:t>具体情况如下：</w:t>
      </w:r>
    </w:p>
    <w:p w14:paraId="1B476B7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FBF928B">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保险费、审车费、过路费。公务用车购置数0辆，公务用车保有量1辆。国有资产占用情况中固定资产车辆1辆，与公务用车保有量差异原因是：本单位固定资产车辆与公务用车保有量一致无差异。</w:t>
      </w:r>
    </w:p>
    <w:p w14:paraId="4BF8334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6968C1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1DF50C71">
      <w:pPr>
        <w:spacing w:line="640" w:lineRule="exact"/>
        <w:ind w:firstLine="640"/>
        <w:jc w:val="both"/>
        <w:outlineLvl w:val="2"/>
      </w:pPr>
      <w:r>
        <w:rPr>
          <w:rFonts w:ascii="黑体" w:hAnsi="黑体" w:eastAsia="黑体"/>
          <w:sz w:val="32"/>
        </w:rPr>
        <w:t>十、其他重要事项的情况说明</w:t>
      </w:r>
    </w:p>
    <w:p w14:paraId="24EC820F">
      <w:pPr>
        <w:spacing w:line="640" w:lineRule="exact"/>
        <w:ind w:firstLine="640"/>
        <w:jc w:val="both"/>
        <w:outlineLvl w:val="3"/>
      </w:pPr>
      <w:r>
        <w:rPr>
          <w:rFonts w:ascii="楷体_GB2312" w:hAnsi="楷体_GB2312" w:eastAsia="楷体_GB2312"/>
          <w:b/>
          <w:sz w:val="32"/>
        </w:rPr>
        <w:t>（一）机关运行经费及公用经费支出情况</w:t>
      </w:r>
    </w:p>
    <w:p w14:paraId="45764DFE">
      <w:pPr>
        <w:spacing w:line="580" w:lineRule="exact"/>
        <w:ind w:firstLine="640"/>
        <w:jc w:val="both"/>
      </w:pPr>
      <w:r>
        <w:rPr>
          <w:rFonts w:ascii="仿宋_GB2312" w:hAnsi="仿宋_GB2312" w:eastAsia="仿宋_GB2312"/>
          <w:b w:val="0"/>
          <w:sz w:val="32"/>
        </w:rPr>
        <w:t>2024年度霍城县医疗保障局（行政单位和参照公务员法管理事业单位）机关运行经费支出8.27万元，比上年减少14.74万元，下降64.06%，主要原因是：本年减少差旅费、办公费，导致机关运行经费减少。</w:t>
      </w:r>
    </w:p>
    <w:p w14:paraId="2697D66C">
      <w:pPr>
        <w:spacing w:line="640" w:lineRule="exact"/>
        <w:ind w:firstLine="640"/>
        <w:jc w:val="both"/>
        <w:outlineLvl w:val="3"/>
      </w:pPr>
      <w:r>
        <w:rPr>
          <w:rFonts w:ascii="楷体_GB2312" w:hAnsi="楷体_GB2312" w:eastAsia="楷体_GB2312"/>
          <w:b/>
          <w:sz w:val="32"/>
        </w:rPr>
        <w:t>（二）政府采购情况</w:t>
      </w:r>
    </w:p>
    <w:p w14:paraId="066D30D0">
      <w:pPr>
        <w:spacing w:line="580" w:lineRule="exact"/>
        <w:ind w:firstLine="640"/>
        <w:jc w:val="both"/>
      </w:pPr>
      <w:r>
        <w:rPr>
          <w:rFonts w:ascii="仿宋_GB2312" w:hAnsi="仿宋_GB2312" w:eastAsia="仿宋_GB2312"/>
          <w:b w:val="0"/>
          <w:sz w:val="32"/>
        </w:rPr>
        <w:t>2024年度政府采购支出总额0.26万元，其中：政府采购货物支出0.00万元、政府采购工程支出0.00万元、政府采购服务支出0.26万元。</w:t>
      </w:r>
    </w:p>
    <w:p w14:paraId="7017C508">
      <w:pPr>
        <w:spacing w:line="580" w:lineRule="exact"/>
        <w:ind w:firstLine="640"/>
        <w:jc w:val="both"/>
      </w:pPr>
      <w:r>
        <w:rPr>
          <w:rFonts w:ascii="仿宋_GB2312" w:hAnsi="仿宋_GB2312" w:eastAsia="仿宋_GB2312"/>
          <w:b w:val="0"/>
          <w:sz w:val="32"/>
        </w:rPr>
        <w:t>授予中小企业合同金额0.26万元，占政府采购支出总额的100.00%，其中：授予小微企业合同金额0.26万元，占政府采购支出总额的100.00%。</w:t>
      </w:r>
    </w:p>
    <w:p w14:paraId="20A72FCF">
      <w:pPr>
        <w:spacing w:line="640" w:lineRule="exact"/>
        <w:ind w:firstLine="640"/>
        <w:jc w:val="both"/>
        <w:outlineLvl w:val="3"/>
      </w:pPr>
      <w:r>
        <w:rPr>
          <w:rFonts w:ascii="楷体_GB2312" w:hAnsi="楷体_GB2312" w:eastAsia="楷体_GB2312"/>
          <w:b/>
          <w:sz w:val="32"/>
        </w:rPr>
        <w:t>（三）国有资产占用情况说明</w:t>
      </w:r>
    </w:p>
    <w:p w14:paraId="1A397E23">
      <w:pPr>
        <w:spacing w:line="580" w:lineRule="exact"/>
        <w:ind w:firstLine="640"/>
        <w:jc w:val="both"/>
      </w:pPr>
      <w:r>
        <w:rPr>
          <w:rFonts w:ascii="仿宋_GB2312" w:hAnsi="仿宋_GB2312" w:eastAsia="仿宋_GB2312"/>
          <w:b w:val="0"/>
          <w:sz w:val="32"/>
        </w:rPr>
        <w:t>截至2024年12月31日，房屋0.00平方米，价值0.00万元。车辆1辆，价值21.45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1F5379D">
      <w:pPr>
        <w:spacing w:line="640" w:lineRule="exact"/>
        <w:ind w:firstLine="640"/>
        <w:jc w:val="both"/>
        <w:outlineLvl w:val="2"/>
      </w:pPr>
      <w:r>
        <w:rPr>
          <w:rFonts w:ascii="黑体" w:hAnsi="黑体" w:eastAsia="黑体"/>
          <w:sz w:val="32"/>
        </w:rPr>
        <w:t>十一、预算绩效的情况说明</w:t>
      </w:r>
    </w:p>
    <w:p w14:paraId="222001C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1,740.08万元，实际执行总额1,740.08万元；预算绩效评价项目3个，全年预算数1,354.91万元，全年执行数1,354.91万元。预算绩效管理取得的成效：一是本部门为加强预算管理，规范财务行为，已制定《霍城县人大预算绩效管理工作实施办法》《霍城县人大收支业务管理制度》《霍城县人大财务管理制度》等健全完整的各项管理制度，有效保障了我部门</w:t>
      </w:r>
      <w:r>
        <w:rPr>
          <w:rFonts w:hint="eastAsia" w:ascii="仿宋_GB2312" w:hAnsi="仿宋_GB2312" w:eastAsia="仿宋_GB2312"/>
          <w:b w:val="0"/>
          <w:sz w:val="32"/>
          <w:lang w:eastAsia="zh-CN"/>
        </w:rPr>
        <w:t>高效地</w:t>
      </w:r>
      <w:r>
        <w:rPr>
          <w:rFonts w:ascii="仿宋_GB2312" w:hAnsi="仿宋_GB2312" w:eastAsia="仿宋_GB2312"/>
          <w:b w:val="0"/>
          <w:sz w:val="32"/>
        </w:rPr>
        <w:t>履行工作职能，较</w:t>
      </w:r>
      <w:r>
        <w:rPr>
          <w:rFonts w:hint="eastAsia" w:ascii="仿宋_GB2312" w:hAnsi="仿宋_GB2312" w:eastAsia="仿宋_GB2312"/>
          <w:b w:val="0"/>
          <w:sz w:val="32"/>
          <w:lang w:eastAsia="zh-CN"/>
        </w:rPr>
        <w:t>好地</w:t>
      </w:r>
      <w:r>
        <w:rPr>
          <w:rFonts w:ascii="仿宋_GB2312" w:hAnsi="仿宋_GB2312" w:eastAsia="仿宋_GB2312"/>
          <w:b w:val="0"/>
          <w:sz w:val="32"/>
        </w:rPr>
        <w:t>促进事业发展；二是部门预算资金使用符合国家法规和财务管理制度；预算资金拨付有完整的审批程序和手续，符合项目预算批复或合同规定的用途；不存在截留、挤占、挪用、虚列支出等情况，确保我部门预算资金规范运行；三是部门预算资金使用符合国家法规和财务管理制度；预算资金拨付有完整的审批程序和手续，符合项目预算批复或合同规定的用途；不存在截留、挤占、挪用、虚列支出等情况，确保我部门预算资金规范运行。发现的问题及原因：一是绩效监控工作质量还有待提高。由于单位缺乏绩效综合知识专业人员和财务人员对绩效管理相关工作经验不足、业务水平较低导致该项工作总体质量不高，未能充分发挥绩效管理的导向作用。二是对绩效监控工作重视程度还有待进一步提高。因绩效管理工作是政策性较强的工作，绩效监控工作是其中的重要内容，做好绩效监控工作需要单位主要负责人的高度重视和对预算绩效监控工作政策的深入了解，这些方面还是做得不够到位。下一步改进措施：一是加强单位绩效管理，并明确各个负责人在绩效管理中的责任和要求，建立有效的相互制衡、激励奖惩的机制，充分调动整个绩效管理队伍的积极性，形成单位绩效管理人人参与、人人有责的良好氛围；二是提高财务人员素质是纠正绩效偏离的根本。单位绩效管理的成败根本因素在于单位成员素质的</w:t>
      </w:r>
      <w:r>
        <w:rPr>
          <w:rFonts w:hint="eastAsia" w:ascii="仿宋_GB2312" w:hAnsi="仿宋_GB2312" w:eastAsia="仿宋_GB2312"/>
          <w:b w:val="0"/>
          <w:sz w:val="32"/>
          <w:lang w:eastAsia="zh-CN"/>
        </w:rPr>
        <w:t>高低</w:t>
      </w:r>
      <w:r>
        <w:rPr>
          <w:rFonts w:ascii="仿宋_GB2312" w:hAnsi="仿宋_GB2312" w:eastAsia="仿宋_GB2312"/>
          <w:b w:val="0"/>
          <w:sz w:val="32"/>
        </w:rPr>
        <w:t>，尤其是财会人员。提高财务人员素质的有效手段，通过培训使行政事业单位的会计人员政策法律意识不断增强，知识不断更新，技能不断提高，会计职业道德不断提升。有“能”才有“力”，只有财务人员素质提高了，其执行单位绩效的实际工作中，执行力和监督力才能不断增强。具体附整体支出绩效自评表，项目支出绩效自评表和评价报告。</w:t>
      </w:r>
    </w:p>
    <w:p w14:paraId="4F8D004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7F708D1">
        <w:tblPrEx>
          <w:tblCellMar>
            <w:top w:w="0" w:type="dxa"/>
            <w:left w:w="108" w:type="dxa"/>
            <w:bottom w:w="0" w:type="dxa"/>
            <w:right w:w="108" w:type="dxa"/>
          </w:tblCellMar>
        </w:tblPrEx>
        <w:tc>
          <w:tcPr>
            <w:tcW w:w="8840" w:type="dxa"/>
            <w:gridSpan w:val="8"/>
            <w:vAlign w:val="center"/>
          </w:tcPr>
          <w:p w14:paraId="33E08EC7">
            <w:pPr>
              <w:jc w:val="center"/>
            </w:pPr>
            <w:r>
              <w:rPr>
                <w:rFonts w:ascii="宋体" w:hAnsi="宋体" w:eastAsia="宋体"/>
                <w:sz w:val="24"/>
              </w:rPr>
              <w:t>单位整体支出绩效自评表</w:t>
            </w:r>
          </w:p>
        </w:tc>
      </w:tr>
      <w:tr w14:paraId="6027A0D4">
        <w:tblPrEx>
          <w:tblCellMar>
            <w:top w:w="0" w:type="dxa"/>
            <w:left w:w="108" w:type="dxa"/>
            <w:bottom w:w="0" w:type="dxa"/>
            <w:right w:w="108" w:type="dxa"/>
          </w:tblCellMar>
        </w:tblPrEx>
        <w:tc>
          <w:tcPr>
            <w:tcW w:w="8840" w:type="dxa"/>
            <w:gridSpan w:val="8"/>
            <w:vAlign w:val="center"/>
          </w:tcPr>
          <w:p w14:paraId="04C605CB">
            <w:pPr>
              <w:jc w:val="center"/>
            </w:pPr>
            <w:r>
              <w:rPr>
                <w:rFonts w:ascii="宋体" w:hAnsi="宋体" w:eastAsia="宋体"/>
                <w:sz w:val="24"/>
              </w:rPr>
              <w:t>（2024年度）</w:t>
            </w:r>
          </w:p>
        </w:tc>
      </w:tr>
      <w:tr w14:paraId="0A3BD4B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9A89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0C9FBB">
            <w:pPr>
              <w:jc w:val="center"/>
            </w:pPr>
            <w:r>
              <w:rPr>
                <w:rFonts w:ascii="宋体" w:hAnsi="宋体" w:eastAsia="宋体"/>
                <w:sz w:val="16"/>
              </w:rPr>
              <w:t>霍城县医疗保障局</w:t>
            </w:r>
          </w:p>
        </w:tc>
      </w:tr>
      <w:tr w14:paraId="3C916E1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888D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16AC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90E2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8B4AB">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12742">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B055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E694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E5F9E">
            <w:pPr>
              <w:jc w:val="center"/>
            </w:pPr>
            <w:r>
              <w:rPr>
                <w:rFonts w:ascii="宋体" w:hAnsi="宋体" w:eastAsia="宋体"/>
                <w:sz w:val="16"/>
              </w:rPr>
              <w:t>得分</w:t>
            </w:r>
          </w:p>
        </w:tc>
      </w:tr>
      <w:tr w14:paraId="32D9CC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19CD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6E6F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4E3D5">
            <w:pPr>
              <w:jc w:val="center"/>
            </w:pPr>
            <w:r>
              <w:rPr>
                <w:rFonts w:ascii="宋体" w:hAnsi="宋体" w:eastAsia="宋体"/>
                <w:sz w:val="16"/>
              </w:rPr>
              <w:t>1,868.12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510A2">
            <w:pPr>
              <w:jc w:val="center"/>
            </w:pPr>
            <w:r>
              <w:rPr>
                <w:rFonts w:ascii="宋体" w:hAnsi="宋体" w:eastAsia="宋体"/>
                <w:sz w:val="16"/>
              </w:rPr>
              <w:t>1,740.08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83F9E">
            <w:pPr>
              <w:jc w:val="center"/>
            </w:pPr>
            <w:r>
              <w:rPr>
                <w:rFonts w:ascii="宋体" w:hAnsi="宋体" w:eastAsia="宋体"/>
                <w:sz w:val="16"/>
              </w:rPr>
              <w:t>1,740.08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7917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02B7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46BA9">
            <w:pPr>
              <w:jc w:val="center"/>
            </w:pPr>
            <w:r>
              <w:rPr>
                <w:rFonts w:ascii="宋体" w:hAnsi="宋体" w:eastAsia="宋体"/>
                <w:sz w:val="16"/>
              </w:rPr>
              <w:t>10</w:t>
            </w:r>
          </w:p>
        </w:tc>
      </w:tr>
      <w:tr w14:paraId="43CB46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9A74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C374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B1497">
            <w:pPr>
              <w:jc w:val="center"/>
            </w:pPr>
            <w:r>
              <w:rPr>
                <w:rFonts w:ascii="宋体" w:hAnsi="宋体" w:eastAsia="宋体"/>
                <w:sz w:val="16"/>
              </w:rPr>
              <w:t>176.28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A9ECB">
            <w:pPr>
              <w:jc w:val="center"/>
            </w:pPr>
            <w:r>
              <w:rPr>
                <w:rFonts w:ascii="宋体" w:hAnsi="宋体" w:eastAsia="宋体"/>
                <w:sz w:val="16"/>
              </w:rPr>
              <w:t>176.28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105C8">
            <w:pPr>
              <w:jc w:val="center"/>
            </w:pPr>
            <w:r>
              <w:rPr>
                <w:rFonts w:ascii="宋体" w:hAnsi="宋体" w:eastAsia="宋体"/>
                <w:sz w:val="16"/>
              </w:rPr>
              <w:t>176.28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E60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7F2C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D7CAA">
            <w:pPr>
              <w:jc w:val="center"/>
            </w:pPr>
            <w:r>
              <w:rPr>
                <w:rFonts w:ascii="宋体" w:hAnsi="宋体" w:eastAsia="宋体"/>
                <w:sz w:val="16"/>
              </w:rPr>
              <w:t>-</w:t>
            </w:r>
          </w:p>
        </w:tc>
      </w:tr>
      <w:tr w14:paraId="2390E7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2EBF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9E94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E3678">
            <w:pPr>
              <w:jc w:val="center"/>
            </w:pPr>
            <w:r>
              <w:rPr>
                <w:rFonts w:ascii="宋体" w:hAnsi="宋体" w:eastAsia="宋体"/>
                <w:sz w:val="16"/>
              </w:rPr>
              <w:t>1,691.84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38F90">
            <w:pPr>
              <w:jc w:val="center"/>
            </w:pPr>
            <w:r>
              <w:rPr>
                <w:rFonts w:ascii="宋体" w:hAnsi="宋体" w:eastAsia="宋体"/>
                <w:sz w:val="16"/>
              </w:rPr>
              <w:t>1,563.80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0B69F">
            <w:pPr>
              <w:jc w:val="center"/>
            </w:pPr>
            <w:r>
              <w:rPr>
                <w:rFonts w:ascii="宋体" w:hAnsi="宋体" w:eastAsia="宋体"/>
                <w:sz w:val="16"/>
              </w:rPr>
              <w:t>1,563.80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212C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DEE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B8CEA">
            <w:pPr>
              <w:jc w:val="center"/>
            </w:pPr>
            <w:r>
              <w:rPr>
                <w:rFonts w:ascii="宋体" w:hAnsi="宋体" w:eastAsia="宋体"/>
                <w:sz w:val="16"/>
              </w:rPr>
              <w:t>-</w:t>
            </w:r>
          </w:p>
        </w:tc>
      </w:tr>
      <w:tr w14:paraId="01F094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494C9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DAFB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1217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2418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E616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C59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2CD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32860">
            <w:pPr>
              <w:jc w:val="center"/>
            </w:pPr>
            <w:r>
              <w:rPr>
                <w:rFonts w:ascii="宋体" w:hAnsi="宋体" w:eastAsia="宋体"/>
                <w:sz w:val="16"/>
              </w:rPr>
              <w:t>-</w:t>
            </w:r>
          </w:p>
        </w:tc>
      </w:tr>
      <w:tr w14:paraId="2FEBF0B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A5E1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08E0E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4D49B0">
            <w:pPr>
              <w:jc w:val="center"/>
            </w:pPr>
            <w:r>
              <w:rPr>
                <w:rFonts w:ascii="宋体" w:hAnsi="宋体" w:eastAsia="宋体"/>
                <w:sz w:val="16"/>
              </w:rPr>
              <w:t>实际完成情况</w:t>
            </w:r>
          </w:p>
        </w:tc>
      </w:tr>
      <w:tr w14:paraId="3267B6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16A1B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A6169F">
            <w:pPr>
              <w:jc w:val="both"/>
            </w:pPr>
            <w:r>
              <w:rPr>
                <w:rFonts w:ascii="宋体" w:hAnsi="宋体" w:eastAsia="宋体"/>
                <w:sz w:val="16"/>
              </w:rPr>
              <w:t>以习近平新时代中国特色社会主义思想为指导，坚持以人民健康为中心，以人民群众健康需求为导向，优化医疗服务流程，完善医疗服务模式，进一步改善医疗服务，提高医疗质量，为人民群众提供连续性医疗服务。目标1：做好两定点监管。目标2：宣传医疗政策全覆盖。目标3：积极推进全民参保计划，职工基本医疗保险和城乡居民基本医疗保险参保率稳定在95%以上。目标4：城乡居民基本医疗保险县级配套资金在9月底前落实到位，确保城乡居民基本医疗保险参保人的医疗待遇落实。目标5：强化医疗补助资金规范管理,减轻参保人的经济负担。目标6：建立建档立卡贫困人员缴费补助，缓解社会矛盾。目标7：有序推进药品集中带量采购、对重点救助对象符合规定的住院医疗费用救助,大幅降低群众就医负担。</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EBBC9C">
            <w:pPr>
              <w:jc w:val="both"/>
            </w:pPr>
            <w:r>
              <w:rPr>
                <w:rFonts w:ascii="宋体" w:hAnsi="宋体" w:eastAsia="宋体"/>
                <w:sz w:val="16"/>
              </w:rPr>
              <w:t>2024年度霍城县医疗保障局紧紧围绕保障人民群众医疗权益、提升医保服务水平的核心目标，全面落实各项绩效任务。通过不懈努力，各项绩效目标均取得了显著的完成成果，为当地医疗保障事业的发展做出了积极贡献。</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一、医保参保提质增效。职工医保参保25369人，居民医保参保207659人。2025年度参保缴费，参保缴费196435人，参保率达95%以上，特殊群体参保率达99%以上。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二、医保经办扩面优化。进一步梳理政务服务事项51项，推行综合柜员制办理业务1647笔，线上办理业务0差评。全年网上业务总办件量4.44万件，其中网办率占比67.08%，位居全州第三位。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医保信息化建设稳步推进。充分发挥数字赋能作用，大力开展医保APP宣传，引导参保群众手机自助办理医保业务。全县医保电子凭证激活21.72人，激活率为95%；扫码结算48.25万人次，扫码结算率为52.87%。14所定点医疗机构移动支付10.58万人次，结算率为14.94%，位居全州第一。电子处方流转接入定</w:t>
            </w:r>
            <w:r>
              <w:rPr>
                <w:rFonts w:hint="eastAsia" w:ascii="宋体" w:hAnsi="宋体"/>
                <w:sz w:val="16"/>
                <w:lang w:eastAsia="zh-CN"/>
              </w:rPr>
              <w:t>点医</w:t>
            </w:r>
            <w:r>
              <w:rPr>
                <w:rFonts w:ascii="宋体" w:hAnsi="宋体" w:eastAsia="宋体"/>
                <w:sz w:val="16"/>
              </w:rPr>
              <w:t>疗机构14家，定点零售药店13家，流转处方650张。两定机构药品追溯码100%完成，3所县级医疗机构医保码全流程应用100%开通。上线基层云平台，11所乡镇卫生院69所村卫生室完成网线布置和设备配发。</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四、医保待遇落地见效。基本医保、大病保险、医疗救助“三重保障”梯次减负作用发挥明显。医疗救助“一站式”结算24405人次救助882万元，手工救助261人次92.8万元，群众看不起病的问题有效解决。医保兵地融合打通结算堵点。县域内4家兵团医院“一站式”结算伊犁州病人7524人次补偿937万元，有效促进了医保兵地融合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五、医保改革不断深入。全县参加集采医药机构14家，全面参与并落地实施国家、自治区组织集中带量采购药品15批493种1083个品规、医用耗材13批18种，药品平均降幅50%以上，耗材平均降幅80%以上。全面推进集采药品进基层活动，目前基层定点医疗机构配备集采药品数量均超过50种，迎接自治区医保局价采工作调研。</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六、跨省异地就医结算取得突破性进展。全县累计共办理异地就医结算备案登记21174人次，县域内各两定机构结算跨省异地就医54777人次统筹基金支付1199万元。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七、全面深化医保支付方式改革，继续推进DRG支付方式改革，13家定点医疗机构DRG结算15818人次，其中正常入组15815例，实际统筹4773.47万元。</w:t>
            </w:r>
          </w:p>
        </w:tc>
      </w:tr>
      <w:tr w14:paraId="2E64FC0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043C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08A0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4155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3946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6062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CE55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30E3D">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B44AA">
            <w:pPr>
              <w:jc w:val="center"/>
            </w:pPr>
            <w:r>
              <w:rPr>
                <w:rFonts w:ascii="宋体" w:hAnsi="宋体" w:eastAsia="宋体"/>
                <w:sz w:val="16"/>
              </w:rPr>
              <w:t>得分</w:t>
            </w:r>
          </w:p>
        </w:tc>
      </w:tr>
      <w:tr w14:paraId="466CE39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6489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27F6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CD951">
            <w:pPr>
              <w:jc w:val="center"/>
            </w:pPr>
            <w:r>
              <w:rPr>
                <w:rFonts w:ascii="宋体" w:hAnsi="宋体" w:eastAsia="宋体"/>
                <w:sz w:val="16"/>
              </w:rPr>
              <w:t>药品集中带量采购品种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64660">
            <w:pPr>
              <w:jc w:val="center"/>
            </w:pPr>
            <w:r>
              <w:rPr>
                <w:rFonts w:ascii="宋体" w:hAnsi="宋体" w:eastAsia="宋体"/>
                <w:sz w:val="16"/>
              </w:rPr>
              <w:t>&gt;=300种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D41A7">
            <w:pPr>
              <w:jc w:val="center"/>
            </w:pPr>
            <w:r>
              <w:rPr>
                <w:rFonts w:ascii="宋体" w:hAnsi="宋体" w:eastAsia="宋体"/>
                <w:sz w:val="16"/>
              </w:rPr>
              <w:t>《关于进一步加强药品和医用耗材集中采购管理工作的通知》伊州医保发</w:t>
            </w:r>
            <w:r>
              <w:rPr>
                <w:rFonts w:hint="eastAsia" w:ascii="宋体" w:hAnsi="宋体"/>
                <w:sz w:val="16"/>
                <w:lang w:eastAsia="zh-CN"/>
              </w:rPr>
              <w:t>〔2022〕9号</w:t>
            </w: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ADA4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6D648">
            <w:pPr>
              <w:jc w:val="center"/>
            </w:pPr>
            <w:r>
              <w:rPr>
                <w:rFonts w:ascii="宋体" w:hAnsi="宋体" w:eastAsia="宋体"/>
                <w:sz w:val="16"/>
              </w:rPr>
              <w:t>493种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C4091">
            <w:pPr>
              <w:jc w:val="center"/>
            </w:pPr>
            <w:r>
              <w:rPr>
                <w:rFonts w:ascii="宋体" w:hAnsi="宋体" w:eastAsia="宋体"/>
                <w:sz w:val="16"/>
              </w:rPr>
              <w:t>18</w:t>
            </w:r>
          </w:p>
        </w:tc>
      </w:tr>
      <w:tr w14:paraId="61A389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29763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C161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56ED7">
            <w:pPr>
              <w:jc w:val="center"/>
            </w:pPr>
            <w:r>
              <w:rPr>
                <w:rFonts w:ascii="宋体" w:hAnsi="宋体" w:eastAsia="宋体"/>
                <w:sz w:val="16"/>
              </w:rPr>
              <w:t>重点救助对象符合规定的住院医疗费用救助比例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1B40C">
            <w:pPr>
              <w:jc w:val="center"/>
            </w:pPr>
            <w:r>
              <w:rPr>
                <w:rFonts w:ascii="宋体" w:hAnsi="宋体" w:eastAsia="宋体"/>
                <w:sz w:val="16"/>
              </w:rPr>
              <w:t>&gt;=70%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B62C9">
            <w:pPr>
              <w:jc w:val="center"/>
            </w:pPr>
            <w:r>
              <w:rPr>
                <w:rFonts w:ascii="宋体" w:hAnsi="宋体" w:eastAsia="宋体"/>
                <w:sz w:val="16"/>
              </w:rPr>
              <w:t>《关于加强和完善州直医疗救助工作的通知》、关于健全重特大疾病医疗保险和救助制度的实施意见新疆2022.8、霍城县医疗保障“十四五”规划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7D00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D3C0D">
            <w:pPr>
              <w:jc w:val="center"/>
            </w:pPr>
            <w:r>
              <w:rPr>
                <w:rFonts w:ascii="宋体" w:hAnsi="宋体" w:eastAsia="宋体"/>
                <w:sz w:val="16"/>
              </w:rPr>
              <w: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77E4D">
            <w:pPr>
              <w:jc w:val="center"/>
            </w:pPr>
            <w:r>
              <w:rPr>
                <w:rFonts w:ascii="宋体" w:hAnsi="宋体" w:eastAsia="宋体"/>
                <w:sz w:val="16"/>
              </w:rPr>
              <w:t>18</w:t>
            </w:r>
          </w:p>
        </w:tc>
      </w:tr>
      <w:tr w14:paraId="4912B3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BA5C4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247E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1E00C">
            <w:pPr>
              <w:jc w:val="center"/>
            </w:pPr>
            <w:r>
              <w:rPr>
                <w:rFonts w:ascii="宋体" w:hAnsi="宋体" w:eastAsia="宋体"/>
                <w:sz w:val="16"/>
              </w:rPr>
              <w:t>全区支付改革方式覆盖率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2868A">
            <w:pPr>
              <w:jc w:val="center"/>
            </w:pPr>
            <w:r>
              <w:rPr>
                <w:rFonts w:ascii="宋体" w:hAnsi="宋体" w:eastAsia="宋体"/>
                <w:sz w:val="16"/>
              </w:rPr>
              <w:t>&gt;=70%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0B814">
            <w:pPr>
              <w:jc w:val="center"/>
            </w:pPr>
            <w:r>
              <w:rPr>
                <w:rFonts w:ascii="宋体" w:hAnsi="宋体" w:eastAsia="宋体"/>
                <w:sz w:val="16"/>
              </w:rPr>
              <w:t>关于健全重特大疾病医疗保险和救助制度的实施意见新疆2022.8、自治区医疗保障局落实DRGDIP支付方式改革三年行动计划实施方案、霍城县医疗保障“十四五”规划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9687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7F5F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1AAAA">
            <w:pPr>
              <w:jc w:val="center"/>
            </w:pPr>
            <w:r>
              <w:rPr>
                <w:rFonts w:ascii="宋体" w:hAnsi="宋体" w:eastAsia="宋体"/>
                <w:sz w:val="16"/>
              </w:rPr>
              <w:t>18</w:t>
            </w:r>
          </w:p>
        </w:tc>
      </w:tr>
      <w:tr w14:paraId="7EAFC4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A8A5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E181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8C0F6">
            <w:pPr>
              <w:jc w:val="center"/>
            </w:pPr>
            <w:r>
              <w:rPr>
                <w:rFonts w:ascii="宋体" w:hAnsi="宋体" w:eastAsia="宋体"/>
                <w:sz w:val="16"/>
              </w:rPr>
              <w:t>基本医疗保险参保率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3D0A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292CB">
            <w:pPr>
              <w:jc w:val="center"/>
            </w:pPr>
            <w:r>
              <w:rPr>
                <w:rFonts w:ascii="宋体" w:hAnsi="宋体" w:eastAsia="宋体"/>
                <w:sz w:val="16"/>
              </w:rPr>
              <w:t>关于健全重特大疾病医疗保险和救助制度的实施意见新疆2022.8、关于健全重特大疾病医疗保险和救助制度的实施意见新疆2022.8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8168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F36D4">
            <w:pPr>
              <w:jc w:val="center"/>
            </w:pPr>
            <w:r>
              <w:rPr>
                <w:rFonts w:ascii="宋体" w:hAnsi="宋体" w:eastAsia="宋体"/>
                <w:sz w:val="16"/>
              </w:rPr>
              <w:t>1.03%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50B3F">
            <w:pPr>
              <w:jc w:val="center"/>
            </w:pPr>
            <w:r>
              <w:rPr>
                <w:rFonts w:ascii="宋体" w:hAnsi="宋体" w:eastAsia="宋体"/>
                <w:sz w:val="16"/>
              </w:rPr>
              <w:t>18</w:t>
            </w:r>
          </w:p>
        </w:tc>
      </w:tr>
      <w:tr w14:paraId="1E09F4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24D76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D0D6C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FCAB2">
            <w:pPr>
              <w:jc w:val="center"/>
            </w:pPr>
            <w:r>
              <w:rPr>
                <w:rFonts w:hint="eastAsia" w:ascii="宋体" w:hAnsi="宋体"/>
                <w:sz w:val="16"/>
                <w:lang w:eastAsia="zh-CN"/>
              </w:rPr>
              <w:t>城乡居民基本医疗保险</w:t>
            </w:r>
            <w:r>
              <w:rPr>
                <w:rFonts w:ascii="宋体" w:hAnsi="宋体" w:eastAsia="宋体"/>
                <w:sz w:val="16"/>
              </w:rPr>
              <w:t>政策范围内住院费用基金支付比例（%）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23BE1">
            <w:pPr>
              <w:jc w:val="center"/>
            </w:pPr>
            <w:r>
              <w:rPr>
                <w:rFonts w:ascii="宋体" w:hAnsi="宋体" w:eastAsia="宋体"/>
                <w:sz w:val="16"/>
              </w:rPr>
              <w:t>&gt;=68.10%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1262A">
            <w:pPr>
              <w:jc w:val="center"/>
            </w:pPr>
            <w:r>
              <w:rPr>
                <w:rFonts w:ascii="宋体" w:hAnsi="宋体" w:eastAsia="宋体"/>
                <w:sz w:val="16"/>
              </w:rPr>
              <w:t>霍城县医疗保障“十四五”规划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998A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7C916">
            <w:pPr>
              <w:jc w:val="center"/>
            </w:pPr>
            <w:r>
              <w:rPr>
                <w:rFonts w:ascii="宋体" w:hAnsi="宋体" w:eastAsia="宋体"/>
                <w:sz w:val="16"/>
              </w:rPr>
              <w:t>77.58%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E15B3">
            <w:pPr>
              <w:jc w:val="center"/>
            </w:pPr>
            <w:r>
              <w:rPr>
                <w:rFonts w:ascii="宋体" w:hAnsi="宋体" w:eastAsia="宋体"/>
                <w:sz w:val="16"/>
              </w:rPr>
              <w:t>18</w:t>
            </w:r>
          </w:p>
        </w:tc>
      </w:tr>
    </w:tbl>
    <w:p w14:paraId="391C6ECE">
      <w:r>
        <w:br w:type="page"/>
      </w:r>
    </w:p>
    <w:tbl>
      <w:tblPr>
        <w:tblStyle w:val="9"/>
        <w:tblW w:w="0" w:type="auto"/>
        <w:tblInd w:w="0" w:type="dxa"/>
        <w:tblLayout w:type="autofit"/>
        <w:tblCellMar>
          <w:top w:w="0" w:type="dxa"/>
          <w:left w:w="108" w:type="dxa"/>
          <w:bottom w:w="0" w:type="dxa"/>
          <w:right w:w="108" w:type="dxa"/>
        </w:tblCellMar>
      </w:tblPr>
      <w:tblGrid>
        <w:gridCol w:w="628"/>
        <w:gridCol w:w="620"/>
        <w:gridCol w:w="620"/>
        <w:gridCol w:w="628"/>
        <w:gridCol w:w="624"/>
        <w:gridCol w:w="776"/>
        <w:gridCol w:w="631"/>
        <w:gridCol w:w="776"/>
        <w:gridCol w:w="631"/>
        <w:gridCol w:w="620"/>
        <w:gridCol w:w="631"/>
        <w:gridCol w:w="621"/>
        <w:gridCol w:w="622"/>
        <w:gridCol w:w="632"/>
      </w:tblGrid>
      <w:tr w14:paraId="770CE9EC">
        <w:tblPrEx>
          <w:tblCellMar>
            <w:top w:w="0" w:type="dxa"/>
            <w:left w:w="108" w:type="dxa"/>
            <w:bottom w:w="0" w:type="dxa"/>
            <w:right w:w="108" w:type="dxa"/>
          </w:tblCellMar>
        </w:tblPrEx>
        <w:tc>
          <w:tcPr>
            <w:tcW w:w="8848" w:type="dxa"/>
            <w:gridSpan w:val="14"/>
            <w:vAlign w:val="center"/>
          </w:tcPr>
          <w:p w14:paraId="256CB3AC">
            <w:pPr>
              <w:jc w:val="center"/>
            </w:pPr>
            <w:r>
              <w:rPr>
                <w:rFonts w:ascii="宋体" w:hAnsi="宋体" w:eastAsia="宋体"/>
                <w:sz w:val="24"/>
              </w:rPr>
              <w:t>项目支出绩效自评表</w:t>
            </w:r>
          </w:p>
        </w:tc>
      </w:tr>
      <w:tr w14:paraId="6B4CFCC9">
        <w:tblPrEx>
          <w:tblCellMar>
            <w:top w:w="0" w:type="dxa"/>
            <w:left w:w="108" w:type="dxa"/>
            <w:bottom w:w="0" w:type="dxa"/>
            <w:right w:w="108" w:type="dxa"/>
          </w:tblCellMar>
        </w:tblPrEx>
        <w:tc>
          <w:tcPr>
            <w:tcW w:w="8848" w:type="dxa"/>
            <w:gridSpan w:val="14"/>
            <w:vAlign w:val="center"/>
          </w:tcPr>
          <w:p w14:paraId="4BC6F95C">
            <w:pPr>
              <w:jc w:val="center"/>
            </w:pPr>
            <w:r>
              <w:rPr>
                <w:rFonts w:ascii="宋体" w:hAnsi="宋体" w:eastAsia="宋体"/>
                <w:sz w:val="24"/>
              </w:rPr>
              <w:t>(2024年度)</w:t>
            </w:r>
          </w:p>
        </w:tc>
      </w:tr>
      <w:tr w14:paraId="257F05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04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39BAB8">
            <w:pPr>
              <w:jc w:val="center"/>
            </w:pPr>
            <w:r>
              <w:rPr>
                <w:rFonts w:ascii="宋体" w:hAnsi="宋体" w:eastAsia="宋体"/>
                <w:sz w:val="16"/>
              </w:rPr>
              <w:t>2024年全民参保补助资金</w:t>
            </w:r>
          </w:p>
        </w:tc>
      </w:tr>
      <w:tr w14:paraId="6BB1E5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EC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CDF53A">
            <w:pPr>
              <w:jc w:val="center"/>
            </w:pPr>
            <w:r>
              <w:rPr>
                <w:rFonts w:ascii="宋体" w:hAnsi="宋体" w:eastAsia="宋体"/>
                <w:sz w:val="16"/>
              </w:rPr>
              <w:t>霍城县医疗保障局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BC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FA820B">
            <w:pPr>
              <w:jc w:val="center"/>
            </w:pPr>
            <w:r>
              <w:rPr>
                <w:rFonts w:ascii="宋体" w:hAnsi="宋体" w:eastAsia="宋体"/>
                <w:sz w:val="16"/>
              </w:rPr>
              <w:t>霍城县医疗保障局</w:t>
            </w:r>
          </w:p>
        </w:tc>
      </w:tr>
      <w:tr w14:paraId="142569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3714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40A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FE1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FE8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D78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201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367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9D09">
            <w:pPr>
              <w:jc w:val="center"/>
            </w:pPr>
            <w:r>
              <w:rPr>
                <w:rFonts w:ascii="宋体" w:hAnsi="宋体" w:eastAsia="宋体"/>
                <w:sz w:val="16"/>
              </w:rPr>
              <w:t>得分</w:t>
            </w:r>
          </w:p>
        </w:tc>
      </w:tr>
      <w:tr w14:paraId="7EBC2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A2C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525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1FA4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34FE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1C07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CA1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C42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A5DC">
            <w:pPr>
              <w:jc w:val="center"/>
            </w:pPr>
            <w:r>
              <w:rPr>
                <w:rFonts w:ascii="宋体" w:hAnsi="宋体" w:eastAsia="宋体"/>
                <w:sz w:val="16"/>
              </w:rPr>
              <w:t>10.00</w:t>
            </w:r>
          </w:p>
        </w:tc>
      </w:tr>
      <w:tr w14:paraId="52D72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B47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85D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B063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35D9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3495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81F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0E6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D7EC6">
            <w:pPr>
              <w:jc w:val="center"/>
            </w:pPr>
            <w:r>
              <w:rPr>
                <w:rFonts w:ascii="宋体" w:hAnsi="宋体" w:eastAsia="宋体"/>
                <w:sz w:val="16"/>
              </w:rPr>
              <w:t>—</w:t>
            </w:r>
          </w:p>
        </w:tc>
      </w:tr>
      <w:tr w14:paraId="28A5C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0B8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F2B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442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2E4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753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450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40C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B028">
            <w:pPr>
              <w:jc w:val="center"/>
            </w:pPr>
            <w:r>
              <w:rPr>
                <w:rFonts w:ascii="宋体" w:hAnsi="宋体" w:eastAsia="宋体"/>
                <w:sz w:val="16"/>
              </w:rPr>
              <w:t>—</w:t>
            </w:r>
          </w:p>
        </w:tc>
      </w:tr>
      <w:tr w14:paraId="5D57AE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7327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35A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70EFBA">
            <w:pPr>
              <w:jc w:val="center"/>
            </w:pPr>
            <w:r>
              <w:rPr>
                <w:rFonts w:ascii="宋体" w:hAnsi="宋体" w:eastAsia="宋体"/>
                <w:sz w:val="16"/>
              </w:rPr>
              <w:t>实际完成情况</w:t>
            </w:r>
          </w:p>
        </w:tc>
      </w:tr>
      <w:tr w14:paraId="0F812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FAF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85A1E9">
            <w:pPr>
              <w:jc w:val="both"/>
            </w:pPr>
            <w:r>
              <w:rPr>
                <w:rFonts w:ascii="宋体" w:hAnsi="宋体" w:eastAsia="宋体"/>
                <w:sz w:val="16"/>
              </w:rPr>
              <w:t>1、对医保业务档案实现全面数字化2、有效提高两定机构医疗保险服务质量、规范医疗服务行为，保障参保人员权益、提升基金使用率、规范协议管理等工作。3、社会保险代办员工作以提升业务工作效率为着力点，围绕提高为人民服务质量为重点，社会保险经办机构服务水平明显提高。4、使国家医保惠民的知晓率有很大提高，群众的参保自觉性进一步提高，对于实现全民参保有巨大的现实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C79499">
            <w:pPr>
              <w:jc w:val="both"/>
            </w:pPr>
            <w:r>
              <w:rPr>
                <w:rFonts w:ascii="宋体" w:hAnsi="宋体" w:eastAsia="宋体"/>
                <w:sz w:val="16"/>
              </w:rPr>
              <w:t>完成了基本医疗保险参保人数23.32万人，生育保险参保人数1.74万人，对医保业务档案实现全面数字化，有效提高两定机构医疗保险服务质量、规范医疗服务行为，保障参保人员权益、提升基金使用率。</w:t>
            </w:r>
          </w:p>
        </w:tc>
      </w:tr>
      <w:tr w14:paraId="354AE3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0327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DD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CF30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10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D8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2F2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285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57B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398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E49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36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C1B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228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A52F">
            <w:pPr>
              <w:jc w:val="center"/>
            </w:pPr>
            <w:r>
              <w:rPr>
                <w:rFonts w:ascii="宋体" w:hAnsi="宋体" w:eastAsia="宋体"/>
                <w:sz w:val="16"/>
              </w:rPr>
              <w:t>偏差原因分析及改进措施</w:t>
            </w:r>
          </w:p>
        </w:tc>
      </w:tr>
      <w:tr w14:paraId="33F1BE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4B3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9FA1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43F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96CB">
            <w:pPr>
              <w:jc w:val="center"/>
            </w:pPr>
            <w:r>
              <w:rPr>
                <w:rFonts w:ascii="宋体" w:hAnsi="宋体" w:eastAsia="宋体"/>
                <w:sz w:val="16"/>
              </w:rPr>
              <w:t>基本医疗保险参保人数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75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3DE6">
            <w:pPr>
              <w:jc w:val="center"/>
            </w:pPr>
            <w:r>
              <w:rPr>
                <w:rFonts w:ascii="宋体" w:hAnsi="宋体" w:eastAsia="宋体"/>
                <w:sz w:val="16"/>
              </w:rPr>
              <w:t>&gt;=23.51万人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DF23">
            <w:pPr>
              <w:jc w:val="center"/>
            </w:pPr>
            <w:r>
              <w:rPr>
                <w:rFonts w:ascii="宋体" w:hAnsi="宋体" w:eastAsia="宋体"/>
                <w:sz w:val="16"/>
              </w:rPr>
              <w:t>23.32万人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7ABF">
            <w:pPr>
              <w:jc w:val="center"/>
            </w:pPr>
            <w:r>
              <w:rPr>
                <w:rFonts w:ascii="宋体" w:hAnsi="宋体" w:eastAsia="宋体"/>
                <w:sz w:val="16"/>
              </w:rPr>
              <w:t>99.19%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AE38">
            <w:pPr>
              <w:jc w:val="center"/>
            </w:pPr>
            <w:r>
              <w:rPr>
                <w:rFonts w:ascii="宋体" w:hAnsi="宋体" w:eastAsia="宋体"/>
                <w:sz w:val="16"/>
              </w:rPr>
              <w:t>7.94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04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8DF8">
            <w:pPr>
              <w:jc w:val="center"/>
            </w:pPr>
            <w:r>
              <w:rPr>
                <w:rFonts w:ascii="宋体" w:hAnsi="宋体" w:eastAsia="宋体"/>
                <w:sz w:val="16"/>
              </w:rPr>
              <w:t>23.51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8A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EE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D00AC">
            <w:pPr>
              <w:jc w:val="center"/>
            </w:pPr>
            <w:r>
              <w:rPr>
                <w:rFonts w:ascii="宋体" w:hAnsi="宋体" w:eastAsia="宋体"/>
                <w:sz w:val="16"/>
              </w:rPr>
              <w:t>医疗参保标准高，人民收入低，不愿意参保。</w:t>
            </w:r>
          </w:p>
        </w:tc>
      </w:tr>
      <w:tr w14:paraId="2857F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8C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4B8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1C0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F4EB">
            <w:pPr>
              <w:jc w:val="center"/>
            </w:pPr>
            <w:r>
              <w:rPr>
                <w:rFonts w:ascii="宋体" w:hAnsi="宋体" w:eastAsia="宋体"/>
                <w:sz w:val="16"/>
              </w:rPr>
              <w:t>生育保险参保人数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C2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EAAC">
            <w:pPr>
              <w:jc w:val="center"/>
            </w:pPr>
            <w:r>
              <w:rPr>
                <w:rFonts w:ascii="宋体" w:hAnsi="宋体" w:eastAsia="宋体"/>
                <w:sz w:val="16"/>
              </w:rPr>
              <w:t>&gt;=1.7万人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532C">
            <w:pPr>
              <w:jc w:val="center"/>
            </w:pPr>
            <w:r>
              <w:rPr>
                <w:rFonts w:ascii="宋体" w:hAnsi="宋体" w:eastAsia="宋体"/>
                <w:sz w:val="16"/>
              </w:rPr>
              <w:t>1.74万人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E11E">
            <w:pPr>
              <w:jc w:val="center"/>
            </w:pPr>
            <w:r>
              <w:rPr>
                <w:rFonts w:ascii="宋体" w:hAnsi="宋体" w:eastAsia="宋体"/>
                <w:sz w:val="16"/>
              </w:rPr>
              <w:t>102.35%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77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D0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5489">
            <w:pPr>
              <w:jc w:val="center"/>
            </w:pPr>
            <w:r>
              <w:rPr>
                <w:rFonts w:ascii="宋体" w:hAnsi="宋体" w:eastAsia="宋体"/>
                <w:sz w:val="16"/>
              </w:rPr>
              <w:t>1.73万人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B5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7E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5C1B">
            <w:pPr>
              <w:jc w:val="center"/>
            </w:pPr>
            <w:r>
              <w:rPr>
                <w:rFonts w:ascii="宋体" w:hAnsi="宋体" w:eastAsia="宋体"/>
                <w:sz w:val="16"/>
              </w:rPr>
              <w:t>生育保险参保政策较好，参保人数多。</w:t>
            </w:r>
          </w:p>
        </w:tc>
      </w:tr>
      <w:tr w14:paraId="2F784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5C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F8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CF5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0E3FD">
            <w:pPr>
              <w:jc w:val="center"/>
            </w:pPr>
            <w:r>
              <w:rPr>
                <w:rFonts w:ascii="宋体" w:hAnsi="宋体" w:eastAsia="宋体"/>
                <w:sz w:val="16"/>
              </w:rPr>
              <w:t>基本医疗保险参保率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28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22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432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FB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F8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59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9F3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F4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D8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44A1">
            <w:pPr>
              <w:jc w:val="center"/>
            </w:pPr>
          </w:p>
        </w:tc>
      </w:tr>
      <w:tr w14:paraId="2D4F3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231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78D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48E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3880">
            <w:pPr>
              <w:jc w:val="center"/>
            </w:pPr>
            <w:r>
              <w:rPr>
                <w:rFonts w:ascii="宋体" w:hAnsi="宋体" w:eastAsia="宋体"/>
                <w:sz w:val="16"/>
              </w:rPr>
              <w:t>重复参保人数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E27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1734">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A234B">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6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B5E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E6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CC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B9B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BA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8BA1">
            <w:pPr>
              <w:jc w:val="center"/>
            </w:pPr>
          </w:p>
        </w:tc>
      </w:tr>
      <w:tr w14:paraId="75457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D56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7CC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A15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C0ED6">
            <w:pPr>
              <w:jc w:val="center"/>
            </w:pPr>
            <w:r>
              <w:rPr>
                <w:rFonts w:ascii="宋体" w:hAnsi="宋体" w:eastAsia="宋体"/>
                <w:sz w:val="16"/>
              </w:rPr>
              <w:t>虚报参保人数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D1A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ACDC">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A426">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E6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BD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91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2A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19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14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AD4E">
            <w:pPr>
              <w:jc w:val="center"/>
            </w:pPr>
          </w:p>
        </w:tc>
      </w:tr>
      <w:tr w14:paraId="3E40F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452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4D1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61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672C">
            <w:pPr>
              <w:jc w:val="center"/>
            </w:pPr>
            <w:r>
              <w:rPr>
                <w:rFonts w:ascii="宋体" w:hAnsi="宋体" w:eastAsia="宋体"/>
                <w:sz w:val="16"/>
              </w:rPr>
              <w:t>全民参保补助准确率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EB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F52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E6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3A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0B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B0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7F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64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BF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00E9">
            <w:pPr>
              <w:jc w:val="center"/>
            </w:pPr>
          </w:p>
        </w:tc>
      </w:tr>
      <w:tr w14:paraId="2344B9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927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7D0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7DF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616E">
            <w:pPr>
              <w:jc w:val="center"/>
            </w:pPr>
            <w:r>
              <w:rPr>
                <w:rFonts w:ascii="宋体" w:hAnsi="宋体" w:eastAsia="宋体"/>
                <w:sz w:val="16"/>
              </w:rPr>
              <w:t>按时报送医疗保险基金季报数据及分析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7D22">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81A9">
            <w:pPr>
              <w:jc w:val="center"/>
            </w:pPr>
            <w:r>
              <w:rPr>
                <w:rFonts w:ascii="宋体" w:hAnsi="宋体" w:eastAsia="宋体"/>
                <w:sz w:val="16"/>
              </w:rPr>
              <w:t>&lt;=15日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0C91">
            <w:pPr>
              <w:jc w:val="center"/>
            </w:pPr>
            <w:r>
              <w:rPr>
                <w:rFonts w:ascii="宋体" w:hAnsi="宋体" w:eastAsia="宋体"/>
                <w:sz w:val="16"/>
              </w:rPr>
              <w:t>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9C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E9F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27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99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F0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AF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2A08">
            <w:pPr>
              <w:jc w:val="center"/>
            </w:pPr>
          </w:p>
        </w:tc>
      </w:tr>
      <w:tr w14:paraId="6AD8F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574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72B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752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B520">
            <w:pPr>
              <w:jc w:val="center"/>
            </w:pPr>
            <w:r>
              <w:rPr>
                <w:rFonts w:ascii="宋体" w:hAnsi="宋体" w:eastAsia="宋体"/>
                <w:sz w:val="16"/>
              </w:rPr>
              <w:t>及时报送医疗保险基金决算数据及分析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A087">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1AD1">
            <w:pPr>
              <w:jc w:val="center"/>
            </w:pPr>
            <w:r>
              <w:rPr>
                <w:rFonts w:ascii="宋体" w:hAnsi="宋体" w:eastAsia="宋体"/>
                <w:sz w:val="16"/>
              </w:rPr>
              <w:t>&lt;=20日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9BBA">
            <w:pPr>
              <w:jc w:val="center"/>
            </w:pPr>
            <w:r>
              <w:rPr>
                <w:rFonts w:ascii="宋体" w:hAnsi="宋体" w:eastAsia="宋体"/>
                <w:sz w:val="16"/>
              </w:rPr>
              <w:t>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86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585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CA9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39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C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E8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FA10">
            <w:pPr>
              <w:jc w:val="center"/>
            </w:pPr>
          </w:p>
        </w:tc>
      </w:tr>
      <w:tr w14:paraId="3C36D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825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949F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2F9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884A">
            <w:pPr>
              <w:jc w:val="center"/>
            </w:pPr>
            <w:r>
              <w:rPr>
                <w:rFonts w:ascii="宋体" w:hAnsi="宋体" w:eastAsia="宋体"/>
                <w:sz w:val="16"/>
              </w:rPr>
              <w:t>医保政策知晓率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E04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71A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2C9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06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F44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34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4A5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D4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F4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BDBE">
            <w:pPr>
              <w:jc w:val="center"/>
            </w:pPr>
          </w:p>
        </w:tc>
      </w:tr>
      <w:tr w14:paraId="1E5E7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06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EB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077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987A">
            <w:pPr>
              <w:jc w:val="center"/>
            </w:pPr>
            <w:r>
              <w:rPr>
                <w:rFonts w:ascii="宋体" w:hAnsi="宋体" w:eastAsia="宋体"/>
                <w:sz w:val="16"/>
              </w:rPr>
              <w:t>减轻参保人员就医经济负担，缓解社会矛盾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A56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7EE2">
            <w:pPr>
              <w:jc w:val="center"/>
            </w:pPr>
            <w:r>
              <w:rPr>
                <w:rFonts w:ascii="宋体" w:hAnsi="宋体" w:eastAsia="宋体"/>
                <w:sz w:val="16"/>
              </w:rPr>
              <w:t>全年持续实施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81D4C">
            <w:pPr>
              <w:jc w:val="center"/>
            </w:pPr>
            <w:r>
              <w:rPr>
                <w:rFonts w:ascii="宋体" w:hAnsi="宋体" w:eastAsia="宋体"/>
                <w:sz w:val="16"/>
              </w:rPr>
              <w:t>全年持续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6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F99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6EB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BEF4">
            <w:pPr>
              <w:jc w:val="center"/>
            </w:pPr>
            <w:r>
              <w:rPr>
                <w:rFonts w:ascii="宋体" w:hAnsi="宋体" w:eastAsia="宋体"/>
                <w:sz w:val="16"/>
              </w:rPr>
              <w:t>全年持续实施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5B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91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7D06">
            <w:pPr>
              <w:jc w:val="center"/>
            </w:pPr>
          </w:p>
        </w:tc>
      </w:tr>
      <w:tr w14:paraId="6E7A58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BF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FE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63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6FA8">
            <w:pPr>
              <w:jc w:val="center"/>
            </w:pPr>
            <w:r>
              <w:rPr>
                <w:rFonts w:ascii="宋体" w:hAnsi="宋体" w:eastAsia="宋体"/>
                <w:sz w:val="16"/>
              </w:rPr>
              <w:t>基本医疗保险参保群众满意度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F6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5ED2">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28A5">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53A1">
            <w:pPr>
              <w:jc w:val="center"/>
            </w:pPr>
            <w:r>
              <w:rPr>
                <w:rFonts w:ascii="宋体" w:hAnsi="宋体" w:eastAsia="宋体"/>
                <w:sz w:val="16"/>
              </w:rPr>
              <w:t>106.26%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10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09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710B">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2B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2E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7AB40">
            <w:pPr>
              <w:jc w:val="center"/>
            </w:pPr>
            <w:r>
              <w:rPr>
                <w:rFonts w:ascii="宋体" w:hAnsi="宋体" w:eastAsia="宋体"/>
                <w:sz w:val="16"/>
              </w:rPr>
              <w:t>满意度完成较好。</w:t>
            </w:r>
          </w:p>
        </w:tc>
      </w:tr>
      <w:tr w14:paraId="299DFD4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189E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30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EF02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6532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1243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F66F">
            <w:pPr>
              <w:jc w:val="center"/>
            </w:pPr>
            <w:r>
              <w:rPr>
                <w:rFonts w:ascii="宋体" w:hAnsi="宋体" w:eastAsia="宋体"/>
                <w:sz w:val="16"/>
              </w:rPr>
              <w:t>99.94分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57B2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67AE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4D91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2145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14C22D"/>
        </w:tc>
      </w:tr>
    </w:tbl>
    <w:p w14:paraId="297FF925">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3"/>
        <w:gridCol w:w="626"/>
        <w:gridCol w:w="776"/>
        <w:gridCol w:w="631"/>
        <w:gridCol w:w="628"/>
        <w:gridCol w:w="626"/>
        <w:gridCol w:w="623"/>
        <w:gridCol w:w="776"/>
        <w:gridCol w:w="623"/>
        <w:gridCol w:w="623"/>
        <w:gridCol w:w="631"/>
      </w:tblGrid>
      <w:tr w14:paraId="0AA0D313">
        <w:tblPrEx>
          <w:tblCellMar>
            <w:top w:w="0" w:type="dxa"/>
            <w:left w:w="108" w:type="dxa"/>
            <w:bottom w:w="0" w:type="dxa"/>
            <w:right w:w="108" w:type="dxa"/>
          </w:tblCellMar>
        </w:tblPrEx>
        <w:tc>
          <w:tcPr>
            <w:tcW w:w="8848" w:type="dxa"/>
            <w:gridSpan w:val="14"/>
            <w:vAlign w:val="center"/>
          </w:tcPr>
          <w:p w14:paraId="7D69BC10">
            <w:pPr>
              <w:jc w:val="center"/>
            </w:pPr>
            <w:r>
              <w:rPr>
                <w:rFonts w:ascii="宋体" w:hAnsi="宋体" w:eastAsia="宋体"/>
                <w:sz w:val="24"/>
              </w:rPr>
              <w:t>项目支出绩效自评表</w:t>
            </w:r>
          </w:p>
        </w:tc>
      </w:tr>
      <w:tr w14:paraId="471B2174">
        <w:tblPrEx>
          <w:tblCellMar>
            <w:top w:w="0" w:type="dxa"/>
            <w:left w:w="108" w:type="dxa"/>
            <w:bottom w:w="0" w:type="dxa"/>
            <w:right w:w="108" w:type="dxa"/>
          </w:tblCellMar>
        </w:tblPrEx>
        <w:tc>
          <w:tcPr>
            <w:tcW w:w="8848" w:type="dxa"/>
            <w:gridSpan w:val="14"/>
            <w:vAlign w:val="center"/>
          </w:tcPr>
          <w:p w14:paraId="4309ACBF">
            <w:pPr>
              <w:jc w:val="center"/>
            </w:pPr>
            <w:r>
              <w:rPr>
                <w:rFonts w:ascii="宋体" w:hAnsi="宋体" w:eastAsia="宋体"/>
                <w:sz w:val="24"/>
              </w:rPr>
              <w:t>(2024年度)</w:t>
            </w:r>
          </w:p>
        </w:tc>
      </w:tr>
      <w:tr w14:paraId="0D57EB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18E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E05D08">
            <w:pPr>
              <w:jc w:val="center"/>
            </w:pPr>
            <w:r>
              <w:rPr>
                <w:rFonts w:ascii="宋体" w:hAnsi="宋体" w:eastAsia="宋体"/>
                <w:sz w:val="16"/>
              </w:rPr>
              <w:t>2024年城乡居民医疗补助县级配套资金</w:t>
            </w:r>
          </w:p>
        </w:tc>
      </w:tr>
      <w:tr w14:paraId="34D81A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9C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9A3D34">
            <w:pPr>
              <w:jc w:val="center"/>
            </w:pPr>
            <w:r>
              <w:rPr>
                <w:rFonts w:ascii="宋体" w:hAnsi="宋体" w:eastAsia="宋体"/>
                <w:sz w:val="16"/>
              </w:rPr>
              <w:t>霍城县医疗保障局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C5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CD597B">
            <w:pPr>
              <w:jc w:val="center"/>
            </w:pPr>
            <w:r>
              <w:rPr>
                <w:rFonts w:ascii="宋体" w:hAnsi="宋体" w:eastAsia="宋体"/>
                <w:sz w:val="16"/>
              </w:rPr>
              <w:t>霍城县医疗保障局</w:t>
            </w:r>
          </w:p>
        </w:tc>
      </w:tr>
      <w:tr w14:paraId="7EC8C9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7587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B16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931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61F4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A6F2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F29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37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CC8C">
            <w:pPr>
              <w:jc w:val="center"/>
            </w:pPr>
            <w:r>
              <w:rPr>
                <w:rFonts w:ascii="宋体" w:hAnsi="宋体" w:eastAsia="宋体"/>
                <w:sz w:val="16"/>
              </w:rPr>
              <w:t>得分</w:t>
            </w:r>
          </w:p>
        </w:tc>
      </w:tr>
      <w:tr w14:paraId="05DA3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CEB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1AD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A3F80">
            <w:pPr>
              <w:jc w:val="center"/>
            </w:pPr>
            <w:r>
              <w:rPr>
                <w:rFonts w:ascii="宋体" w:hAnsi="宋体" w:eastAsia="宋体"/>
                <w:sz w:val="16"/>
              </w:rPr>
              <w:t>1,135.54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2F415">
            <w:pPr>
              <w:jc w:val="center"/>
            </w:pPr>
            <w:r>
              <w:rPr>
                <w:rFonts w:ascii="宋体" w:hAnsi="宋体" w:eastAsia="宋体"/>
                <w:sz w:val="16"/>
              </w:rPr>
              <w:t>1,114.75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C7B22">
            <w:pPr>
              <w:jc w:val="center"/>
            </w:pPr>
            <w:r>
              <w:rPr>
                <w:rFonts w:ascii="宋体" w:hAnsi="宋体" w:eastAsia="宋体"/>
                <w:sz w:val="16"/>
              </w:rPr>
              <w:t>1,114.75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301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5AD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7395F">
            <w:pPr>
              <w:jc w:val="center"/>
            </w:pPr>
            <w:r>
              <w:rPr>
                <w:rFonts w:ascii="宋体" w:hAnsi="宋体" w:eastAsia="宋体"/>
                <w:sz w:val="16"/>
              </w:rPr>
              <w:t>10.00</w:t>
            </w:r>
          </w:p>
        </w:tc>
      </w:tr>
      <w:tr w14:paraId="103E8B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EB1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F04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92144">
            <w:pPr>
              <w:jc w:val="center"/>
            </w:pPr>
            <w:r>
              <w:rPr>
                <w:rFonts w:ascii="宋体" w:hAnsi="宋体" w:eastAsia="宋体"/>
                <w:sz w:val="16"/>
              </w:rPr>
              <w:t>1,135.54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AC514">
            <w:pPr>
              <w:jc w:val="center"/>
            </w:pPr>
            <w:r>
              <w:rPr>
                <w:rFonts w:ascii="宋体" w:hAnsi="宋体" w:eastAsia="宋体"/>
                <w:sz w:val="16"/>
              </w:rPr>
              <w:t>1,114.75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D4C33">
            <w:pPr>
              <w:jc w:val="center"/>
            </w:pPr>
            <w:r>
              <w:rPr>
                <w:rFonts w:ascii="宋体" w:hAnsi="宋体" w:eastAsia="宋体"/>
                <w:sz w:val="16"/>
              </w:rPr>
              <w:t>1,114.75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CD9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D57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37FE">
            <w:pPr>
              <w:jc w:val="center"/>
            </w:pPr>
            <w:r>
              <w:rPr>
                <w:rFonts w:ascii="宋体" w:hAnsi="宋体" w:eastAsia="宋体"/>
                <w:sz w:val="16"/>
              </w:rPr>
              <w:t>—</w:t>
            </w:r>
          </w:p>
        </w:tc>
      </w:tr>
      <w:tr w14:paraId="75F35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0D6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639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59B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01A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5A9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7CD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0AD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0453">
            <w:pPr>
              <w:jc w:val="center"/>
            </w:pPr>
            <w:r>
              <w:rPr>
                <w:rFonts w:ascii="宋体" w:hAnsi="宋体" w:eastAsia="宋体"/>
                <w:sz w:val="16"/>
              </w:rPr>
              <w:t>—</w:t>
            </w:r>
          </w:p>
        </w:tc>
      </w:tr>
      <w:tr w14:paraId="640964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C074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B01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5F0181">
            <w:pPr>
              <w:jc w:val="center"/>
            </w:pPr>
            <w:r>
              <w:rPr>
                <w:rFonts w:ascii="宋体" w:hAnsi="宋体" w:eastAsia="宋体"/>
                <w:sz w:val="16"/>
              </w:rPr>
              <w:t>实际完成情况</w:t>
            </w:r>
          </w:p>
        </w:tc>
      </w:tr>
      <w:tr w14:paraId="24A74C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B8D6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26950C">
            <w:pPr>
              <w:jc w:val="both"/>
            </w:pPr>
            <w:r>
              <w:rPr>
                <w:rFonts w:ascii="宋体" w:hAnsi="宋体" w:eastAsia="宋体"/>
                <w:sz w:val="16"/>
              </w:rPr>
              <w:t>2024年，霍城县医疗保障局根据伊州医保发</w:t>
            </w:r>
            <w:r>
              <w:rPr>
                <w:rFonts w:hint="eastAsia" w:ascii="宋体" w:hAnsi="宋体"/>
                <w:sz w:val="16"/>
                <w:lang w:eastAsia="zh-CN"/>
              </w:rPr>
              <w:t>〔2019〕15号</w:t>
            </w:r>
            <w:r>
              <w:rPr>
                <w:rFonts w:ascii="宋体" w:hAnsi="宋体" w:eastAsia="宋体"/>
                <w:sz w:val="16"/>
              </w:rPr>
              <w:t>有关要求，对城乡居民基本医疗保险参保人员补助资金，资金来源由县级配套1114.75元，需达到以下目标： 1.积极推进全民参保计划，城乡居民基本医疗保险参保率稳定在95%以上； 2.稳步提高财政补助资金，确保城乡居民基本医疗保险参保人员的医疗待遇落实； 3.按时足额安排财政补助资金，确保在每年12月底以前全部到位；全面实施大病保险制度，减轻参保人员的经济负担，缓解社会矛盾。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AE3141">
            <w:pPr>
              <w:jc w:val="both"/>
            </w:pPr>
            <w:r>
              <w:rPr>
                <w:rFonts w:ascii="宋体" w:hAnsi="宋体" w:eastAsia="宋体"/>
                <w:sz w:val="16"/>
              </w:rPr>
              <w:t>完成2024年对城乡居民基本医疗保险参保人员补助资金的使用，完成了城乡居民基本医疗保险参保人数20.79万人，财政补助资金1114.75万元按时补助到位，严格执行医疗待遇落实，有效地减轻参保人员的经济负担，提高了医疗服务水平。</w:t>
            </w:r>
          </w:p>
        </w:tc>
      </w:tr>
      <w:tr w14:paraId="7714E9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F662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83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FD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3A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CB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52C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CB3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837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6CB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E3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AE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1BE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47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0133">
            <w:pPr>
              <w:jc w:val="center"/>
            </w:pPr>
            <w:r>
              <w:rPr>
                <w:rFonts w:ascii="宋体" w:hAnsi="宋体" w:eastAsia="宋体"/>
                <w:sz w:val="16"/>
              </w:rPr>
              <w:t>偏差原因分析及改进措施</w:t>
            </w:r>
          </w:p>
        </w:tc>
      </w:tr>
      <w:tr w14:paraId="4C863C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904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DDB4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BA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9198">
            <w:pPr>
              <w:jc w:val="center"/>
            </w:pPr>
            <w:r>
              <w:rPr>
                <w:rFonts w:ascii="宋体" w:hAnsi="宋体" w:eastAsia="宋体"/>
                <w:sz w:val="16"/>
              </w:rPr>
              <w:t>城乡居民医疗参保人数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8A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AB4B">
            <w:pPr>
              <w:jc w:val="center"/>
            </w:pPr>
            <w:r>
              <w:rPr>
                <w:rFonts w:ascii="宋体" w:hAnsi="宋体" w:eastAsia="宋体"/>
                <w:sz w:val="16"/>
              </w:rPr>
              <w:t>&gt;=20.79万人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5700">
            <w:pPr>
              <w:jc w:val="center"/>
            </w:pPr>
            <w:r>
              <w:rPr>
                <w:rFonts w:ascii="宋体" w:hAnsi="宋体" w:eastAsia="宋体"/>
                <w:sz w:val="16"/>
              </w:rPr>
              <w:t>20.79万人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72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F1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56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2A9B">
            <w:pPr>
              <w:jc w:val="center"/>
            </w:pPr>
            <w:r>
              <w:rPr>
                <w:rFonts w:ascii="宋体" w:hAnsi="宋体" w:eastAsia="宋体"/>
                <w:sz w:val="16"/>
              </w:rPr>
              <w:t>20.98万人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871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13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01F4">
            <w:pPr>
              <w:jc w:val="center"/>
            </w:pPr>
          </w:p>
        </w:tc>
      </w:tr>
      <w:tr w14:paraId="57356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9E8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1CC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A20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8D07">
            <w:pPr>
              <w:jc w:val="center"/>
            </w:pPr>
            <w:r>
              <w:rPr>
                <w:rFonts w:ascii="宋体" w:hAnsi="宋体" w:eastAsia="宋体"/>
                <w:sz w:val="16"/>
              </w:rPr>
              <w:t>以户籍人口数为基数计算的基本医保综合参保率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92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136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618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0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8B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31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AFBA">
            <w:pPr>
              <w:jc w:val="center"/>
            </w:pPr>
            <w:r>
              <w:rPr>
                <w:rFonts w:ascii="宋体" w:hAnsi="宋体" w:eastAsia="宋体"/>
                <w:sz w:val="16"/>
              </w:rPr>
              <w:t>86.98%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A2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4C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0022">
            <w:pPr>
              <w:jc w:val="center"/>
            </w:pPr>
          </w:p>
        </w:tc>
      </w:tr>
      <w:tr w14:paraId="21A2F1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CAE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2E4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B65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9318">
            <w:pPr>
              <w:jc w:val="center"/>
            </w:pPr>
            <w:r>
              <w:rPr>
                <w:rFonts w:ascii="宋体" w:hAnsi="宋体" w:eastAsia="宋体"/>
                <w:sz w:val="16"/>
              </w:rPr>
              <w:t>以常住人口数为基数计算的基本参保综合参保率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77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F20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FCB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68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75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7E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6B744">
            <w:pPr>
              <w:jc w:val="center"/>
            </w:pPr>
            <w:r>
              <w:rPr>
                <w:rFonts w:ascii="宋体" w:hAnsi="宋体" w:eastAsia="宋体"/>
                <w:sz w:val="16"/>
              </w:rPr>
              <w:t>103.71%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09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49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3068">
            <w:pPr>
              <w:jc w:val="center"/>
            </w:pPr>
          </w:p>
        </w:tc>
      </w:tr>
      <w:tr w14:paraId="32A6F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BF7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EC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67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B01E">
            <w:pPr>
              <w:jc w:val="center"/>
            </w:pPr>
            <w:r>
              <w:rPr>
                <w:rFonts w:ascii="宋体" w:hAnsi="宋体" w:eastAsia="宋体"/>
                <w:sz w:val="16"/>
              </w:rPr>
              <w:t>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34E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24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C62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54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AA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80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E0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2D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A2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12E5">
            <w:pPr>
              <w:jc w:val="center"/>
            </w:pPr>
          </w:p>
        </w:tc>
      </w:tr>
      <w:tr w14:paraId="39AE8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599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BC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33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05771">
            <w:pPr>
              <w:jc w:val="center"/>
            </w:pPr>
            <w:r>
              <w:rPr>
                <w:rFonts w:ascii="宋体" w:hAnsi="宋体" w:eastAsia="宋体"/>
                <w:sz w:val="16"/>
              </w:rPr>
              <w:t>城乡居民医疗参保补助标准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E8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C0D3">
            <w:pPr>
              <w:jc w:val="center"/>
            </w:pPr>
            <w:r>
              <w:rPr>
                <w:rFonts w:ascii="宋体" w:hAnsi="宋体" w:eastAsia="宋体"/>
                <w:sz w:val="16"/>
              </w:rPr>
              <w:t>&lt;=53.6元/人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3714">
            <w:pPr>
              <w:jc w:val="center"/>
            </w:pPr>
            <w:r>
              <w:rPr>
                <w:rFonts w:ascii="宋体" w:hAnsi="宋体" w:eastAsia="宋体"/>
                <w:sz w:val="16"/>
              </w:rPr>
              <w:t>53.6元/人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55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482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E8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0486">
            <w:pPr>
              <w:jc w:val="center"/>
            </w:pPr>
            <w:r>
              <w:rPr>
                <w:rFonts w:ascii="宋体" w:hAnsi="宋体" w:eastAsia="宋体"/>
                <w:sz w:val="16"/>
              </w:rPr>
              <w:t>51.2元/人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0A1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CA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1196">
            <w:pPr>
              <w:jc w:val="center"/>
            </w:pPr>
          </w:p>
        </w:tc>
      </w:tr>
      <w:tr w14:paraId="6A69D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1A5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11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319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C2E7">
            <w:pPr>
              <w:jc w:val="center"/>
            </w:pPr>
            <w:r>
              <w:rPr>
                <w:rFonts w:ascii="宋体" w:hAnsi="宋体" w:eastAsia="宋体"/>
                <w:sz w:val="16"/>
              </w:rPr>
              <w:t>减轻参保人员就医经济负担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BD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B177">
            <w:pPr>
              <w:jc w:val="center"/>
            </w:pPr>
            <w:r>
              <w:rPr>
                <w:rFonts w:ascii="宋体" w:hAnsi="宋体" w:eastAsia="宋体"/>
                <w:sz w:val="16"/>
              </w:rPr>
              <w:t>成效明显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736C">
            <w:pPr>
              <w:jc w:val="center"/>
            </w:pPr>
            <w:r>
              <w:rPr>
                <w:rFonts w:ascii="宋体" w:hAnsi="宋体" w:eastAsia="宋体"/>
                <w:sz w:val="16"/>
              </w:rPr>
              <w:t>成效显著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ED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A4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C0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7E3B6">
            <w:pPr>
              <w:jc w:val="center"/>
            </w:pPr>
            <w:r>
              <w:rPr>
                <w:rFonts w:ascii="宋体" w:hAnsi="宋体" w:eastAsia="宋体"/>
                <w:sz w:val="16"/>
              </w:rPr>
              <w:t>成效明显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B5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C4B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B8CC">
            <w:pPr>
              <w:jc w:val="center"/>
            </w:pPr>
          </w:p>
        </w:tc>
      </w:tr>
      <w:tr w14:paraId="6764ED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D88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EC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AA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7142">
            <w:pPr>
              <w:jc w:val="center"/>
            </w:pPr>
            <w:r>
              <w:rPr>
                <w:rFonts w:ascii="宋体" w:hAnsi="宋体" w:eastAsia="宋体"/>
                <w:sz w:val="16"/>
              </w:rPr>
              <w:t>参保对象满意度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AF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294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F12B">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53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C7A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67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B4F4">
            <w:pPr>
              <w:jc w:val="center"/>
            </w:pPr>
            <w:r>
              <w:rPr>
                <w:rFonts w:ascii="宋体" w:hAnsi="宋体" w:eastAsia="宋体"/>
                <w:sz w:val="16"/>
              </w:rPr>
              <w:t>106.54%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A6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6C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2514A">
            <w:pPr>
              <w:jc w:val="center"/>
            </w:pPr>
          </w:p>
        </w:tc>
      </w:tr>
      <w:tr w14:paraId="291EA0D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5BCFE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D6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4D40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28F3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7804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B0C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CF33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8869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19A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20FA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717A97"/>
        </w:tc>
      </w:tr>
    </w:tbl>
    <w:p w14:paraId="2CDFCC8C">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22"/>
        <w:gridCol w:w="625"/>
        <w:gridCol w:w="776"/>
        <w:gridCol w:w="631"/>
        <w:gridCol w:w="776"/>
        <w:gridCol w:w="625"/>
        <w:gridCol w:w="622"/>
        <w:gridCol w:w="631"/>
        <w:gridCol w:w="622"/>
        <w:gridCol w:w="626"/>
        <w:gridCol w:w="632"/>
      </w:tblGrid>
      <w:tr w14:paraId="0FEF7027">
        <w:tblPrEx>
          <w:tblCellMar>
            <w:top w:w="0" w:type="dxa"/>
            <w:left w:w="108" w:type="dxa"/>
            <w:bottom w:w="0" w:type="dxa"/>
            <w:right w:w="108" w:type="dxa"/>
          </w:tblCellMar>
        </w:tblPrEx>
        <w:tc>
          <w:tcPr>
            <w:tcW w:w="8848" w:type="dxa"/>
            <w:gridSpan w:val="14"/>
            <w:vAlign w:val="center"/>
          </w:tcPr>
          <w:p w14:paraId="032C2B2C">
            <w:pPr>
              <w:jc w:val="center"/>
            </w:pPr>
            <w:r>
              <w:rPr>
                <w:rFonts w:ascii="宋体" w:hAnsi="宋体" w:eastAsia="宋体"/>
                <w:sz w:val="24"/>
              </w:rPr>
              <w:t>项目支出绩效自评表</w:t>
            </w:r>
          </w:p>
        </w:tc>
      </w:tr>
      <w:tr w14:paraId="4FADE461">
        <w:tblPrEx>
          <w:tblCellMar>
            <w:top w:w="0" w:type="dxa"/>
            <w:left w:w="108" w:type="dxa"/>
            <w:bottom w:w="0" w:type="dxa"/>
            <w:right w:w="108" w:type="dxa"/>
          </w:tblCellMar>
        </w:tblPrEx>
        <w:tc>
          <w:tcPr>
            <w:tcW w:w="8848" w:type="dxa"/>
            <w:gridSpan w:val="14"/>
            <w:vAlign w:val="center"/>
          </w:tcPr>
          <w:p w14:paraId="3C71341B">
            <w:pPr>
              <w:jc w:val="center"/>
            </w:pPr>
            <w:r>
              <w:rPr>
                <w:rFonts w:ascii="宋体" w:hAnsi="宋体" w:eastAsia="宋体"/>
                <w:sz w:val="24"/>
              </w:rPr>
              <w:t>(2024年度)</w:t>
            </w:r>
          </w:p>
        </w:tc>
      </w:tr>
      <w:tr w14:paraId="1919E1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FE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B88DF5">
            <w:pPr>
              <w:jc w:val="center"/>
            </w:pPr>
            <w:r>
              <w:rPr>
                <w:rFonts w:ascii="宋体" w:hAnsi="宋体" w:eastAsia="宋体"/>
                <w:sz w:val="16"/>
              </w:rPr>
              <w:t>人身意外伤害保险补助资金</w:t>
            </w:r>
          </w:p>
        </w:tc>
      </w:tr>
      <w:tr w14:paraId="11F7E9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E1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0362F">
            <w:pPr>
              <w:jc w:val="center"/>
            </w:pPr>
            <w:r>
              <w:rPr>
                <w:rFonts w:ascii="宋体" w:hAnsi="宋体" w:eastAsia="宋体"/>
                <w:sz w:val="16"/>
              </w:rPr>
              <w:t>霍城县医疗保障局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15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FEE2D9">
            <w:pPr>
              <w:jc w:val="center"/>
            </w:pPr>
            <w:r>
              <w:rPr>
                <w:rFonts w:ascii="宋体" w:hAnsi="宋体" w:eastAsia="宋体"/>
                <w:sz w:val="16"/>
              </w:rPr>
              <w:t>霍城县医疗保障局</w:t>
            </w:r>
          </w:p>
        </w:tc>
      </w:tr>
      <w:tr w14:paraId="7307C6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1378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0B39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1C75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BD0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36F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CA7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AED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CECA">
            <w:pPr>
              <w:jc w:val="center"/>
            </w:pPr>
            <w:r>
              <w:rPr>
                <w:rFonts w:ascii="宋体" w:hAnsi="宋体" w:eastAsia="宋体"/>
                <w:sz w:val="16"/>
              </w:rPr>
              <w:t>得分</w:t>
            </w:r>
          </w:p>
        </w:tc>
      </w:tr>
      <w:tr w14:paraId="7A327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F02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0BD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16DD3">
            <w:pPr>
              <w:jc w:val="center"/>
            </w:pPr>
            <w:r>
              <w:rPr>
                <w:rFonts w:ascii="宋体" w:hAnsi="宋体" w:eastAsia="宋体"/>
                <w:sz w:val="16"/>
              </w:rPr>
              <w:t>235.16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F4907">
            <w:pPr>
              <w:jc w:val="center"/>
            </w:pPr>
            <w:r>
              <w:rPr>
                <w:rFonts w:ascii="宋体" w:hAnsi="宋体" w:eastAsia="宋体"/>
                <w:sz w:val="16"/>
              </w:rPr>
              <w:t>235.16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59E29">
            <w:pPr>
              <w:jc w:val="center"/>
            </w:pPr>
            <w:r>
              <w:rPr>
                <w:rFonts w:ascii="宋体" w:hAnsi="宋体" w:eastAsia="宋体"/>
                <w:sz w:val="16"/>
              </w:rPr>
              <w:t>235.16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B4C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0FA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81C5">
            <w:pPr>
              <w:jc w:val="center"/>
            </w:pPr>
            <w:r>
              <w:rPr>
                <w:rFonts w:ascii="宋体" w:hAnsi="宋体" w:eastAsia="宋体"/>
                <w:sz w:val="16"/>
              </w:rPr>
              <w:t>10.00</w:t>
            </w:r>
          </w:p>
        </w:tc>
      </w:tr>
      <w:tr w14:paraId="159D1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655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074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A9530">
            <w:pPr>
              <w:jc w:val="center"/>
            </w:pPr>
            <w:r>
              <w:rPr>
                <w:rFonts w:ascii="宋体" w:hAnsi="宋体" w:eastAsia="宋体"/>
                <w:sz w:val="16"/>
              </w:rPr>
              <w:t>235.16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FC14A">
            <w:pPr>
              <w:jc w:val="center"/>
            </w:pPr>
            <w:r>
              <w:rPr>
                <w:rFonts w:ascii="宋体" w:hAnsi="宋体" w:eastAsia="宋体"/>
                <w:sz w:val="16"/>
              </w:rPr>
              <w:t>235.16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30B55">
            <w:pPr>
              <w:jc w:val="center"/>
            </w:pPr>
            <w:r>
              <w:rPr>
                <w:rFonts w:ascii="宋体" w:hAnsi="宋体" w:eastAsia="宋体"/>
                <w:sz w:val="16"/>
              </w:rPr>
              <w:t>235.16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9D8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F9B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5360">
            <w:pPr>
              <w:jc w:val="center"/>
            </w:pPr>
            <w:r>
              <w:rPr>
                <w:rFonts w:ascii="宋体" w:hAnsi="宋体" w:eastAsia="宋体"/>
                <w:sz w:val="16"/>
              </w:rPr>
              <w:t>—</w:t>
            </w:r>
          </w:p>
        </w:tc>
      </w:tr>
      <w:tr w14:paraId="04901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F1E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7C9C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15B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37E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20D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C1A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984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FAB6">
            <w:pPr>
              <w:jc w:val="center"/>
            </w:pPr>
            <w:r>
              <w:rPr>
                <w:rFonts w:ascii="宋体" w:hAnsi="宋体" w:eastAsia="宋体"/>
                <w:sz w:val="16"/>
              </w:rPr>
              <w:t>—</w:t>
            </w:r>
          </w:p>
        </w:tc>
      </w:tr>
      <w:tr w14:paraId="55E108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2B10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267C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A02D38">
            <w:pPr>
              <w:jc w:val="center"/>
            </w:pPr>
            <w:r>
              <w:rPr>
                <w:rFonts w:ascii="宋体" w:hAnsi="宋体" w:eastAsia="宋体"/>
                <w:sz w:val="16"/>
              </w:rPr>
              <w:t>实际完成情况</w:t>
            </w:r>
          </w:p>
        </w:tc>
      </w:tr>
      <w:tr w14:paraId="28EF6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8475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3ED70A">
            <w:pPr>
              <w:jc w:val="both"/>
            </w:pPr>
            <w:r>
              <w:rPr>
                <w:rFonts w:ascii="宋体" w:hAnsi="宋体" w:eastAsia="宋体"/>
                <w:sz w:val="16"/>
              </w:rPr>
              <w:t>根据《关于建立和实施人身意外伤害保险的通知》(新人社发〔2016〕140号)《关于完善自治区人身意外伤害保险政策的通知》(新人社发(2018)33号)。自治区人身意外伤害保险采取政府主导、委托管理、商业运作的模式运行，对具有新疆户籍的居民、参加自治区城镇职工和城乡居民基本医疗保险的非新疆户籍居民和援疆工作人员提供保障。每人每年10元的筹资标准，保险费由各级财政安排，个人不缴费，保障人身意外伤害保险对象经济负担减轻，社会满意度得到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E4FCA3">
            <w:pPr>
              <w:jc w:val="both"/>
            </w:pPr>
            <w:r>
              <w:rPr>
                <w:rFonts w:ascii="宋体" w:hAnsi="宋体" w:eastAsia="宋体"/>
                <w:sz w:val="16"/>
              </w:rPr>
              <w:t>霍城县医疗保障局根据上级文件及协议精神，人身意外伤害保险项目对新疆户籍的居民，参加自治区城镇职工和城乡居民基本医疗保险的非新疆户籍居民和援疆工作人员提供保障。每人每年10元筹资标准，保险费由各级财政安排，个人不缴费，保障人身意外伤害保险对象经济负担减轻，全年资金235.16万元，用于全县群众人身意外伤害险。</w:t>
            </w:r>
          </w:p>
        </w:tc>
      </w:tr>
      <w:tr w14:paraId="2D7BE2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705C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8E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CE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83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D4B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907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17D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FBA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6F7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35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67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85D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B1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B624">
            <w:pPr>
              <w:jc w:val="center"/>
            </w:pPr>
            <w:r>
              <w:rPr>
                <w:rFonts w:ascii="宋体" w:hAnsi="宋体" w:eastAsia="宋体"/>
                <w:sz w:val="16"/>
              </w:rPr>
              <w:t>偏差原因分析及改进措施</w:t>
            </w:r>
          </w:p>
        </w:tc>
      </w:tr>
      <w:tr w14:paraId="0279D2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45B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743B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4F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2F80">
            <w:pPr>
              <w:jc w:val="center"/>
            </w:pPr>
            <w:r>
              <w:rPr>
                <w:rFonts w:ascii="宋体" w:hAnsi="宋体" w:eastAsia="宋体"/>
                <w:sz w:val="16"/>
              </w:rPr>
              <w:t>人身意外伤害保险保障人数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DF6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03A34">
            <w:pPr>
              <w:jc w:val="center"/>
            </w:pPr>
            <w:r>
              <w:rPr>
                <w:rFonts w:ascii="宋体" w:hAnsi="宋体" w:eastAsia="宋体"/>
                <w:sz w:val="16"/>
              </w:rPr>
              <w:t>&gt;=23.51万人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2109">
            <w:pPr>
              <w:jc w:val="center"/>
            </w:pPr>
            <w:r>
              <w:rPr>
                <w:rFonts w:ascii="宋体" w:hAnsi="宋体" w:eastAsia="宋体"/>
                <w:sz w:val="16"/>
              </w:rPr>
              <w:t>23.51万人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31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F8B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DE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F79A">
            <w:pPr>
              <w:jc w:val="center"/>
            </w:pPr>
            <w:r>
              <w:rPr>
                <w:rFonts w:ascii="宋体" w:hAnsi="宋体" w:eastAsia="宋体"/>
                <w:sz w:val="16"/>
              </w:rPr>
              <w:t>22.55万人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DC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87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E855">
            <w:pPr>
              <w:jc w:val="center"/>
            </w:pPr>
          </w:p>
        </w:tc>
      </w:tr>
      <w:tr w14:paraId="2F52A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E7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A4E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F8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BF94">
            <w:pPr>
              <w:jc w:val="center"/>
            </w:pPr>
            <w:r>
              <w:rPr>
                <w:rFonts w:ascii="宋体" w:hAnsi="宋体" w:eastAsia="宋体"/>
                <w:sz w:val="16"/>
              </w:rPr>
              <w:t>人身意外伤害保险覆盖率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3A3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43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D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D3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405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05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E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95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9C5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57BD">
            <w:pPr>
              <w:jc w:val="center"/>
            </w:pPr>
          </w:p>
        </w:tc>
      </w:tr>
      <w:tr w14:paraId="24617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7B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D09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47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054F">
            <w:pPr>
              <w:jc w:val="center"/>
            </w:pPr>
            <w:r>
              <w:rPr>
                <w:rFonts w:ascii="宋体" w:hAnsi="宋体" w:eastAsia="宋体"/>
                <w:sz w:val="16"/>
              </w:rPr>
              <w:t>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B2C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E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E6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A9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AFD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C4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DD0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BB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886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859D">
            <w:pPr>
              <w:jc w:val="center"/>
            </w:pPr>
          </w:p>
        </w:tc>
      </w:tr>
      <w:tr w14:paraId="6ECC7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42B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353E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70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A17D">
            <w:pPr>
              <w:jc w:val="center"/>
            </w:pPr>
            <w:r>
              <w:rPr>
                <w:rFonts w:ascii="宋体" w:hAnsi="宋体" w:eastAsia="宋体"/>
                <w:sz w:val="16"/>
              </w:rPr>
              <w:t>人身意外伤害保险补助标准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3E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9D72">
            <w:pPr>
              <w:jc w:val="center"/>
            </w:pPr>
            <w:r>
              <w:rPr>
                <w:rFonts w:ascii="宋体" w:hAnsi="宋体" w:eastAsia="宋体"/>
                <w:sz w:val="16"/>
              </w:rPr>
              <w:t>&lt;=10元/人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3CB5">
            <w:pPr>
              <w:jc w:val="center"/>
            </w:pPr>
            <w:r>
              <w:rPr>
                <w:rFonts w:ascii="宋体" w:hAnsi="宋体" w:eastAsia="宋体"/>
                <w:sz w:val="16"/>
              </w:rPr>
              <w:t>10元/人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6E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B1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2F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D0D0">
            <w:pPr>
              <w:jc w:val="center"/>
            </w:pPr>
            <w:r>
              <w:rPr>
                <w:rFonts w:ascii="宋体" w:hAnsi="宋体" w:eastAsia="宋体"/>
                <w:sz w:val="16"/>
              </w:rPr>
              <w:t>10元/人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47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60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F764">
            <w:pPr>
              <w:jc w:val="center"/>
            </w:pPr>
          </w:p>
        </w:tc>
      </w:tr>
      <w:tr w14:paraId="57F350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6B9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EFEB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EAB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7B60">
            <w:pPr>
              <w:jc w:val="center"/>
            </w:pPr>
            <w:r>
              <w:rPr>
                <w:rFonts w:ascii="宋体" w:hAnsi="宋体" w:eastAsia="宋体"/>
                <w:sz w:val="16"/>
              </w:rPr>
              <w:t>保障人身意外伤害保险对象经济负担减轻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031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51E5">
            <w:pPr>
              <w:jc w:val="center"/>
            </w:pPr>
            <w:r>
              <w:rPr>
                <w:rFonts w:ascii="宋体" w:hAnsi="宋体" w:eastAsia="宋体"/>
                <w:sz w:val="16"/>
              </w:rPr>
              <w:t>成效明显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84E4">
            <w:pPr>
              <w:jc w:val="center"/>
            </w:pPr>
            <w:r>
              <w:rPr>
                <w:rFonts w:ascii="宋体" w:hAnsi="宋体" w:eastAsia="宋体"/>
                <w:sz w:val="16"/>
              </w:rPr>
              <w:t>成效显著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9D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F5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9C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1044">
            <w:pPr>
              <w:jc w:val="center"/>
            </w:pPr>
            <w:r>
              <w:rPr>
                <w:rFonts w:ascii="宋体" w:hAnsi="宋体" w:eastAsia="宋体"/>
                <w:sz w:val="16"/>
              </w:rPr>
              <w:t>成效明显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02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1B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8678">
            <w:pPr>
              <w:jc w:val="center"/>
            </w:pPr>
          </w:p>
        </w:tc>
      </w:tr>
      <w:tr w14:paraId="0F82CD5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9AD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EBB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B3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FA0B">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D4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321D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C90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FE9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297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BF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FC64">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82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B9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8161">
            <w:pPr>
              <w:jc w:val="center"/>
            </w:pPr>
          </w:p>
        </w:tc>
      </w:tr>
      <w:tr w14:paraId="1ED7C87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73B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B3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B1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8D4F">
            <w:pPr>
              <w:jc w:val="center"/>
            </w:pPr>
            <w:r>
              <w:rPr>
                <w:rFonts w:ascii="宋体" w:hAnsi="宋体" w:eastAsia="宋体"/>
                <w:sz w:val="16"/>
              </w:rPr>
              <w:t>保障对象满意率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63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C70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46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8187">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C0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84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1CB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EC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4E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23F6">
            <w:pPr>
              <w:jc w:val="center"/>
            </w:pPr>
            <w:r>
              <w:rPr>
                <w:rFonts w:ascii="宋体" w:hAnsi="宋体" w:eastAsia="宋体"/>
                <w:sz w:val="16"/>
              </w:rPr>
              <w:t>满意度完成较好。</w:t>
            </w:r>
          </w:p>
        </w:tc>
      </w:tr>
      <w:tr w14:paraId="0A00E4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B070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3E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AC54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1496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30CF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20B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C830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A492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CF3E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6930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21207D"/>
        </w:tc>
      </w:tr>
    </w:tbl>
    <w:p w14:paraId="0219236F">
      <w:r>
        <w:br w:type="page"/>
      </w:r>
    </w:p>
    <w:p w14:paraId="413D7920">
      <w:pPr>
        <w:spacing w:line="640" w:lineRule="exact"/>
        <w:ind w:firstLine="640"/>
        <w:jc w:val="both"/>
        <w:outlineLvl w:val="2"/>
      </w:pPr>
      <w:r>
        <w:rPr>
          <w:rFonts w:ascii="黑体" w:hAnsi="黑体" w:eastAsia="黑体"/>
          <w:sz w:val="32"/>
        </w:rPr>
        <w:t>十二、其他需说明的事项</w:t>
      </w:r>
    </w:p>
    <w:p w14:paraId="4237CD84">
      <w:pPr>
        <w:spacing w:line="580" w:lineRule="exact"/>
        <w:ind w:firstLine="640"/>
        <w:jc w:val="both"/>
      </w:pPr>
      <w:r>
        <w:rPr>
          <w:rFonts w:ascii="仿宋_GB2312" w:hAnsi="仿宋_GB2312" w:eastAsia="仿宋_GB2312"/>
          <w:b w:val="0"/>
          <w:sz w:val="32"/>
        </w:rPr>
        <w:t>本单位无其他需说明的事项。</w:t>
      </w:r>
    </w:p>
    <w:p w14:paraId="7F9951E1">
      <w:r>
        <w:br w:type="page"/>
      </w:r>
    </w:p>
    <w:p w14:paraId="22283920">
      <w:pPr>
        <w:spacing w:line="240" w:lineRule="auto"/>
        <w:jc w:val="center"/>
        <w:outlineLvl w:val="1"/>
      </w:pPr>
      <w:r>
        <w:rPr>
          <w:rFonts w:ascii="黑体" w:hAnsi="黑体" w:eastAsia="黑体"/>
          <w:sz w:val="32"/>
        </w:rPr>
        <w:t>第三部分 专业名词解释</w:t>
      </w:r>
    </w:p>
    <w:p w14:paraId="2F27A91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AD8E6B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9419B6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D075E6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C07280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366CC7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B929D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9030E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1B25B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3A637D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7A69DA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F2FAE2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C96DDF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8ED29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8A405A6">
      <w:r>
        <w:br w:type="page"/>
      </w:r>
    </w:p>
    <w:p w14:paraId="5D663C02">
      <w:pPr>
        <w:spacing w:line="240" w:lineRule="auto"/>
        <w:jc w:val="center"/>
        <w:outlineLvl w:val="1"/>
      </w:pPr>
      <w:r>
        <w:rPr>
          <w:rFonts w:ascii="黑体" w:hAnsi="黑体" w:eastAsia="黑体"/>
          <w:sz w:val="32"/>
        </w:rPr>
        <w:t>第四部分 部门决算报表（见附表）</w:t>
      </w:r>
    </w:p>
    <w:p w14:paraId="4694C365">
      <w:pPr>
        <w:spacing w:line="240" w:lineRule="auto"/>
        <w:ind w:firstLine="640"/>
        <w:jc w:val="both"/>
      </w:pPr>
      <w:r>
        <w:rPr>
          <w:rFonts w:ascii="仿宋_GB2312" w:hAnsi="仿宋_GB2312" w:eastAsia="仿宋_GB2312"/>
          <w:b w:val="0"/>
          <w:sz w:val="32"/>
        </w:rPr>
        <w:t>一、《收入支出决算总表》</w:t>
      </w:r>
    </w:p>
    <w:p w14:paraId="4E9D4D35">
      <w:pPr>
        <w:spacing w:line="240" w:lineRule="auto"/>
        <w:ind w:firstLine="640"/>
        <w:jc w:val="both"/>
      </w:pPr>
      <w:r>
        <w:rPr>
          <w:rFonts w:ascii="仿宋_GB2312" w:hAnsi="仿宋_GB2312" w:eastAsia="仿宋_GB2312"/>
          <w:b w:val="0"/>
          <w:sz w:val="32"/>
        </w:rPr>
        <w:t>二、《收入决算表》</w:t>
      </w:r>
    </w:p>
    <w:p w14:paraId="3E8977FC">
      <w:pPr>
        <w:spacing w:line="240" w:lineRule="auto"/>
        <w:ind w:firstLine="640"/>
        <w:jc w:val="both"/>
      </w:pPr>
      <w:r>
        <w:rPr>
          <w:rFonts w:ascii="仿宋_GB2312" w:hAnsi="仿宋_GB2312" w:eastAsia="仿宋_GB2312"/>
          <w:b w:val="0"/>
          <w:sz w:val="32"/>
        </w:rPr>
        <w:t>三、《支出决算表》</w:t>
      </w:r>
    </w:p>
    <w:p w14:paraId="514BC1E4">
      <w:pPr>
        <w:spacing w:line="240" w:lineRule="auto"/>
        <w:ind w:firstLine="640"/>
        <w:jc w:val="both"/>
      </w:pPr>
      <w:r>
        <w:rPr>
          <w:rFonts w:ascii="仿宋_GB2312" w:hAnsi="仿宋_GB2312" w:eastAsia="仿宋_GB2312"/>
          <w:b w:val="0"/>
          <w:sz w:val="32"/>
        </w:rPr>
        <w:t>四、《财政拨款收入支出决算总表》</w:t>
      </w:r>
    </w:p>
    <w:p w14:paraId="6C5587B5">
      <w:pPr>
        <w:spacing w:line="240" w:lineRule="auto"/>
        <w:ind w:firstLine="640"/>
        <w:jc w:val="both"/>
      </w:pPr>
      <w:r>
        <w:rPr>
          <w:rFonts w:ascii="仿宋_GB2312" w:hAnsi="仿宋_GB2312" w:eastAsia="仿宋_GB2312"/>
          <w:b w:val="0"/>
          <w:sz w:val="32"/>
        </w:rPr>
        <w:t>五、《一般公共预算财政拨款支出决算表》</w:t>
      </w:r>
    </w:p>
    <w:p w14:paraId="2E9CE688">
      <w:pPr>
        <w:spacing w:line="240" w:lineRule="auto"/>
        <w:ind w:firstLine="640"/>
        <w:jc w:val="both"/>
      </w:pPr>
      <w:r>
        <w:rPr>
          <w:rFonts w:ascii="仿宋_GB2312" w:hAnsi="仿宋_GB2312" w:eastAsia="仿宋_GB2312"/>
          <w:b w:val="0"/>
          <w:sz w:val="32"/>
        </w:rPr>
        <w:t>六、《一般公共预算财政拨款基本支出决算表》</w:t>
      </w:r>
    </w:p>
    <w:p w14:paraId="4B9F858F">
      <w:pPr>
        <w:spacing w:line="240" w:lineRule="auto"/>
        <w:ind w:firstLine="640"/>
        <w:jc w:val="both"/>
      </w:pPr>
      <w:r>
        <w:rPr>
          <w:rFonts w:ascii="仿宋_GB2312" w:hAnsi="仿宋_GB2312" w:eastAsia="仿宋_GB2312"/>
          <w:b w:val="0"/>
          <w:sz w:val="32"/>
        </w:rPr>
        <w:t>七、《政府性基金预算财政拨款收入支出决算表》</w:t>
      </w:r>
    </w:p>
    <w:p w14:paraId="7AD5B1D1">
      <w:pPr>
        <w:spacing w:line="240" w:lineRule="auto"/>
        <w:ind w:firstLine="640"/>
        <w:jc w:val="both"/>
      </w:pPr>
      <w:r>
        <w:rPr>
          <w:rFonts w:ascii="仿宋_GB2312" w:hAnsi="仿宋_GB2312" w:eastAsia="仿宋_GB2312"/>
          <w:b w:val="0"/>
          <w:sz w:val="32"/>
        </w:rPr>
        <w:t>八、《国有资本经营预算财政拨款收入支出决算表》</w:t>
      </w:r>
    </w:p>
    <w:p w14:paraId="1A65ED39">
      <w:pPr>
        <w:spacing w:line="240" w:lineRule="auto"/>
        <w:ind w:firstLine="640"/>
        <w:jc w:val="both"/>
      </w:pPr>
      <w:r>
        <w:rPr>
          <w:rFonts w:ascii="仿宋_GB2312" w:hAnsi="仿宋_GB2312" w:eastAsia="仿宋_GB2312"/>
          <w:b w:val="0"/>
          <w:sz w:val="32"/>
        </w:rPr>
        <w:t>九、《财政拨款“三公”经费支出决算表》</w:t>
      </w:r>
    </w:p>
    <w:p w14:paraId="7AFF9EF6">
      <w:pPr>
        <w:spacing w:line="240" w:lineRule="auto"/>
        <w:ind w:firstLine="640"/>
        <w:jc w:val="both"/>
      </w:pPr>
    </w:p>
    <w:p w14:paraId="3E045156">
      <w:pPr>
        <w:spacing w:line="240" w:lineRule="auto"/>
        <w:ind w:firstLine="640"/>
        <w:jc w:val="both"/>
      </w:pPr>
    </w:p>
    <w:p w14:paraId="6AB0C3FF">
      <w:pPr>
        <w:spacing w:line="240" w:lineRule="auto"/>
        <w:ind w:firstLine="640"/>
        <w:jc w:val="both"/>
      </w:pPr>
    </w:p>
    <w:p w14:paraId="4B6B7DE0">
      <w:pPr>
        <w:spacing w:line="240" w:lineRule="auto"/>
        <w:ind w:firstLine="640"/>
        <w:jc w:val="both"/>
      </w:pPr>
    </w:p>
    <w:p w14:paraId="3BB5A44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447B5A"/>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5536</Words>
  <Characters>6225</Characters>
  <Lines>0</Lines>
  <Paragraphs>0</Paragraphs>
  <TotalTime>2</TotalTime>
  <ScaleCrop>false</ScaleCrop>
  <LinksUpToDate>false</LinksUpToDate>
  <CharactersWithSpaces>6233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2025-09-25T03:16:30Z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