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霍城县军粮供应站2024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F46F4F9">
      <w:r>
        <w:br w:type="page"/>
      </w:r>
    </w:p>
    <w:p w14:paraId="4181C1D4">
      <w:pPr>
        <w:spacing w:line="640" w:lineRule="exact"/>
        <w:jc w:val="center"/>
        <w:outlineLvl w:val="1"/>
      </w:pPr>
      <w:r>
        <w:rPr>
          <w:rFonts w:ascii="黑体" w:hAnsi="黑体" w:eastAsia="黑体"/>
          <w:sz w:val="32"/>
        </w:rPr>
        <w:t>第一部分 单位概况</w:t>
      </w:r>
    </w:p>
    <w:p w14:paraId="0D00AB8F">
      <w:pPr>
        <w:spacing w:line="640" w:lineRule="exact"/>
        <w:ind w:firstLine="640"/>
        <w:jc w:val="both"/>
        <w:outlineLvl w:val="2"/>
      </w:pPr>
      <w:r>
        <w:rPr>
          <w:rFonts w:ascii="黑体" w:hAnsi="黑体" w:eastAsia="黑体"/>
          <w:sz w:val="32"/>
        </w:rPr>
        <w:t>一、主要职能</w:t>
      </w:r>
    </w:p>
    <w:p w14:paraId="2F46EC92">
      <w:pPr>
        <w:spacing w:line="580" w:lineRule="exact"/>
        <w:ind w:firstLine="640"/>
        <w:jc w:val="both"/>
      </w:pPr>
      <w:r>
        <w:rPr>
          <w:rFonts w:ascii="仿宋_GB2312" w:hAnsi="仿宋_GB2312" w:eastAsia="仿宋_GB2312"/>
          <w:sz w:val="32"/>
        </w:rPr>
        <w:t>本单位主要职能SM不予公开。</w:t>
      </w:r>
    </w:p>
    <w:p w14:paraId="4E847227">
      <w:pPr>
        <w:spacing w:line="640" w:lineRule="exact"/>
        <w:ind w:firstLine="640"/>
        <w:jc w:val="both"/>
        <w:outlineLvl w:val="2"/>
      </w:pPr>
      <w:r>
        <w:rPr>
          <w:rFonts w:ascii="黑体" w:hAnsi="黑体" w:eastAsia="黑体"/>
          <w:sz w:val="32"/>
        </w:rPr>
        <w:t>二、机构设置及人员情况</w:t>
      </w:r>
    </w:p>
    <w:p w14:paraId="5EB822FE">
      <w:pPr>
        <w:spacing w:line="580" w:lineRule="exact"/>
        <w:ind w:firstLine="640"/>
        <w:jc w:val="both"/>
      </w:pPr>
      <w:r>
        <w:rPr>
          <w:rFonts w:ascii="仿宋_GB2312" w:hAnsi="仿宋_GB2312" w:eastAsia="仿宋_GB2312"/>
          <w:sz w:val="32"/>
        </w:rPr>
        <w:t>本单位机构设置及人员情况SM不予公开。</w:t>
      </w:r>
    </w:p>
    <w:p w14:paraId="5ACE9AE0">
      <w:r>
        <w:br w:type="page"/>
      </w:r>
    </w:p>
    <w:p w14:paraId="31029948">
      <w:pPr>
        <w:spacing w:line="240" w:lineRule="auto"/>
        <w:jc w:val="center"/>
        <w:outlineLvl w:val="1"/>
      </w:pPr>
      <w:r>
        <w:rPr>
          <w:rFonts w:ascii="黑体" w:hAnsi="黑体" w:eastAsia="黑体"/>
          <w:sz w:val="32"/>
        </w:rPr>
        <w:t>第二部分 部门决算情况说明</w:t>
      </w:r>
    </w:p>
    <w:p w14:paraId="719963B2">
      <w:pPr>
        <w:spacing w:line="640" w:lineRule="exact"/>
        <w:ind w:firstLine="640"/>
        <w:jc w:val="both"/>
        <w:outlineLvl w:val="2"/>
      </w:pPr>
      <w:r>
        <w:rPr>
          <w:rFonts w:ascii="黑体" w:hAnsi="黑体" w:eastAsia="黑体"/>
          <w:sz w:val="32"/>
        </w:rPr>
        <w:t>一、收入支出决算总体情况说明</w:t>
      </w:r>
    </w:p>
    <w:p w14:paraId="5036B88F">
      <w:pPr>
        <w:spacing w:line="580" w:lineRule="exact"/>
        <w:ind w:firstLine="640"/>
        <w:jc w:val="both"/>
      </w:pPr>
      <w:r>
        <w:rPr>
          <w:rFonts w:ascii="仿宋_GB2312" w:hAnsi="仿宋_GB2312" w:eastAsia="仿宋_GB2312"/>
          <w:b/>
          <w:sz w:val="32"/>
        </w:rPr>
        <w:t>2024年度收入总计90.04万元，</w:t>
      </w:r>
      <w:r>
        <w:rPr>
          <w:rFonts w:ascii="仿宋_GB2312" w:hAnsi="仿宋_GB2312" w:eastAsia="仿宋_GB2312"/>
          <w:b w:val="0"/>
          <w:sz w:val="32"/>
        </w:rPr>
        <w:t>其中：本年收入合计88.72万元，使用非财政拨款结余（含专用结余）0.00万元，年初结转和结余1.32万元。</w:t>
      </w:r>
    </w:p>
    <w:p w14:paraId="22EAFD68">
      <w:pPr>
        <w:spacing w:line="580" w:lineRule="exact"/>
        <w:ind w:firstLine="640"/>
        <w:jc w:val="both"/>
      </w:pPr>
      <w:r>
        <w:rPr>
          <w:rFonts w:ascii="仿宋_GB2312" w:hAnsi="仿宋_GB2312" w:eastAsia="仿宋_GB2312"/>
          <w:b/>
          <w:sz w:val="32"/>
        </w:rPr>
        <w:t>2024年度支出总计90.04万元，</w:t>
      </w:r>
      <w:r>
        <w:rPr>
          <w:rFonts w:ascii="仿宋_GB2312" w:hAnsi="仿宋_GB2312" w:eastAsia="仿宋_GB2312"/>
          <w:b w:val="0"/>
          <w:sz w:val="32"/>
        </w:rPr>
        <w:t>其中：本年支出合计90.04万元，结余分配0.00万元，年末结转和结余0.00万元。</w:t>
      </w:r>
    </w:p>
    <w:p w14:paraId="219860B0">
      <w:pPr>
        <w:spacing w:line="580" w:lineRule="exact"/>
        <w:ind w:firstLine="640"/>
        <w:jc w:val="both"/>
      </w:pPr>
      <w:r>
        <w:rPr>
          <w:rFonts w:ascii="仿宋_GB2312" w:hAnsi="仿宋_GB2312" w:eastAsia="仿宋_GB2312"/>
          <w:b w:val="0"/>
          <w:sz w:val="32"/>
        </w:rPr>
        <w:t>收入支出总体与上年相比，增加15.66万元，增长21.05%，主要原因是：本年增加办公楼维修改造资金，导致经费较上年增加。</w:t>
      </w:r>
    </w:p>
    <w:p w14:paraId="71F31788">
      <w:pPr>
        <w:spacing w:line="640" w:lineRule="exact"/>
        <w:ind w:firstLine="640"/>
        <w:jc w:val="both"/>
        <w:outlineLvl w:val="2"/>
      </w:pPr>
      <w:r>
        <w:rPr>
          <w:rFonts w:ascii="黑体" w:hAnsi="黑体" w:eastAsia="黑体"/>
          <w:sz w:val="32"/>
        </w:rPr>
        <w:t>二、收入决算情况说明</w:t>
      </w:r>
    </w:p>
    <w:p w14:paraId="70CFFAC0">
      <w:pPr>
        <w:spacing w:line="580" w:lineRule="exact"/>
        <w:ind w:firstLine="640"/>
        <w:jc w:val="both"/>
      </w:pPr>
      <w:r>
        <w:rPr>
          <w:rFonts w:ascii="仿宋_GB2312" w:hAnsi="仿宋_GB2312" w:eastAsia="仿宋_GB2312"/>
          <w:b/>
          <w:sz w:val="32"/>
        </w:rPr>
        <w:t>本年收入88.72万元，</w:t>
      </w:r>
      <w:r>
        <w:rPr>
          <w:rFonts w:ascii="仿宋_GB2312" w:hAnsi="仿宋_GB2312" w:eastAsia="仿宋_GB2312"/>
          <w:b w:val="0"/>
          <w:sz w:val="32"/>
        </w:rPr>
        <w:t>其中：财政拨款收入88.72万元，占100.00%；上级补助收入0.00万元，占0.00%；事业收入0.00万元，占0.00%；经营收入0.00万元，占0.00%；附属单位上缴收入0.00万元，占0.00%；其他收入0.00万元，占0.00%。</w:t>
      </w:r>
    </w:p>
    <w:p w14:paraId="2769BE25">
      <w:pPr>
        <w:spacing w:line="640" w:lineRule="exact"/>
        <w:ind w:firstLine="640"/>
        <w:jc w:val="both"/>
        <w:outlineLvl w:val="2"/>
      </w:pPr>
      <w:r>
        <w:rPr>
          <w:rFonts w:ascii="黑体" w:hAnsi="黑体" w:eastAsia="黑体"/>
          <w:sz w:val="32"/>
        </w:rPr>
        <w:t>三、支出决算情况说明</w:t>
      </w:r>
    </w:p>
    <w:p w14:paraId="158FADF1">
      <w:pPr>
        <w:spacing w:line="580" w:lineRule="exact"/>
        <w:ind w:firstLine="640"/>
        <w:jc w:val="both"/>
      </w:pPr>
      <w:r>
        <w:rPr>
          <w:rFonts w:ascii="仿宋_GB2312" w:hAnsi="仿宋_GB2312" w:eastAsia="仿宋_GB2312"/>
          <w:b/>
          <w:sz w:val="32"/>
        </w:rPr>
        <w:t>本年支出90.04万元，</w:t>
      </w:r>
      <w:r>
        <w:rPr>
          <w:rFonts w:ascii="仿宋_GB2312" w:hAnsi="仿宋_GB2312" w:eastAsia="仿宋_GB2312"/>
          <w:b w:val="0"/>
          <w:sz w:val="32"/>
        </w:rPr>
        <w:t>其中：基本支出70.04万元，占77.79%；项目支出20.00万元，占22.21%；上缴上级支出0.00万元，占0.00%；经营支出0.00万元，占0.00%；对附属单位补助支出0.00万元，占0.00%。</w:t>
      </w:r>
    </w:p>
    <w:p w14:paraId="1EB57FCB">
      <w:pPr>
        <w:spacing w:line="640" w:lineRule="exact"/>
        <w:ind w:firstLine="640"/>
        <w:jc w:val="both"/>
        <w:outlineLvl w:val="2"/>
      </w:pPr>
      <w:r>
        <w:rPr>
          <w:rFonts w:ascii="黑体" w:hAnsi="黑体" w:eastAsia="黑体"/>
          <w:sz w:val="32"/>
        </w:rPr>
        <w:t>四、财政拨款收入支出决算总体情况说明</w:t>
      </w:r>
    </w:p>
    <w:p w14:paraId="4748C2BB">
      <w:pPr>
        <w:spacing w:line="580" w:lineRule="exact"/>
        <w:ind w:firstLine="640"/>
        <w:jc w:val="both"/>
      </w:pPr>
      <w:r>
        <w:rPr>
          <w:rFonts w:ascii="仿宋_GB2312" w:hAnsi="仿宋_GB2312" w:eastAsia="仿宋_GB2312"/>
          <w:b/>
          <w:sz w:val="32"/>
        </w:rPr>
        <w:t>2024年度财政拨款收入总计88.72万元，</w:t>
      </w:r>
      <w:r>
        <w:rPr>
          <w:rFonts w:ascii="仿宋_GB2312" w:hAnsi="仿宋_GB2312" w:eastAsia="仿宋_GB2312"/>
          <w:b w:val="0"/>
          <w:sz w:val="32"/>
        </w:rPr>
        <w:t>其中：年初财政拨款结转和结余0.00万元，本年财政拨款收入88.72万元。</w:t>
      </w:r>
      <w:r>
        <w:rPr>
          <w:rFonts w:ascii="仿宋_GB2312" w:hAnsi="仿宋_GB2312" w:eastAsia="仿宋_GB2312"/>
          <w:b/>
          <w:sz w:val="32"/>
        </w:rPr>
        <w:t>财政拨款支出总计88.72万元，</w:t>
      </w:r>
      <w:r>
        <w:rPr>
          <w:rFonts w:ascii="仿宋_GB2312" w:hAnsi="仿宋_GB2312" w:eastAsia="仿宋_GB2312"/>
          <w:b w:val="0"/>
          <w:sz w:val="32"/>
        </w:rPr>
        <w:t>其中：年末财政拨款结转和结余0.00万元，本年财政拨款支出88.72万元。</w:t>
      </w:r>
    </w:p>
    <w:p w14:paraId="1A842A2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增加15.67万元，增长21.45%，主要原因是：本年增加办公楼维修改造资金，导致经费较上年增加。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年初预算数69.97万元，决算数88.72万元，预决算差异率26.80%，主要原因是：年中追加人员工资、社保、公积金基数调增部分资金及办公楼维修改造资金，导致预决算存在差异。</w:t>
      </w:r>
    </w:p>
    <w:p w14:paraId="5FCB6498">
      <w:pPr>
        <w:spacing w:line="640" w:lineRule="exact"/>
        <w:ind w:firstLine="640"/>
        <w:jc w:val="both"/>
        <w:outlineLvl w:val="2"/>
      </w:pPr>
      <w:r>
        <w:rPr>
          <w:rFonts w:ascii="黑体" w:hAnsi="黑体" w:eastAsia="黑体"/>
          <w:sz w:val="32"/>
        </w:rPr>
        <w:t>五、一般公共预算财政拨款支出决算情况说明</w:t>
      </w:r>
    </w:p>
    <w:p w14:paraId="6FD620F8">
      <w:pPr>
        <w:spacing w:line="640" w:lineRule="exact"/>
        <w:ind w:firstLine="640"/>
        <w:jc w:val="both"/>
        <w:outlineLvl w:val="3"/>
      </w:pPr>
      <w:r>
        <w:rPr>
          <w:rFonts w:ascii="楷体_GB2312" w:hAnsi="楷体_GB2312" w:eastAsia="楷体_GB2312"/>
          <w:b/>
          <w:sz w:val="32"/>
        </w:rPr>
        <w:t>（一）一般公共预算财政拨款支出决算总体情况</w:t>
      </w:r>
    </w:p>
    <w:p w14:paraId="7AEEC6BD">
      <w:pPr>
        <w:spacing w:line="580" w:lineRule="exact"/>
        <w:ind w:firstLine="640"/>
        <w:jc w:val="both"/>
      </w:pPr>
      <w:r>
        <w:rPr>
          <w:rFonts w:ascii="仿宋_GB2312" w:hAnsi="仿宋_GB2312" w:eastAsia="仿宋_GB2312"/>
          <w:b/>
          <w:sz w:val="32"/>
        </w:rPr>
        <w:t>2024年度一般公共预算财政拨款支出88.72万元，</w:t>
      </w:r>
      <w:r>
        <w:rPr>
          <w:rFonts w:ascii="仿宋_GB2312" w:hAnsi="仿宋_GB2312" w:eastAsia="仿宋_GB2312"/>
          <w:b w:val="0"/>
          <w:sz w:val="32"/>
        </w:rPr>
        <w:t>占本年支出合计的98.53%。</w:t>
      </w:r>
      <w:r>
        <w:rPr>
          <w:rFonts w:ascii="仿宋_GB2312" w:hAnsi="仿宋_GB2312" w:eastAsia="仿宋_GB2312"/>
          <w:b/>
          <w:sz w:val="32"/>
        </w:rPr>
        <w:t>与上年相比，</w:t>
      </w:r>
      <w:r>
        <w:rPr>
          <w:rFonts w:ascii="仿宋_GB2312" w:hAnsi="仿宋_GB2312" w:eastAsia="仿宋_GB2312"/>
          <w:b w:val="0"/>
          <w:sz w:val="32"/>
        </w:rPr>
        <w:t>增加15.67万元，增长21.45%，主要原因是：本年增加办公楼维修改造资金，导致经费较上年增加。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年初预算数69.97万元，决算数88.72万元，预决算差异率26.80%，主要原因是：年中追加人员工资、社保、公积金基数调增部分资金及办公楼维修改造资金，导致预决算存在差异。</w:t>
      </w:r>
    </w:p>
    <w:p w14:paraId="3DC40139">
      <w:pPr>
        <w:spacing w:line="640" w:lineRule="exact"/>
        <w:ind w:firstLine="640"/>
        <w:jc w:val="both"/>
        <w:outlineLvl w:val="3"/>
      </w:pPr>
      <w:r>
        <w:rPr>
          <w:rFonts w:ascii="楷体_GB2312" w:hAnsi="楷体_GB2312" w:eastAsia="楷体_GB2312"/>
          <w:b/>
          <w:sz w:val="32"/>
        </w:rPr>
        <w:t>（二）一般公共预算财政拨款支出决算结构情况</w:t>
      </w:r>
    </w:p>
    <w:p w14:paraId="79CF0864">
      <w:pPr>
        <w:spacing w:line="580" w:lineRule="exact"/>
        <w:ind w:firstLine="640"/>
        <w:jc w:val="both"/>
      </w:pPr>
      <w:r>
        <w:rPr>
          <w:rFonts w:ascii="仿宋_GB2312" w:hAnsi="仿宋_GB2312" w:eastAsia="仿宋_GB2312"/>
          <w:b w:val="0"/>
          <w:sz w:val="32"/>
        </w:rPr>
        <w:t>1.社会保障和就业支出(类)9.56万元,占10.78%。</w:t>
      </w:r>
    </w:p>
    <w:p w14:paraId="35FDCE66">
      <w:pPr>
        <w:spacing w:line="580" w:lineRule="exact"/>
        <w:ind w:firstLine="640"/>
        <w:jc w:val="both"/>
      </w:pPr>
      <w:r>
        <w:rPr>
          <w:rFonts w:ascii="仿宋_GB2312" w:hAnsi="仿宋_GB2312" w:eastAsia="仿宋_GB2312"/>
          <w:b w:val="0"/>
          <w:sz w:val="32"/>
        </w:rPr>
        <w:t>2.卫生健康支出(类)3.97万元,占4.47%。</w:t>
      </w:r>
    </w:p>
    <w:p w14:paraId="4F7D0A7F">
      <w:pPr>
        <w:spacing w:line="580" w:lineRule="exact"/>
        <w:ind w:firstLine="640"/>
        <w:jc w:val="both"/>
      </w:pPr>
      <w:r>
        <w:rPr>
          <w:rFonts w:ascii="仿宋_GB2312" w:hAnsi="仿宋_GB2312" w:eastAsia="仿宋_GB2312"/>
          <w:b w:val="0"/>
          <w:sz w:val="32"/>
        </w:rPr>
        <w:t>3.住房保障支出(类)5.63万元,占6.35%。</w:t>
      </w:r>
    </w:p>
    <w:p w14:paraId="1F407EA7">
      <w:pPr>
        <w:spacing w:line="580" w:lineRule="exact"/>
        <w:ind w:firstLine="640"/>
        <w:jc w:val="both"/>
      </w:pPr>
      <w:r>
        <w:rPr>
          <w:rFonts w:ascii="仿宋_GB2312" w:hAnsi="仿宋_GB2312" w:eastAsia="仿宋_GB2312"/>
          <w:b w:val="0"/>
          <w:sz w:val="32"/>
        </w:rPr>
        <w:t>4.粮油物资储备支出(类)69.55万元,占78.39%。</w:t>
      </w:r>
    </w:p>
    <w:p w14:paraId="3940BE3C">
      <w:pPr>
        <w:spacing w:line="640" w:lineRule="exact"/>
        <w:ind w:firstLine="640"/>
        <w:jc w:val="both"/>
        <w:outlineLvl w:val="3"/>
      </w:pPr>
      <w:r>
        <w:rPr>
          <w:rFonts w:ascii="楷体_GB2312" w:hAnsi="楷体_GB2312" w:eastAsia="楷体_GB2312"/>
          <w:b/>
          <w:sz w:val="32"/>
        </w:rPr>
        <w:t>（三）一般公共预算财政拨款支出决算具体情况</w:t>
      </w:r>
    </w:p>
    <w:p w14:paraId="621CECF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1.社会保障和就业支出(类)行政事业单位养老支出(款)事业单位离退休(项):支出决算数为2.56万元，比上年决算增加1.77万元，增长224.05%,主要原因是：本年增加退休人员基础绩效奖，退休费支出增加。</w:t>
      </w:r>
    </w:p>
    <w:p w14:paraId="3AEA48C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6.99万元，比上年决算减少0.70万元，下降9.10%,主要原因是：本年在职人员调入调出，人员职级不同，缴费基数不同，导致养老保险缴费较上年减少。</w:t>
      </w:r>
    </w:p>
    <w:p w14:paraId="6F62B11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1.02万元，下降100.00%,主要原因是：本年无新增退休人员，职业年金缴费较上年减少。</w:t>
      </w:r>
    </w:p>
    <w:p w14:paraId="0C0ADD6E">
      <w:pPr>
        <w:spacing w:line="580" w:lineRule="exact"/>
        <w:ind w:firstLine="640"/>
        <w:jc w:val="both"/>
      </w:pPr>
      <w:r>
        <w:rPr>
          <w:rFonts w:ascii="仿宋_GB2312" w:hAnsi="仿宋_GB2312" w:eastAsia="仿宋_GB2312"/>
          <w:b w:val="0"/>
          <w:sz w:val="32"/>
        </w:rPr>
        <w:t>4.卫生健康支出(类)行政事业单位医疗(款)事业单位医疗(项):支出决算数为3.97万元，比上年决算减少1.03万元，下降20.60%,主要原因是：因退休人员医疗保险制度改革，退休人员基本医疗不再由单位缴纳，导致经费较上年减少。</w:t>
      </w:r>
    </w:p>
    <w:p w14:paraId="61C52C76">
      <w:pPr>
        <w:spacing w:line="580" w:lineRule="exact"/>
        <w:ind w:firstLine="640"/>
        <w:jc w:val="both"/>
      </w:pPr>
      <w:r>
        <w:rPr>
          <w:rFonts w:ascii="仿宋_GB2312" w:hAnsi="仿宋_GB2312" w:eastAsia="仿宋_GB2312"/>
          <w:b w:val="0"/>
          <w:sz w:val="32"/>
        </w:rPr>
        <w:t>5.住房保障支出(类)住房改革支出(款)住房公积金(项):支出决算数为5.63万元，比上年决算减少0.15万元，下降2.60%,主要原因是：本年在职人员调入调出，人员职级不同，缴费基数不同，导致住房公积金较上年减少。</w:t>
      </w:r>
    </w:p>
    <w:p w14:paraId="6713DC85">
      <w:pPr>
        <w:spacing w:line="580" w:lineRule="exact"/>
        <w:ind w:firstLine="640"/>
        <w:jc w:val="both"/>
      </w:pPr>
      <w:r>
        <w:rPr>
          <w:rFonts w:ascii="仿宋_GB2312" w:hAnsi="仿宋_GB2312" w:eastAsia="仿宋_GB2312"/>
          <w:b w:val="0"/>
          <w:sz w:val="32"/>
        </w:rPr>
        <w:t>6.粮油物资储备支出(类)粮油物资事务(款)事业运行(项):支出决算数为49.55万元，比上年决算减少3.22万元，下降6.10%,主要原因是：本年在职人员调入调出，人员职级不同，工资基数不同，导致人员经费较上年减少。</w:t>
      </w:r>
    </w:p>
    <w:p w14:paraId="2562ACDB">
      <w:pPr>
        <w:spacing w:line="580" w:lineRule="exact"/>
        <w:ind w:firstLine="640"/>
        <w:jc w:val="both"/>
      </w:pPr>
      <w:r>
        <w:rPr>
          <w:rFonts w:ascii="仿宋_GB2312" w:hAnsi="仿宋_GB2312" w:eastAsia="仿宋_GB2312"/>
          <w:b w:val="0"/>
          <w:sz w:val="32"/>
        </w:rPr>
        <w:t>7.粮油物资储备支出(类)粮油储备(款)储备粮（油）库建设(项):支出决算数为20.00万元，比上年决算增加20.00万元，增长100.00%,主要原因是：本年增加办公楼维修改造资金。</w:t>
      </w:r>
    </w:p>
    <w:p w14:paraId="343E79E2">
      <w:pPr>
        <w:spacing w:line="640" w:lineRule="exact"/>
        <w:ind w:firstLine="640"/>
        <w:jc w:val="both"/>
        <w:outlineLvl w:val="2"/>
      </w:pPr>
      <w:r>
        <w:rPr>
          <w:rFonts w:ascii="黑体" w:hAnsi="黑体" w:eastAsia="黑体"/>
          <w:sz w:val="32"/>
        </w:rPr>
        <w:t>六、一般公共预算财政拨款基本支出决算情况说明</w:t>
      </w:r>
    </w:p>
    <w:p w14:paraId="0FE39258">
      <w:pPr>
        <w:spacing w:line="580" w:lineRule="exact"/>
        <w:ind w:firstLine="640"/>
        <w:jc w:val="both"/>
      </w:pPr>
      <w:r>
        <w:rPr>
          <w:rFonts w:ascii="仿宋_GB2312" w:hAnsi="仿宋_GB2312" w:eastAsia="仿宋_GB2312"/>
          <w:b w:val="0"/>
          <w:sz w:val="32"/>
        </w:rPr>
        <w:t>2024年度一般公共预算财政拨款基本支出68.72万元，其中：</w:t>
      </w:r>
      <w:r>
        <w:rPr>
          <w:rFonts w:ascii="仿宋_GB2312" w:hAnsi="仿宋_GB2312" w:eastAsia="仿宋_GB2312"/>
          <w:b/>
          <w:sz w:val="32"/>
        </w:rPr>
        <w:t>人员经费68.68万元，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03F3F151">
      <w:pPr>
        <w:spacing w:line="580" w:lineRule="exact"/>
        <w:ind w:firstLine="640"/>
        <w:jc w:val="both"/>
      </w:pPr>
      <w:r>
        <w:rPr>
          <w:rFonts w:ascii="仿宋_GB2312" w:hAnsi="仿宋_GB2312" w:eastAsia="仿宋_GB2312"/>
          <w:b/>
          <w:sz w:val="32"/>
        </w:rPr>
        <w:t>公用经费0.03万元，</w:t>
      </w:r>
      <w:r>
        <w:rPr>
          <w:rFonts w:ascii="仿宋_GB2312" w:hAnsi="仿宋_GB2312" w:eastAsia="仿宋_GB2312"/>
          <w:b w:val="0"/>
          <w:sz w:val="32"/>
        </w:rPr>
        <w:t>包括：工会经费。</w:t>
      </w:r>
    </w:p>
    <w:p w14:paraId="02124477">
      <w:pPr>
        <w:spacing w:line="640" w:lineRule="exact"/>
        <w:ind w:firstLine="640"/>
        <w:jc w:val="both"/>
        <w:outlineLvl w:val="2"/>
      </w:pPr>
      <w:r>
        <w:rPr>
          <w:rFonts w:ascii="黑体" w:hAnsi="黑体" w:eastAsia="黑体"/>
          <w:sz w:val="32"/>
        </w:rPr>
        <w:t>七、政府性基金预算财政拨款收入支出决算情况说明</w:t>
      </w:r>
    </w:p>
    <w:p w14:paraId="12FA028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6417839">
      <w:pPr>
        <w:spacing w:line="640" w:lineRule="exact"/>
        <w:ind w:firstLine="640"/>
        <w:jc w:val="both"/>
        <w:outlineLvl w:val="2"/>
      </w:pPr>
      <w:r>
        <w:rPr>
          <w:rFonts w:ascii="黑体" w:hAnsi="黑体" w:eastAsia="黑体"/>
          <w:sz w:val="32"/>
        </w:rPr>
        <w:t>八、国有资本经营预算财政拨款收入支出决算情况说明</w:t>
      </w:r>
    </w:p>
    <w:p w14:paraId="04A083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EA30A7E">
      <w:pPr>
        <w:spacing w:line="640" w:lineRule="exact"/>
        <w:ind w:firstLine="640"/>
        <w:jc w:val="both"/>
        <w:outlineLvl w:val="2"/>
      </w:pPr>
      <w:r>
        <w:rPr>
          <w:rFonts w:ascii="黑体" w:hAnsi="黑体" w:eastAsia="黑体"/>
          <w:sz w:val="32"/>
        </w:rPr>
        <w:t>九、财政拨款“三公”经费支出决算情况说明</w:t>
      </w:r>
    </w:p>
    <w:p w14:paraId="64B0490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479D882">
      <w:pPr>
        <w:spacing w:line="580" w:lineRule="exact"/>
        <w:ind w:firstLine="640"/>
        <w:jc w:val="both"/>
      </w:pPr>
      <w:r>
        <w:rPr>
          <w:rFonts w:ascii="仿宋_GB2312" w:hAnsi="仿宋_GB2312" w:eastAsia="仿宋_GB2312"/>
          <w:b/>
          <w:sz w:val="32"/>
        </w:rPr>
        <w:t>具体情况如下：</w:t>
      </w:r>
    </w:p>
    <w:p w14:paraId="3636109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9C3E6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BD33FE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0BCC39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AC41223">
      <w:pPr>
        <w:spacing w:line="640" w:lineRule="exact"/>
        <w:ind w:firstLine="640"/>
        <w:jc w:val="both"/>
        <w:outlineLvl w:val="2"/>
      </w:pPr>
      <w:r>
        <w:rPr>
          <w:rFonts w:ascii="黑体" w:hAnsi="黑体" w:eastAsia="黑体"/>
          <w:sz w:val="32"/>
        </w:rPr>
        <w:t>十、其他重要事项的情况说明</w:t>
      </w:r>
    </w:p>
    <w:p w14:paraId="2F73461E">
      <w:pPr>
        <w:spacing w:line="640" w:lineRule="exact"/>
        <w:ind w:firstLine="640"/>
        <w:jc w:val="both"/>
        <w:outlineLvl w:val="3"/>
      </w:pPr>
      <w:r>
        <w:rPr>
          <w:rFonts w:ascii="楷体_GB2312" w:hAnsi="楷体_GB2312" w:eastAsia="楷体_GB2312"/>
          <w:b/>
          <w:sz w:val="32"/>
        </w:rPr>
        <w:t>（一）机关运行经费及公用经费支出情况</w:t>
      </w:r>
    </w:p>
    <w:p w14:paraId="17A9A9A6">
      <w:pPr>
        <w:spacing w:line="580" w:lineRule="exact"/>
        <w:ind w:firstLine="640"/>
        <w:jc w:val="both"/>
      </w:pPr>
      <w:r>
        <w:rPr>
          <w:rFonts w:ascii="仿宋_GB2312" w:hAnsi="仿宋_GB2312" w:eastAsia="仿宋_GB2312"/>
          <w:b w:val="0"/>
          <w:sz w:val="32"/>
        </w:rPr>
        <w:t>2024年度霍城县军粮供应站（事业单位）公用经费支出0.03万元，比上年增加0.03万元，增长100.00%，主要原因是：本年增加工会经费，导致公用经费增加。</w:t>
      </w:r>
    </w:p>
    <w:p w14:paraId="67E3D7F2">
      <w:pPr>
        <w:spacing w:line="640" w:lineRule="exact"/>
        <w:ind w:firstLine="640"/>
        <w:jc w:val="both"/>
        <w:outlineLvl w:val="3"/>
      </w:pPr>
      <w:r>
        <w:rPr>
          <w:rFonts w:ascii="楷体_GB2312" w:hAnsi="楷体_GB2312" w:eastAsia="楷体_GB2312"/>
          <w:b/>
          <w:sz w:val="32"/>
        </w:rPr>
        <w:t>（二）政府采购情况</w:t>
      </w:r>
    </w:p>
    <w:p w14:paraId="61A98F0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58FF062">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3B8D3FE">
      <w:pPr>
        <w:spacing w:line="640" w:lineRule="exact"/>
        <w:ind w:firstLine="640"/>
        <w:jc w:val="both"/>
        <w:outlineLvl w:val="3"/>
      </w:pPr>
      <w:r>
        <w:rPr>
          <w:rFonts w:ascii="楷体_GB2312" w:hAnsi="楷体_GB2312" w:eastAsia="楷体_GB2312"/>
          <w:b/>
          <w:sz w:val="32"/>
        </w:rPr>
        <w:t>（三）国有资产占用情况说明</w:t>
      </w:r>
    </w:p>
    <w:p w14:paraId="46308CF7">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4B3C93B">
      <w:pPr>
        <w:spacing w:line="640" w:lineRule="exact"/>
        <w:ind w:firstLine="640"/>
        <w:jc w:val="both"/>
        <w:outlineLvl w:val="2"/>
      </w:pPr>
      <w:r>
        <w:rPr>
          <w:rFonts w:ascii="黑体" w:hAnsi="黑体" w:eastAsia="黑体"/>
          <w:sz w:val="32"/>
        </w:rPr>
        <w:t>十一、预算绩效的情况说明</w:t>
      </w:r>
    </w:p>
    <w:p w14:paraId="478B569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90.04万元，实际执行总额90.04万元</w:t>
      </w:r>
      <w:r>
        <w:rPr>
          <w:rFonts w:ascii="仿宋_GB2312" w:hAnsi="仿宋_GB2312" w:eastAsia="仿宋_GB2312"/>
          <w:b w:val="0"/>
          <w:sz w:val="32"/>
        </w:rPr>
        <w:t>；预算绩效评价项目1个，</w:t>
      </w:r>
      <w:bookmarkStart w:id="0" w:name="_GoBack"/>
      <w:bookmarkEnd w:id="0"/>
      <w:r>
        <w:rPr>
          <w:rFonts w:ascii="仿宋_GB2312" w:hAnsi="仿宋_GB2312" w:eastAsia="仿宋_GB2312"/>
          <w:b w:val="0"/>
          <w:sz w:val="32"/>
        </w:rPr>
        <w:t>全年预算数1.32万元，全年执行数1.32万元。预算绩效管理取得的成效：通过本次项目实施，一是规范了单位临聘人员的社保管理，降低了单位用工风险；二是提高了临聘人员的社会参保率，保障了他们的合法权益；三是提升了单位的社会形象，增强了临聘人员对单位的归属感和忠诚度。发现的问题及原因：一是对绩效目标申报不够重视，绩效目标设置量化程度需进一步提高；二是工作人员绩效观念模糊，绩效管理水平有待于提高。下一步改进措施：一是建议加强项目使用部门负责人对绩效评价的认识和重视程度，片面认为绩效评价就是财务人员的工作，项目负责人应积极主动与相关工作人员多沟通多了解，从而达到项目绩效管理工作标准化、常态化，规范化的目标。二是根据项目实施情况，从项目实施的数量、质量、时效、成本上设置绩效目标，确保项目的可实施性，提高资金利用率。具体附项目支出绩效自评表和评价报告。</w:t>
      </w:r>
    </w:p>
    <w:p w14:paraId="42B90DF0">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614"/>
        <w:gridCol w:w="936"/>
        <w:gridCol w:w="776"/>
        <w:gridCol w:w="622"/>
        <w:gridCol w:w="614"/>
        <w:gridCol w:w="606"/>
        <w:gridCol w:w="606"/>
        <w:gridCol w:w="608"/>
        <w:gridCol w:w="607"/>
        <w:gridCol w:w="631"/>
      </w:tblGrid>
      <w:tr w14:paraId="43BE2457">
        <w:tblPrEx>
          <w:tblCellMar>
            <w:top w:w="0" w:type="dxa"/>
            <w:left w:w="108" w:type="dxa"/>
            <w:bottom w:w="0" w:type="dxa"/>
            <w:right w:w="108" w:type="dxa"/>
          </w:tblCellMar>
        </w:tblPrEx>
        <w:tc>
          <w:tcPr>
            <w:tcW w:w="8848" w:type="dxa"/>
            <w:gridSpan w:val="14"/>
            <w:vAlign w:val="center"/>
          </w:tcPr>
          <w:p w14:paraId="289B500B">
            <w:pPr>
              <w:jc w:val="center"/>
            </w:pPr>
            <w:r>
              <w:rPr>
                <w:rFonts w:ascii="宋体" w:hAnsi="宋体" w:eastAsia="宋体"/>
                <w:sz w:val="24"/>
              </w:rPr>
              <w:t>项目支出绩效自评表</w:t>
            </w:r>
          </w:p>
        </w:tc>
      </w:tr>
      <w:tr w14:paraId="70430C19">
        <w:tblPrEx>
          <w:tblCellMar>
            <w:top w:w="0" w:type="dxa"/>
            <w:left w:w="108" w:type="dxa"/>
            <w:bottom w:w="0" w:type="dxa"/>
            <w:right w:w="108" w:type="dxa"/>
          </w:tblCellMar>
        </w:tblPrEx>
        <w:tc>
          <w:tcPr>
            <w:tcW w:w="8848" w:type="dxa"/>
            <w:gridSpan w:val="14"/>
            <w:vAlign w:val="center"/>
          </w:tcPr>
          <w:p w14:paraId="193B4ED4">
            <w:pPr>
              <w:jc w:val="center"/>
            </w:pPr>
            <w:r>
              <w:rPr>
                <w:rFonts w:ascii="宋体" w:hAnsi="宋体" w:eastAsia="宋体"/>
                <w:sz w:val="24"/>
              </w:rPr>
              <w:t>(2024年度)</w:t>
            </w:r>
          </w:p>
        </w:tc>
      </w:tr>
      <w:tr w14:paraId="63C76D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D0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067FDF">
            <w:pPr>
              <w:jc w:val="center"/>
            </w:pPr>
            <w:r>
              <w:rPr>
                <w:rFonts w:ascii="宋体" w:hAnsi="宋体" w:eastAsia="宋体"/>
                <w:sz w:val="16"/>
              </w:rPr>
              <w:t>军供站临聘人员转入代缴社保费（自有资金）</w:t>
            </w:r>
          </w:p>
        </w:tc>
      </w:tr>
      <w:tr w14:paraId="252078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8B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D32C5D">
            <w:pPr>
              <w:jc w:val="center"/>
            </w:pPr>
            <w:r>
              <w:rPr>
                <w:rFonts w:ascii="宋体" w:hAnsi="宋体" w:eastAsia="宋体"/>
                <w:sz w:val="16"/>
              </w:rPr>
              <w:t>霍城县军粮供应站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82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0C16DD">
            <w:pPr>
              <w:jc w:val="center"/>
            </w:pPr>
            <w:r>
              <w:rPr>
                <w:rFonts w:ascii="宋体" w:hAnsi="宋体" w:eastAsia="宋体"/>
                <w:sz w:val="16"/>
              </w:rPr>
              <w:t>霍城县军粮供应站</w:t>
            </w:r>
          </w:p>
        </w:tc>
      </w:tr>
      <w:tr w14:paraId="6A8380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A2F1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4F8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01C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DC8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CD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2AE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0FA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3B9A">
            <w:pPr>
              <w:jc w:val="center"/>
            </w:pPr>
            <w:r>
              <w:rPr>
                <w:rFonts w:ascii="宋体" w:hAnsi="宋体" w:eastAsia="宋体"/>
                <w:sz w:val="16"/>
              </w:rPr>
              <w:t>得分</w:t>
            </w:r>
          </w:p>
        </w:tc>
      </w:tr>
      <w:tr w14:paraId="7D227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DDB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144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053D3">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654B2">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D14E6">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4CA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3BF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E3BF">
            <w:pPr>
              <w:jc w:val="center"/>
            </w:pPr>
            <w:r>
              <w:rPr>
                <w:rFonts w:ascii="宋体" w:hAnsi="宋体" w:eastAsia="宋体"/>
                <w:sz w:val="16"/>
              </w:rPr>
              <w:t>10.00</w:t>
            </w:r>
          </w:p>
        </w:tc>
      </w:tr>
      <w:tr w14:paraId="72B17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227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00E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14F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9DE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12A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629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2A8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5369">
            <w:pPr>
              <w:jc w:val="center"/>
            </w:pPr>
            <w:r>
              <w:rPr>
                <w:rFonts w:ascii="宋体" w:hAnsi="宋体" w:eastAsia="宋体"/>
                <w:sz w:val="16"/>
              </w:rPr>
              <w:t>—</w:t>
            </w:r>
          </w:p>
        </w:tc>
      </w:tr>
      <w:tr w14:paraId="77329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EFC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ED9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35C96">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71E1F">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08B59">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071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021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FADC">
            <w:pPr>
              <w:jc w:val="center"/>
            </w:pPr>
            <w:r>
              <w:rPr>
                <w:rFonts w:ascii="宋体" w:hAnsi="宋体" w:eastAsia="宋体"/>
                <w:sz w:val="16"/>
              </w:rPr>
              <w:t>—</w:t>
            </w:r>
          </w:p>
        </w:tc>
      </w:tr>
      <w:tr w14:paraId="75C748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829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CD08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A0AFF5">
            <w:pPr>
              <w:jc w:val="center"/>
            </w:pPr>
            <w:r>
              <w:rPr>
                <w:rFonts w:ascii="宋体" w:hAnsi="宋体" w:eastAsia="宋体"/>
                <w:sz w:val="16"/>
              </w:rPr>
              <w:t>实际完成情况</w:t>
            </w:r>
          </w:p>
        </w:tc>
      </w:tr>
      <w:tr w14:paraId="4DED2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A04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CA4338">
            <w:pPr>
              <w:jc w:val="both"/>
            </w:pPr>
            <w:r>
              <w:rPr>
                <w:rFonts w:ascii="宋体" w:hAnsi="宋体" w:eastAsia="宋体"/>
                <w:sz w:val="16"/>
              </w:rPr>
              <w:t>完成军供粮购入、主要职能是为部队提供军粮供应保障和服务；承担驻霍部队的军粮供应工作；单位人员比较短缺，临时聘用职工负责此项工作。为保障临聘人员用工的合法权益，缴纳职工社保。</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C306E5">
            <w:pPr>
              <w:jc w:val="both"/>
            </w:pPr>
            <w:r>
              <w:rPr>
                <w:rFonts w:ascii="宋体" w:hAnsi="宋体" w:eastAsia="宋体"/>
                <w:sz w:val="16"/>
              </w:rPr>
              <w:t>项目资金到位及时,此项目主要是保障临聘人员的工资及保险，主要用于1位临聘人员8个月的社保支出，提高了临聘人员的社会参保率，保障单位临聘人员用工的合法权益。</w:t>
            </w:r>
          </w:p>
        </w:tc>
      </w:tr>
      <w:tr w14:paraId="48C412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7D78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A6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B1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28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CA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8B8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F13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FD37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32C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96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3D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13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D3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0D82">
            <w:pPr>
              <w:jc w:val="center"/>
            </w:pPr>
            <w:r>
              <w:rPr>
                <w:rFonts w:ascii="宋体" w:hAnsi="宋体" w:eastAsia="宋体"/>
                <w:sz w:val="16"/>
              </w:rPr>
              <w:t>偏差原因分析及改进措施</w:t>
            </w:r>
          </w:p>
        </w:tc>
      </w:tr>
      <w:tr w14:paraId="205CC3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9C4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5F0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AF9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834B">
            <w:pPr>
              <w:jc w:val="center"/>
            </w:pPr>
            <w:r>
              <w:rPr>
                <w:rFonts w:ascii="宋体" w:hAnsi="宋体" w:eastAsia="宋体"/>
                <w:sz w:val="16"/>
              </w:rPr>
              <w:t>足额支付聘用人员社保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5C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1AB2">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C7CE4">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58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B9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29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67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DC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F8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C476">
            <w:pPr>
              <w:jc w:val="center"/>
            </w:pPr>
          </w:p>
        </w:tc>
      </w:tr>
      <w:tr w14:paraId="5F6EF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00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1CF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202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1151">
            <w:pPr>
              <w:jc w:val="center"/>
            </w:pPr>
            <w:r>
              <w:rPr>
                <w:rFonts w:ascii="宋体" w:hAnsi="宋体" w:eastAsia="宋体"/>
                <w:sz w:val="16"/>
              </w:rPr>
              <w:t>社保缴纳次数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8D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79D1">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841A">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1D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40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CB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46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50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40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0324">
            <w:pPr>
              <w:jc w:val="center"/>
            </w:pPr>
          </w:p>
        </w:tc>
      </w:tr>
      <w:tr w14:paraId="4F059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27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A7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D9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FE52">
            <w:pPr>
              <w:jc w:val="center"/>
            </w:pPr>
            <w:r>
              <w:rPr>
                <w:rFonts w:ascii="宋体" w:hAnsi="宋体" w:eastAsia="宋体"/>
                <w:sz w:val="16"/>
              </w:rPr>
              <w:t>社保缴纳应缴尽缴率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8E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41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3B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68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8C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22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AD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DF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55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D43F">
            <w:pPr>
              <w:jc w:val="center"/>
            </w:pPr>
          </w:p>
        </w:tc>
      </w:tr>
      <w:tr w14:paraId="50A1D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84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4BE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34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D58C">
            <w:pPr>
              <w:jc w:val="center"/>
            </w:pPr>
            <w:r>
              <w:rPr>
                <w:rFonts w:ascii="宋体" w:hAnsi="宋体" w:eastAsia="宋体"/>
                <w:sz w:val="16"/>
              </w:rPr>
              <w:t>按月及时缴纳聘用人员社保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99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69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C0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58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C9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7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E8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7E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93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218D0">
            <w:pPr>
              <w:jc w:val="center"/>
            </w:pPr>
          </w:p>
        </w:tc>
      </w:tr>
      <w:tr w14:paraId="2E715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4B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07D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03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EF7C">
            <w:pPr>
              <w:jc w:val="center"/>
            </w:pPr>
            <w:r>
              <w:rPr>
                <w:rFonts w:ascii="宋体" w:hAnsi="宋体" w:eastAsia="宋体"/>
                <w:sz w:val="16"/>
              </w:rPr>
              <w:t>每月应缴金额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DD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0E9C">
            <w:pPr>
              <w:jc w:val="center"/>
            </w:pPr>
            <w:r>
              <w:rPr>
                <w:rFonts w:ascii="宋体" w:hAnsi="宋体" w:eastAsia="宋体"/>
                <w:sz w:val="16"/>
              </w:rPr>
              <w:t>&lt;=1639.56元/月/人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425E">
            <w:pPr>
              <w:jc w:val="center"/>
            </w:pPr>
            <w:r>
              <w:rPr>
                <w:rFonts w:ascii="宋体" w:hAnsi="宋体" w:eastAsia="宋体"/>
                <w:sz w:val="16"/>
              </w:rPr>
              <w:t>1639.56元/月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0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DD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EF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F2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75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69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7B2C">
            <w:pPr>
              <w:jc w:val="center"/>
            </w:pPr>
          </w:p>
        </w:tc>
      </w:tr>
      <w:tr w14:paraId="05C99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B9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3D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2D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576A">
            <w:pPr>
              <w:jc w:val="center"/>
            </w:pPr>
            <w:r>
              <w:rPr>
                <w:rFonts w:ascii="宋体" w:hAnsi="宋体" w:eastAsia="宋体"/>
                <w:sz w:val="16"/>
              </w:rPr>
              <w:t>保证工作正常开展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6F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1D3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DC03">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B3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97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AB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BE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A9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1E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151F">
            <w:pPr>
              <w:jc w:val="center"/>
            </w:pPr>
          </w:p>
        </w:tc>
      </w:tr>
      <w:tr w14:paraId="03EC4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A70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62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B6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A19F">
            <w:pPr>
              <w:jc w:val="center"/>
            </w:pPr>
            <w:r>
              <w:rPr>
                <w:rFonts w:ascii="宋体" w:hAnsi="宋体" w:eastAsia="宋体"/>
                <w:sz w:val="16"/>
              </w:rPr>
              <w:t>军供站员工满意度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30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04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9F2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5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BC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72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8C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AB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33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4811">
            <w:pPr>
              <w:jc w:val="center"/>
            </w:pPr>
          </w:p>
        </w:tc>
      </w:tr>
      <w:tr w14:paraId="7083DA3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7D69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D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0609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76FA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FF30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FF1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2D51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DA92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BC56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E33C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E5BA93"/>
        </w:tc>
      </w:tr>
    </w:tbl>
    <w:p w14:paraId="6A0BF409">
      <w:r>
        <w:br w:type="page"/>
      </w:r>
    </w:p>
    <w:p w14:paraId="6F337B90">
      <w:pPr>
        <w:spacing w:line="640" w:lineRule="exact"/>
        <w:ind w:firstLine="640"/>
        <w:jc w:val="both"/>
        <w:outlineLvl w:val="2"/>
      </w:pPr>
      <w:r>
        <w:rPr>
          <w:rFonts w:ascii="黑体" w:hAnsi="黑体" w:eastAsia="黑体"/>
          <w:sz w:val="32"/>
        </w:rPr>
        <w:t>十二、其他需说明的事项</w:t>
      </w:r>
    </w:p>
    <w:p w14:paraId="74AB1935">
      <w:pPr>
        <w:spacing w:line="580" w:lineRule="exact"/>
        <w:ind w:firstLine="640"/>
        <w:jc w:val="both"/>
      </w:pPr>
      <w:r>
        <w:rPr>
          <w:rFonts w:ascii="仿宋_GB2312" w:hAnsi="仿宋_GB2312" w:eastAsia="仿宋_GB2312"/>
          <w:b w:val="0"/>
          <w:sz w:val="32"/>
        </w:rPr>
        <w:t>本年度本单位整体绩效自评表不予公开。</w:t>
      </w:r>
    </w:p>
    <w:p w14:paraId="58CE4136">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E0B3473">
      <w:r>
        <w:br w:type="page"/>
      </w:r>
    </w:p>
    <w:p w14:paraId="0BF90797">
      <w:pPr>
        <w:spacing w:line="240" w:lineRule="auto"/>
        <w:jc w:val="center"/>
        <w:outlineLvl w:val="1"/>
      </w:pPr>
      <w:r>
        <w:rPr>
          <w:rFonts w:ascii="黑体" w:hAnsi="黑体" w:eastAsia="黑体"/>
          <w:sz w:val="32"/>
        </w:rPr>
        <w:t>第三部分 专业名词解释</w:t>
      </w:r>
    </w:p>
    <w:p w14:paraId="51FA87F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AAEE5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A043B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28CDFD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55893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DC691C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BB7DB8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7ECA1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8EF35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20F30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9A6A2D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77FE45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F61066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B86CE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7155633">
      <w:r>
        <w:br w:type="page"/>
      </w:r>
    </w:p>
    <w:p w14:paraId="38620484">
      <w:pPr>
        <w:spacing w:line="240" w:lineRule="auto"/>
        <w:jc w:val="center"/>
        <w:outlineLvl w:val="1"/>
      </w:pPr>
      <w:r>
        <w:rPr>
          <w:rFonts w:ascii="黑体" w:hAnsi="黑体" w:eastAsia="黑体"/>
          <w:sz w:val="32"/>
        </w:rPr>
        <w:t>第四部分 部门决算报表（见附表）</w:t>
      </w:r>
    </w:p>
    <w:p w14:paraId="1D042E14">
      <w:pPr>
        <w:spacing w:line="240" w:lineRule="auto"/>
        <w:ind w:firstLine="640"/>
        <w:jc w:val="both"/>
      </w:pPr>
      <w:r>
        <w:rPr>
          <w:rFonts w:ascii="仿宋_GB2312" w:hAnsi="仿宋_GB2312" w:eastAsia="仿宋_GB2312"/>
          <w:b w:val="0"/>
          <w:sz w:val="32"/>
        </w:rPr>
        <w:t>一、《收入支出决算总表》</w:t>
      </w:r>
    </w:p>
    <w:p w14:paraId="3EE33A89">
      <w:pPr>
        <w:spacing w:line="240" w:lineRule="auto"/>
        <w:ind w:firstLine="640"/>
        <w:jc w:val="both"/>
      </w:pPr>
      <w:r>
        <w:rPr>
          <w:rFonts w:ascii="仿宋_GB2312" w:hAnsi="仿宋_GB2312" w:eastAsia="仿宋_GB2312"/>
          <w:b w:val="0"/>
          <w:sz w:val="32"/>
        </w:rPr>
        <w:t>二、《收入决算表》</w:t>
      </w:r>
    </w:p>
    <w:p w14:paraId="63BBBE11">
      <w:pPr>
        <w:spacing w:line="240" w:lineRule="auto"/>
        <w:ind w:firstLine="640"/>
        <w:jc w:val="both"/>
      </w:pPr>
      <w:r>
        <w:rPr>
          <w:rFonts w:ascii="仿宋_GB2312" w:hAnsi="仿宋_GB2312" w:eastAsia="仿宋_GB2312"/>
          <w:b w:val="0"/>
          <w:sz w:val="32"/>
        </w:rPr>
        <w:t>三、《支出决算表》</w:t>
      </w:r>
    </w:p>
    <w:p w14:paraId="79248BB4">
      <w:pPr>
        <w:spacing w:line="240" w:lineRule="auto"/>
        <w:ind w:firstLine="640"/>
        <w:jc w:val="both"/>
      </w:pPr>
      <w:r>
        <w:rPr>
          <w:rFonts w:ascii="仿宋_GB2312" w:hAnsi="仿宋_GB2312" w:eastAsia="仿宋_GB2312"/>
          <w:b w:val="0"/>
          <w:sz w:val="32"/>
        </w:rPr>
        <w:t>四、《财政拨款收入支出决算总表》</w:t>
      </w:r>
    </w:p>
    <w:p w14:paraId="4986ED4F">
      <w:pPr>
        <w:spacing w:line="240" w:lineRule="auto"/>
        <w:ind w:firstLine="640"/>
        <w:jc w:val="both"/>
      </w:pPr>
      <w:r>
        <w:rPr>
          <w:rFonts w:ascii="仿宋_GB2312" w:hAnsi="仿宋_GB2312" w:eastAsia="仿宋_GB2312"/>
          <w:b w:val="0"/>
          <w:sz w:val="32"/>
        </w:rPr>
        <w:t>五、《一般公共预算财政拨款支出决算表》</w:t>
      </w:r>
    </w:p>
    <w:p w14:paraId="1C27871F">
      <w:pPr>
        <w:spacing w:line="240" w:lineRule="auto"/>
        <w:ind w:firstLine="640"/>
        <w:jc w:val="both"/>
      </w:pPr>
      <w:r>
        <w:rPr>
          <w:rFonts w:ascii="仿宋_GB2312" w:hAnsi="仿宋_GB2312" w:eastAsia="仿宋_GB2312"/>
          <w:b w:val="0"/>
          <w:sz w:val="32"/>
        </w:rPr>
        <w:t>六、《一般公共预算财政拨款基本支出决算表》</w:t>
      </w:r>
    </w:p>
    <w:p w14:paraId="4D3609FC">
      <w:pPr>
        <w:spacing w:line="240" w:lineRule="auto"/>
        <w:ind w:firstLine="640"/>
        <w:jc w:val="both"/>
      </w:pPr>
      <w:r>
        <w:rPr>
          <w:rFonts w:ascii="仿宋_GB2312" w:hAnsi="仿宋_GB2312" w:eastAsia="仿宋_GB2312"/>
          <w:b w:val="0"/>
          <w:sz w:val="32"/>
        </w:rPr>
        <w:t>七、《政府性基金预算财政拨款收入支出决算表》</w:t>
      </w:r>
    </w:p>
    <w:p w14:paraId="71B1DCB6">
      <w:pPr>
        <w:spacing w:line="240" w:lineRule="auto"/>
        <w:ind w:firstLine="640"/>
        <w:jc w:val="both"/>
      </w:pPr>
      <w:r>
        <w:rPr>
          <w:rFonts w:ascii="仿宋_GB2312" w:hAnsi="仿宋_GB2312" w:eastAsia="仿宋_GB2312"/>
          <w:b w:val="0"/>
          <w:sz w:val="32"/>
        </w:rPr>
        <w:t>八、《国有资本经营预算财政拨款收入支出决算表》</w:t>
      </w:r>
    </w:p>
    <w:p w14:paraId="6B94B692">
      <w:pPr>
        <w:spacing w:line="240" w:lineRule="auto"/>
        <w:ind w:firstLine="640"/>
        <w:jc w:val="both"/>
      </w:pPr>
      <w:r>
        <w:rPr>
          <w:rFonts w:ascii="仿宋_GB2312" w:hAnsi="仿宋_GB2312" w:eastAsia="仿宋_GB2312"/>
          <w:b w:val="0"/>
          <w:sz w:val="32"/>
        </w:rPr>
        <w:t>九、《财政拨款“三公”经费支出决算表》</w:t>
      </w:r>
    </w:p>
    <w:p w14:paraId="1EAE8DE4">
      <w:pPr>
        <w:spacing w:line="240" w:lineRule="auto"/>
        <w:ind w:firstLine="640"/>
        <w:jc w:val="both"/>
      </w:pPr>
    </w:p>
    <w:p w14:paraId="0AE437E6">
      <w:pPr>
        <w:spacing w:line="240" w:lineRule="auto"/>
        <w:ind w:firstLine="640"/>
        <w:jc w:val="both"/>
      </w:pPr>
    </w:p>
    <w:p w14:paraId="44BFEEE9">
      <w:pPr>
        <w:spacing w:line="240" w:lineRule="auto"/>
        <w:ind w:firstLine="640"/>
        <w:jc w:val="both"/>
      </w:pPr>
    </w:p>
    <w:p w14:paraId="3ED15484">
      <w:pPr>
        <w:spacing w:line="240" w:lineRule="auto"/>
        <w:ind w:firstLine="640"/>
        <w:jc w:val="both"/>
      </w:pPr>
    </w:p>
    <w:p w14:paraId="33B840C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3F25A3-F23C-44A0-A93F-1D4A1FAD9E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F2E3FA19-6DB6-4B2E-A133-99D6E7508225}"/>
  </w:font>
  <w:font w:name="楷体_GB2312">
    <w:panose1 w:val="02010609030101010101"/>
    <w:charset w:val="86"/>
    <w:family w:val="auto"/>
    <w:pitch w:val="default"/>
    <w:sig w:usb0="00000001" w:usb1="080E0000" w:usb2="00000000" w:usb3="00000000" w:csb0="00040000" w:csb1="00000000"/>
    <w:embedRegular r:id="rId3" w:fontKey="{F6CF6EA4-3ABC-40B1-AEE3-63D6487ECC15}"/>
  </w:font>
  <w:font w:name="方正小标宋_GBK">
    <w:panose1 w:val="02000000000000000000"/>
    <w:charset w:val="86"/>
    <w:family w:val="script"/>
    <w:pitch w:val="default"/>
    <w:sig w:usb0="A00002BF" w:usb1="38CF7CFA" w:usb2="00082016" w:usb3="00000000" w:csb0="00040001" w:csb1="00000000"/>
    <w:embedRegular r:id="rId4" w:fontKey="{FC06BA50-EFBB-40E5-9914-1543C98700A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E2304A"/>
    <w:rsid w:val="06792773"/>
    <w:rsid w:val="09A729D8"/>
    <w:rsid w:val="0A3C58E8"/>
    <w:rsid w:val="0A7B4867"/>
    <w:rsid w:val="0B8C3ECC"/>
    <w:rsid w:val="0C3613A3"/>
    <w:rsid w:val="0C7227A7"/>
    <w:rsid w:val="0DCA6EF7"/>
    <w:rsid w:val="0E4B1576"/>
    <w:rsid w:val="0EA04331"/>
    <w:rsid w:val="0F9811B3"/>
    <w:rsid w:val="11E15093"/>
    <w:rsid w:val="120E0809"/>
    <w:rsid w:val="19071D6C"/>
    <w:rsid w:val="19732EC7"/>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D90231"/>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4996</Words>
  <Characters>5713</Characters>
  <Lines>0</Lines>
  <Paragraphs>0</Paragraphs>
  <TotalTime>0</TotalTime>
  <ScaleCrop>false</ScaleCrop>
  <LinksUpToDate>false</LinksUpToDate>
  <CharactersWithSpaces>5724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2025-09-25T07:55:37Z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