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霍城县兰干镇卫生院2024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534D11">
      <w:r>
        <w:br w:type="page"/>
      </w:r>
    </w:p>
    <w:p w14:paraId="07A00525">
      <w:pPr>
        <w:spacing w:line="640" w:lineRule="exact"/>
        <w:jc w:val="center"/>
        <w:outlineLvl w:val="1"/>
      </w:pPr>
      <w:r>
        <w:rPr>
          <w:rFonts w:ascii="黑体" w:hAnsi="黑体" w:eastAsia="黑体"/>
          <w:sz w:val="32"/>
        </w:rPr>
        <w:t>第一部分 单位概况</w:t>
      </w:r>
    </w:p>
    <w:p w14:paraId="5576E04B">
      <w:pPr>
        <w:spacing w:line="640" w:lineRule="exact"/>
        <w:ind w:firstLine="640"/>
        <w:jc w:val="both"/>
        <w:outlineLvl w:val="2"/>
      </w:pPr>
      <w:r>
        <w:rPr>
          <w:rFonts w:ascii="黑体" w:hAnsi="黑体" w:eastAsia="黑体"/>
          <w:sz w:val="32"/>
        </w:rPr>
        <w:t>一、主要职能</w:t>
      </w:r>
    </w:p>
    <w:p w14:paraId="024475E1">
      <w:pPr>
        <w:spacing w:line="580" w:lineRule="exact"/>
        <w:ind w:firstLine="640"/>
        <w:jc w:val="both"/>
      </w:pPr>
      <w:r>
        <w:rPr>
          <w:rFonts w:ascii="仿宋_GB2312" w:hAnsi="仿宋_GB2312" w:eastAsia="仿宋_GB2312"/>
          <w:sz w:val="32"/>
        </w:rPr>
        <w:t>为人民身体健康提供医疗与预防保健服务，为农村初级合作医疗提供基本卫生保健和医疗服务，并指导村级卫生室的建设和业务。</w:t>
      </w:r>
    </w:p>
    <w:p w14:paraId="4835D40A">
      <w:pPr>
        <w:spacing w:line="640" w:lineRule="exact"/>
        <w:ind w:firstLine="640"/>
        <w:jc w:val="both"/>
        <w:outlineLvl w:val="2"/>
      </w:pPr>
      <w:r>
        <w:rPr>
          <w:rFonts w:ascii="黑体" w:hAnsi="黑体" w:eastAsia="黑体"/>
          <w:sz w:val="32"/>
        </w:rPr>
        <w:t>二、机构设置及人员情况</w:t>
      </w:r>
    </w:p>
    <w:p w14:paraId="14D164ED">
      <w:pPr>
        <w:spacing w:line="580" w:lineRule="exact"/>
        <w:ind w:firstLine="640"/>
        <w:jc w:val="both"/>
      </w:pPr>
      <w:r>
        <w:rPr>
          <w:rFonts w:ascii="仿宋_GB2312" w:hAnsi="仿宋_GB2312" w:eastAsia="仿宋_GB2312"/>
          <w:sz w:val="32"/>
        </w:rPr>
        <w:t>霍城县兰干镇卫生院2024年度，实有人数43人，其中：在职人员25人，减少1人；离休人员0人，增加0人；退休人员18人,增加1人。</w:t>
      </w:r>
    </w:p>
    <w:p w14:paraId="0176E134">
      <w:pPr>
        <w:spacing w:line="580" w:lineRule="exact"/>
        <w:ind w:firstLine="640"/>
        <w:jc w:val="both"/>
      </w:pPr>
      <w:r>
        <w:rPr>
          <w:rFonts w:ascii="仿宋_GB2312" w:hAnsi="仿宋_GB2312" w:eastAsia="仿宋_GB2312"/>
          <w:sz w:val="32"/>
        </w:rPr>
        <w:t>霍城县兰干镇卫生院无下属预算单位，下设5个科室，分别是：门诊部、住院部、公共卫生科、医技科、行政科。</w:t>
      </w:r>
    </w:p>
    <w:p w14:paraId="50745959">
      <w:r>
        <w:br w:type="page"/>
      </w:r>
    </w:p>
    <w:p w14:paraId="0A8E312F">
      <w:pPr>
        <w:spacing w:line="240" w:lineRule="auto"/>
        <w:jc w:val="center"/>
        <w:outlineLvl w:val="1"/>
      </w:pPr>
      <w:r>
        <w:rPr>
          <w:rFonts w:ascii="黑体" w:hAnsi="黑体" w:eastAsia="黑体"/>
          <w:sz w:val="32"/>
        </w:rPr>
        <w:t>第二部分 部门决算情况说明</w:t>
      </w:r>
    </w:p>
    <w:p w14:paraId="0051A64C">
      <w:pPr>
        <w:spacing w:line="640" w:lineRule="exact"/>
        <w:ind w:firstLine="640"/>
        <w:jc w:val="both"/>
        <w:outlineLvl w:val="2"/>
      </w:pPr>
      <w:r>
        <w:rPr>
          <w:rFonts w:ascii="黑体" w:hAnsi="黑体" w:eastAsia="黑体"/>
          <w:sz w:val="32"/>
        </w:rPr>
        <w:t>一、收入支出决算总体情况说明</w:t>
      </w:r>
    </w:p>
    <w:p w14:paraId="3A4AE23A">
      <w:pPr>
        <w:spacing w:line="580" w:lineRule="exact"/>
        <w:ind w:firstLine="640"/>
        <w:jc w:val="both"/>
      </w:pPr>
      <w:r>
        <w:rPr>
          <w:rFonts w:ascii="仿宋_GB2312" w:hAnsi="仿宋_GB2312" w:eastAsia="仿宋_GB2312"/>
          <w:b/>
          <w:sz w:val="32"/>
        </w:rPr>
        <w:t>2024年度收入总计1,073.53万元，</w:t>
      </w:r>
      <w:r>
        <w:rPr>
          <w:rFonts w:ascii="仿宋_GB2312" w:hAnsi="仿宋_GB2312" w:eastAsia="仿宋_GB2312"/>
          <w:b w:val="0"/>
          <w:sz w:val="32"/>
        </w:rPr>
        <w:t>其中：本年收入合计1,073.53万元，使用非财政拨款结余（含专用结余）0.00万元，年初结转和结余0.00万元。</w:t>
      </w:r>
    </w:p>
    <w:p w14:paraId="0DA79EB4">
      <w:pPr>
        <w:spacing w:line="580" w:lineRule="exact"/>
        <w:ind w:firstLine="640"/>
        <w:jc w:val="both"/>
      </w:pPr>
      <w:r>
        <w:rPr>
          <w:rFonts w:ascii="仿宋_GB2312" w:hAnsi="仿宋_GB2312" w:eastAsia="仿宋_GB2312"/>
          <w:b/>
          <w:sz w:val="32"/>
        </w:rPr>
        <w:t>2024年度支出总计1,073.53万元，</w:t>
      </w:r>
      <w:r>
        <w:rPr>
          <w:rFonts w:ascii="仿宋_GB2312" w:hAnsi="仿宋_GB2312" w:eastAsia="仿宋_GB2312"/>
          <w:b w:val="0"/>
          <w:sz w:val="32"/>
        </w:rPr>
        <w:t>其中：本年支出合计1,073.53万元，结余分配0.00万元，年末结转和结余0.00万元。</w:t>
      </w:r>
    </w:p>
    <w:p w14:paraId="3CC66265">
      <w:pPr>
        <w:spacing w:line="580" w:lineRule="exact"/>
        <w:ind w:firstLine="640"/>
        <w:jc w:val="both"/>
      </w:pPr>
      <w:r>
        <w:rPr>
          <w:rFonts w:ascii="仿宋_GB2312" w:hAnsi="仿宋_GB2312" w:eastAsia="仿宋_GB2312"/>
          <w:b w:val="0"/>
          <w:sz w:val="32"/>
        </w:rPr>
        <w:t>收入支出总体与上年相比，减少77.76万元，下降6.75%，主要原因是：本年医疗、药品款等较上年减少，本年在职人员减少，相关人员经费减少，本年减少中央突发事件财力补助项目，减少80岁以上老年人免费体检补助资金项目经费、全民健康体检支出项目资金，导致经费较上年减少。</w:t>
      </w:r>
    </w:p>
    <w:p w14:paraId="52E0B510">
      <w:pPr>
        <w:spacing w:line="640" w:lineRule="exact"/>
        <w:ind w:firstLine="640"/>
        <w:jc w:val="both"/>
        <w:outlineLvl w:val="2"/>
      </w:pPr>
      <w:r>
        <w:rPr>
          <w:rFonts w:ascii="黑体" w:hAnsi="黑体" w:eastAsia="黑体"/>
          <w:sz w:val="32"/>
        </w:rPr>
        <w:t>二、收入决算情况说明</w:t>
      </w:r>
    </w:p>
    <w:p w14:paraId="5FF6C720">
      <w:pPr>
        <w:spacing w:line="580" w:lineRule="exact"/>
        <w:ind w:firstLine="640"/>
        <w:jc w:val="both"/>
      </w:pPr>
      <w:r>
        <w:rPr>
          <w:rFonts w:ascii="仿宋_GB2312" w:hAnsi="仿宋_GB2312" w:eastAsia="仿宋_GB2312"/>
          <w:b/>
          <w:sz w:val="32"/>
        </w:rPr>
        <w:t>本年收入1,073.53万元，</w:t>
      </w:r>
      <w:r>
        <w:rPr>
          <w:rFonts w:ascii="仿宋_GB2312" w:hAnsi="仿宋_GB2312" w:eastAsia="仿宋_GB2312"/>
          <w:b w:val="0"/>
          <w:sz w:val="32"/>
        </w:rPr>
        <w:t>其中：财政拨款收入726.44万元，占67.67%；上级补助收入0.00万元，占0.00%；事业收入334.73万元，占31.18%；经营收入0.00万元，占0.00%；附属单位上缴收入0.00万元，占0.00%；其他收入12.36万元，占1.15%。</w:t>
      </w:r>
    </w:p>
    <w:p w14:paraId="1D782FEA">
      <w:pPr>
        <w:spacing w:line="640" w:lineRule="exact"/>
        <w:ind w:firstLine="640"/>
        <w:jc w:val="both"/>
        <w:outlineLvl w:val="2"/>
      </w:pPr>
      <w:r>
        <w:rPr>
          <w:rFonts w:ascii="黑体" w:hAnsi="黑体" w:eastAsia="黑体"/>
          <w:sz w:val="32"/>
        </w:rPr>
        <w:t>三、支出决算情况说明</w:t>
      </w:r>
    </w:p>
    <w:p w14:paraId="53C6BE58">
      <w:pPr>
        <w:spacing w:line="580" w:lineRule="exact"/>
        <w:ind w:firstLine="640"/>
        <w:jc w:val="both"/>
      </w:pPr>
      <w:r>
        <w:rPr>
          <w:rFonts w:ascii="仿宋_GB2312" w:hAnsi="仿宋_GB2312" w:eastAsia="仿宋_GB2312"/>
          <w:b/>
          <w:sz w:val="32"/>
        </w:rPr>
        <w:t>本年支出1,073.53万元，</w:t>
      </w:r>
      <w:r>
        <w:rPr>
          <w:rFonts w:ascii="仿宋_GB2312" w:hAnsi="仿宋_GB2312" w:eastAsia="仿宋_GB2312"/>
          <w:b w:val="0"/>
          <w:sz w:val="32"/>
        </w:rPr>
        <w:t>其中：基本支出772.49万元，占71.96%；项目支出301.04万元，占28.04%；上缴上级支出0.00万元，占0.00%；经营支出0.00万元，占0.00%；对附属单位补助支出0.00万元，占0.00%。</w:t>
      </w:r>
    </w:p>
    <w:p w14:paraId="5B41B047">
      <w:pPr>
        <w:spacing w:line="640" w:lineRule="exact"/>
        <w:ind w:firstLine="640"/>
        <w:jc w:val="both"/>
        <w:outlineLvl w:val="2"/>
      </w:pPr>
      <w:r>
        <w:rPr>
          <w:rFonts w:ascii="黑体" w:hAnsi="黑体" w:eastAsia="黑体"/>
          <w:sz w:val="32"/>
        </w:rPr>
        <w:t>四、财政拨款收入支出决算总体情况说明</w:t>
      </w:r>
    </w:p>
    <w:p w14:paraId="51DA53C7">
      <w:pPr>
        <w:spacing w:line="580" w:lineRule="exact"/>
        <w:ind w:firstLine="640"/>
        <w:jc w:val="both"/>
      </w:pPr>
      <w:r>
        <w:rPr>
          <w:rFonts w:ascii="仿宋_GB2312" w:hAnsi="仿宋_GB2312" w:eastAsia="仿宋_GB2312"/>
          <w:b/>
          <w:sz w:val="32"/>
        </w:rPr>
        <w:t>2024年度财政拨款收入总计726.44万元，</w:t>
      </w:r>
      <w:r>
        <w:rPr>
          <w:rFonts w:ascii="仿宋_GB2312" w:hAnsi="仿宋_GB2312" w:eastAsia="仿宋_GB2312"/>
          <w:b w:val="0"/>
          <w:sz w:val="32"/>
        </w:rPr>
        <w:t>其中：年初财政拨款结转和结余0.00万元，本年财政拨款收入726.44万元。</w:t>
      </w:r>
      <w:r>
        <w:rPr>
          <w:rFonts w:ascii="仿宋_GB2312" w:hAnsi="仿宋_GB2312" w:eastAsia="仿宋_GB2312"/>
          <w:b/>
          <w:sz w:val="32"/>
        </w:rPr>
        <w:t>财政拨款支出总计726.44万元，</w:t>
      </w:r>
      <w:r>
        <w:rPr>
          <w:rFonts w:ascii="仿宋_GB2312" w:hAnsi="仿宋_GB2312" w:eastAsia="仿宋_GB2312"/>
          <w:b w:val="0"/>
          <w:sz w:val="32"/>
        </w:rPr>
        <w:t>其中：年末财政拨款结转和结余0.00万元，本年财政拨款支出726.44万元。</w:t>
      </w:r>
    </w:p>
    <w:p w14:paraId="1CECBA9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减少22.99万元，下降3.07%，主要原因是：本年在职人员减少，相关人员经费减少，本年减少中央突发事件财力补助项目、全民健康体检支出项目资金，导致经费较上年减少。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年初预算数400.64万元，决算数726.44万元，预决算差异率81.32%，主要原因是：年中追加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专项彩票公益金支持地方社会公益事业发展（医疗救助）资金项目、80岁以上老年人免费体检补助资金项目、医疗服务与保障能力提升（卫生健康人才队伍建设）补助资金项目，导致预决算存在差异。</w:t>
      </w:r>
    </w:p>
    <w:p w14:paraId="045D3B8C">
      <w:pPr>
        <w:spacing w:line="640" w:lineRule="exact"/>
        <w:ind w:firstLine="640"/>
        <w:jc w:val="both"/>
        <w:outlineLvl w:val="2"/>
      </w:pPr>
      <w:r>
        <w:rPr>
          <w:rFonts w:ascii="黑体" w:hAnsi="黑体" w:eastAsia="黑体"/>
          <w:sz w:val="32"/>
        </w:rPr>
        <w:t>五、一般公共预算财政拨款支出决算情况说明</w:t>
      </w:r>
    </w:p>
    <w:p w14:paraId="7CAB2F9A">
      <w:pPr>
        <w:spacing w:line="640" w:lineRule="exact"/>
        <w:ind w:firstLine="640"/>
        <w:jc w:val="both"/>
        <w:outlineLvl w:val="3"/>
      </w:pPr>
      <w:r>
        <w:rPr>
          <w:rFonts w:ascii="楷体_GB2312" w:hAnsi="楷体_GB2312" w:eastAsia="楷体_GB2312"/>
          <w:b/>
          <w:sz w:val="32"/>
        </w:rPr>
        <w:t>（一）一般公共预算财政拨款支出决算总体情况</w:t>
      </w:r>
    </w:p>
    <w:p w14:paraId="0CD768D7">
      <w:pPr>
        <w:spacing w:line="580" w:lineRule="exact"/>
        <w:ind w:firstLine="640"/>
        <w:jc w:val="both"/>
      </w:pPr>
      <w:r>
        <w:rPr>
          <w:rFonts w:ascii="仿宋_GB2312" w:hAnsi="仿宋_GB2312" w:eastAsia="仿宋_GB2312"/>
          <w:b/>
          <w:sz w:val="32"/>
        </w:rPr>
        <w:t>2024年度一般公共预算财政拨款支出722.65万元，</w:t>
      </w:r>
      <w:r>
        <w:rPr>
          <w:rFonts w:ascii="仿宋_GB2312" w:hAnsi="仿宋_GB2312" w:eastAsia="仿宋_GB2312"/>
          <w:b w:val="0"/>
          <w:sz w:val="32"/>
        </w:rPr>
        <w:t>占本年支出合计的67.32%。</w:t>
      </w:r>
      <w:r>
        <w:rPr>
          <w:rFonts w:ascii="仿宋_GB2312" w:hAnsi="仿宋_GB2312" w:eastAsia="仿宋_GB2312"/>
          <w:b/>
          <w:sz w:val="32"/>
        </w:rPr>
        <w:t>与上年相比，</w:t>
      </w:r>
      <w:r>
        <w:rPr>
          <w:rFonts w:ascii="仿宋_GB2312" w:hAnsi="仿宋_GB2312" w:eastAsia="仿宋_GB2312"/>
          <w:b w:val="0"/>
          <w:sz w:val="32"/>
        </w:rPr>
        <w:t>减少25.18万元，下降3.37%，主要原因是：本年在职人员减少，相关人员经费减少，本年减少中央突发事件财力补助项目和全民健康体检支出项目资金，导致经费较上年减少。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年初预算数400.64万元，决算数722.65万元，预决算差异率80.37%，主要原因是：年中追加人员工资、社保、公积金基数调增部分资金，导致预决算存在差异。年中追加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14:paraId="5D3C61B9">
      <w:pPr>
        <w:spacing w:line="640" w:lineRule="exact"/>
        <w:ind w:firstLine="640"/>
        <w:jc w:val="both"/>
        <w:outlineLvl w:val="3"/>
      </w:pPr>
      <w:r>
        <w:rPr>
          <w:rFonts w:ascii="楷体_GB2312" w:hAnsi="楷体_GB2312" w:eastAsia="楷体_GB2312"/>
          <w:b/>
          <w:sz w:val="32"/>
        </w:rPr>
        <w:t>（二）一般公共预算财政拨款支出决算结构情况</w:t>
      </w:r>
    </w:p>
    <w:p w14:paraId="283ACFEA">
      <w:pPr>
        <w:spacing w:line="580" w:lineRule="exact"/>
        <w:ind w:firstLine="640"/>
        <w:jc w:val="both"/>
      </w:pPr>
      <w:r>
        <w:rPr>
          <w:rFonts w:ascii="仿宋_GB2312" w:hAnsi="仿宋_GB2312" w:eastAsia="仿宋_GB2312"/>
          <w:b w:val="0"/>
          <w:sz w:val="32"/>
        </w:rPr>
        <w:t>1.社会保障和就业支出(类)57.36万元,占7.94%。</w:t>
      </w:r>
    </w:p>
    <w:p w14:paraId="004770B3">
      <w:pPr>
        <w:spacing w:line="580" w:lineRule="exact"/>
        <w:ind w:firstLine="640"/>
        <w:jc w:val="both"/>
      </w:pPr>
      <w:r>
        <w:rPr>
          <w:rFonts w:ascii="仿宋_GB2312" w:hAnsi="仿宋_GB2312" w:eastAsia="仿宋_GB2312"/>
          <w:b w:val="0"/>
          <w:sz w:val="32"/>
        </w:rPr>
        <w:t>2.卫生健康支出(类)631.47万元,占87.38%。</w:t>
      </w:r>
    </w:p>
    <w:p w14:paraId="7354C68E">
      <w:pPr>
        <w:spacing w:line="580" w:lineRule="exact"/>
        <w:ind w:firstLine="640"/>
        <w:jc w:val="both"/>
      </w:pPr>
      <w:r>
        <w:rPr>
          <w:rFonts w:ascii="仿宋_GB2312" w:hAnsi="仿宋_GB2312" w:eastAsia="仿宋_GB2312"/>
          <w:b w:val="0"/>
          <w:sz w:val="32"/>
        </w:rPr>
        <w:t>3.住房保障支出(类)33.81万元,占4.68%。</w:t>
      </w:r>
    </w:p>
    <w:p w14:paraId="4916B8A4">
      <w:pPr>
        <w:spacing w:line="640" w:lineRule="exact"/>
        <w:ind w:firstLine="640"/>
        <w:jc w:val="both"/>
        <w:outlineLvl w:val="3"/>
      </w:pPr>
      <w:r>
        <w:rPr>
          <w:rFonts w:ascii="楷体_GB2312" w:hAnsi="楷体_GB2312" w:eastAsia="楷体_GB2312"/>
          <w:b/>
          <w:sz w:val="32"/>
        </w:rPr>
        <w:t>（三）一般公共预算财政拨款支出决算具体情况</w:t>
      </w:r>
    </w:p>
    <w:p w14:paraId="3C0CECB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11.90万元，比上年决算增加8.80万元，增长283.87%,主要原因是：本年增加退休人员基础绩效奖，退休人员增加，退休费支出增加。</w:t>
      </w:r>
    </w:p>
    <w:p w14:paraId="175BD0D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39.53万元，比上年决算增加3.46万元，增长9.59%,主要原因是：本年在职人员工资基数调增，养老缴费基数上涨，相应支出增加。</w:t>
      </w:r>
    </w:p>
    <w:p w14:paraId="3937B05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5.93万元，比上年决算减少7.47万元，下降55.75%,主要原因是：本年新增退休人员较上年减少，职业年金缴费较上年减少。</w:t>
      </w:r>
    </w:p>
    <w:p w14:paraId="67501DF1">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2.24万元，比上年决算减少3.04万元，下降57.58%,主要原因是：本年医疗服务与保障能力提升（卫生健康人才队伍建设）补助资金项目比上年减少，相应支出减少。</w:t>
      </w:r>
    </w:p>
    <w:p w14:paraId="054C8400">
      <w:pPr>
        <w:spacing w:line="580" w:lineRule="exact"/>
        <w:ind w:firstLine="640"/>
        <w:jc w:val="both"/>
      </w:pPr>
      <w:r>
        <w:rPr>
          <w:rFonts w:ascii="仿宋_GB2312" w:hAnsi="仿宋_GB2312" w:eastAsia="仿宋_GB2312"/>
          <w:b w:val="0"/>
          <w:sz w:val="32"/>
        </w:rPr>
        <w:t>5.卫生健康支出(类)公立医院(款)其他公立医院支出(项):支出决算数为3.00万元，比上年决算增加3.00万元，增长100.00%,主要原因是：本年增加中央医疗服务保障与能力提升（公立医院综合改革）补助资金项目，相应支出增加。</w:t>
      </w:r>
    </w:p>
    <w:p w14:paraId="6DED9C4F">
      <w:pPr>
        <w:spacing w:line="580" w:lineRule="exact"/>
        <w:ind w:firstLine="640"/>
        <w:jc w:val="both"/>
      </w:pPr>
      <w:r>
        <w:rPr>
          <w:rFonts w:ascii="仿宋_GB2312" w:hAnsi="仿宋_GB2312" w:eastAsia="仿宋_GB2312"/>
          <w:b w:val="0"/>
          <w:sz w:val="32"/>
        </w:rPr>
        <w:t>6.卫生健康支出(类)基层医疗卫生机构(款)乡镇卫生院(项):支出决算数为314.46万元，比上年决算减少14.87万元，下降4.52%,主要原因是：本年在职人员减少，相关人员经费减少。</w:t>
      </w:r>
    </w:p>
    <w:p w14:paraId="5CAB7913">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7.卫生健康支出(类)基层医疗卫生机构(款)其他基层医疗卫生机构支出(项):支出决算数为30.77万元，比上年决算增加1.70万元，增长5.85%,主要原因是：本年基本药物制度补助资金项目比上年增加，相应支出增加。</w:t>
      </w:r>
    </w:p>
    <w:p w14:paraId="578B2070">
      <w:pPr>
        <w:spacing w:line="580" w:lineRule="exact"/>
        <w:ind w:firstLine="640"/>
        <w:jc w:val="both"/>
      </w:pPr>
      <w:r>
        <w:rPr>
          <w:rFonts w:ascii="仿宋_GB2312" w:hAnsi="仿宋_GB2312" w:eastAsia="仿宋_GB2312"/>
          <w:b w:val="0"/>
          <w:sz w:val="32"/>
        </w:rPr>
        <w:t>8.卫生健康支出(类)公共卫生(款)基本公共卫生服务(项):支出决算数为194.81万元，比上年决算增加0.19万元，增长0.10%,主要原因是：本年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、孕产妇及儿童管理、老年人管理等服务项目比上年增加，相应支出增加。</w:t>
      </w:r>
    </w:p>
    <w:p w14:paraId="1F012817">
      <w:pPr>
        <w:spacing w:line="580" w:lineRule="exact"/>
        <w:ind w:firstLine="640"/>
        <w:jc w:val="both"/>
      </w:pPr>
      <w:r>
        <w:rPr>
          <w:rFonts w:ascii="仿宋_GB2312" w:hAnsi="仿宋_GB2312" w:eastAsia="仿宋_GB2312"/>
          <w:b w:val="0"/>
          <w:sz w:val="32"/>
        </w:rPr>
        <w:t>9.卫生健康支出(类)公共卫生(款)重大公共卫生服务(项):支出决算数为2.97万元，比上年决算增加2.97万元，增长100.00%,主要原因是：本年增加重大传染病防控补助资金项目，相应支出增加。</w:t>
      </w:r>
    </w:p>
    <w:p w14:paraId="327BD6E2">
      <w:pPr>
        <w:spacing w:line="580" w:lineRule="exact"/>
        <w:ind w:firstLine="640"/>
        <w:jc w:val="both"/>
      </w:pPr>
      <w:r>
        <w:rPr>
          <w:rFonts w:ascii="仿宋_GB2312" w:hAnsi="仿宋_GB2312" w:eastAsia="仿宋_GB2312"/>
          <w:b w:val="0"/>
          <w:sz w:val="32"/>
        </w:rPr>
        <w:t>10.卫生健康支出(类)公共卫生(款)突发公共卫生事件应急处理(项):支出决算数为0.00万元，比上年决算减少13.50万元，下降100.00%,主要原因是：本年减少中央突发事件财力补助项目资金，相应支出减少。</w:t>
      </w:r>
    </w:p>
    <w:p w14:paraId="10982757">
      <w:pPr>
        <w:spacing w:line="580" w:lineRule="exact"/>
        <w:ind w:firstLine="640"/>
        <w:jc w:val="both"/>
      </w:pPr>
      <w:r>
        <w:rPr>
          <w:rFonts w:ascii="仿宋_GB2312" w:hAnsi="仿宋_GB2312" w:eastAsia="仿宋_GB2312"/>
          <w:b w:val="0"/>
          <w:sz w:val="32"/>
        </w:rPr>
        <w:t>11.卫生健康支出(类)公共卫生(款)其他公共卫生支出(项):支出决算数为63.46万元，比上年决算减少1.90万元，下降2.91%,主要原因是：本年全民健康体检支出项目比上年减少，相应支出减少。</w:t>
      </w:r>
    </w:p>
    <w:p w14:paraId="0EBCCCB5">
      <w:pPr>
        <w:spacing w:line="580" w:lineRule="exact"/>
        <w:ind w:firstLine="640"/>
        <w:jc w:val="both"/>
      </w:pPr>
      <w:r>
        <w:rPr>
          <w:rFonts w:ascii="仿宋_GB2312" w:hAnsi="仿宋_GB2312" w:eastAsia="仿宋_GB2312"/>
          <w:b w:val="0"/>
          <w:sz w:val="32"/>
        </w:rPr>
        <w:t>12.卫生健康支出(类)行政事业单位医疗(款)事业单位医疗(项):支出决算数为19.76万元，比上年决算减少7.00万元，下降26.16%,主要原因是：本年在职人员减少，事业单位医疗支出较上年减少。因退休人员医疗保险制度改革，退休人员基本医疗不再由单位缴纳，导致经费较上年减少。</w:t>
      </w:r>
    </w:p>
    <w:p w14:paraId="14C89F69">
      <w:pPr>
        <w:spacing w:line="580" w:lineRule="exact"/>
        <w:ind w:firstLine="640"/>
        <w:jc w:val="both"/>
      </w:pPr>
      <w:r>
        <w:rPr>
          <w:rFonts w:ascii="仿宋_GB2312" w:hAnsi="仿宋_GB2312" w:eastAsia="仿宋_GB2312"/>
          <w:b w:val="0"/>
          <w:sz w:val="32"/>
        </w:rPr>
        <w:t>13.住房保障支出(类)住房改革支出(款)住房公积金(项):支出决算数为33.81万元，比上年决算增加2.46万元，增长7.85%,主要原因是：本年在职人员工资基数调增，公积金缴费基数上涨，相应支出增加。</w:t>
      </w:r>
    </w:p>
    <w:p w14:paraId="11D5680F">
      <w:pPr>
        <w:spacing w:line="640" w:lineRule="exact"/>
        <w:ind w:firstLine="640"/>
        <w:jc w:val="both"/>
        <w:outlineLvl w:val="2"/>
      </w:pPr>
      <w:r>
        <w:rPr>
          <w:rFonts w:ascii="黑体" w:hAnsi="黑体" w:eastAsia="黑体"/>
          <w:sz w:val="32"/>
        </w:rPr>
        <w:t>六、一般公共预算财政拨款基本支出决算情况说明</w:t>
      </w:r>
    </w:p>
    <w:p w14:paraId="48C6CE38">
      <w:pPr>
        <w:spacing w:line="580" w:lineRule="exact"/>
        <w:ind w:firstLine="640"/>
        <w:jc w:val="both"/>
      </w:pPr>
      <w:r>
        <w:rPr>
          <w:rFonts w:ascii="仿宋_GB2312" w:hAnsi="仿宋_GB2312" w:eastAsia="仿宋_GB2312"/>
          <w:b w:val="0"/>
          <w:sz w:val="32"/>
        </w:rPr>
        <w:t>2024年度一般公共预算财政拨款基本支出425.40万元，其中：</w:t>
      </w:r>
      <w:r>
        <w:rPr>
          <w:rFonts w:ascii="仿宋_GB2312" w:hAnsi="仿宋_GB2312" w:eastAsia="仿宋_GB2312"/>
          <w:b/>
          <w:sz w:val="32"/>
        </w:rPr>
        <w:t>人员经费425.20万元，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包括：基本工资、津贴补贴、绩效工资、机关事业单位基本养老保险缴费、职业年金缴费、职工基本医疗保险缴费、其他社会保障缴费、住房公积金、其他工资福利支出、退休费、生活补助、奖励金。</w:t>
      </w:r>
    </w:p>
    <w:p w14:paraId="7EC69A6D">
      <w:pPr>
        <w:spacing w:line="580" w:lineRule="exact"/>
        <w:ind w:firstLine="640"/>
        <w:jc w:val="both"/>
      </w:pPr>
      <w:r>
        <w:rPr>
          <w:rFonts w:ascii="仿宋_GB2312" w:hAnsi="仿宋_GB2312" w:eastAsia="仿宋_GB2312"/>
          <w:b/>
          <w:sz w:val="32"/>
        </w:rPr>
        <w:t>公用经费0.20万元，</w:t>
      </w:r>
      <w:r>
        <w:rPr>
          <w:rFonts w:ascii="仿宋_GB2312" w:hAnsi="仿宋_GB2312" w:eastAsia="仿宋_GB2312"/>
          <w:b w:val="0"/>
          <w:sz w:val="32"/>
        </w:rPr>
        <w:t>包括：工会经费。</w:t>
      </w:r>
    </w:p>
    <w:p w14:paraId="13480523">
      <w:pPr>
        <w:spacing w:line="640" w:lineRule="exact"/>
        <w:ind w:firstLine="640"/>
        <w:jc w:val="both"/>
        <w:outlineLvl w:val="2"/>
      </w:pPr>
      <w:r>
        <w:rPr>
          <w:rFonts w:ascii="黑体" w:hAnsi="黑体" w:eastAsia="黑体"/>
          <w:sz w:val="32"/>
        </w:rPr>
        <w:t>七、政府性基金预算财政拨款收入支出决算情况说明</w:t>
      </w:r>
    </w:p>
    <w:p w14:paraId="2D403D3D">
      <w:pPr>
        <w:spacing w:line="580" w:lineRule="exact"/>
        <w:ind w:firstLine="640"/>
        <w:jc w:val="both"/>
      </w:pPr>
      <w:r>
        <w:rPr>
          <w:rFonts w:ascii="仿宋_GB2312" w:hAnsi="仿宋_GB2312" w:eastAsia="仿宋_GB2312"/>
          <w:b/>
          <w:sz w:val="32"/>
        </w:rPr>
        <w:t>2024年度政府性基金预算财政拨款收入总计3.79万元，</w:t>
      </w:r>
      <w:r>
        <w:rPr>
          <w:rFonts w:ascii="仿宋_GB2312" w:hAnsi="仿宋_GB2312" w:eastAsia="仿宋_GB2312"/>
          <w:b w:val="0"/>
          <w:sz w:val="32"/>
        </w:rPr>
        <w:t>其中：年初结转和结余0.00万元，本年收入3.79万元。</w:t>
      </w:r>
      <w:r>
        <w:rPr>
          <w:rFonts w:ascii="仿宋_GB2312" w:hAnsi="仿宋_GB2312" w:eastAsia="仿宋_GB2312"/>
          <w:b/>
          <w:sz w:val="32"/>
        </w:rPr>
        <w:t>政府性基金预算财政拨款支出总计3.79万元，</w:t>
      </w:r>
      <w:r>
        <w:rPr>
          <w:rFonts w:ascii="仿宋_GB2312" w:hAnsi="仿宋_GB2312" w:eastAsia="仿宋_GB2312"/>
          <w:b w:val="0"/>
          <w:sz w:val="32"/>
        </w:rPr>
        <w:t>其中：年末结转和结余0.00万元，本年支出3.79万元。</w:t>
      </w:r>
    </w:p>
    <w:p w14:paraId="572E1A0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增加2.19万元，增长136.88%，主要原因是：本年增加专项彩票公益金支持地方社会公益事业发展（医疗救助）资金项目、80岁以上老年人免费体检补助资金项目，导致经费较上年增加。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3.79万元，预决算差异率100.00%，主要原因是：年中追加专项彩票公益金支持地方社会公益事业发展（医疗救助）资金项目、80岁以上老年人免费体检补助资金项目，导致预决算存在差异。</w:t>
      </w:r>
    </w:p>
    <w:p w14:paraId="3B6AE10C">
      <w:pPr>
        <w:spacing w:line="580" w:lineRule="exact"/>
        <w:ind w:firstLine="640"/>
        <w:jc w:val="both"/>
      </w:pPr>
      <w:r>
        <w:rPr>
          <w:rFonts w:ascii="仿宋_GB2312" w:hAnsi="仿宋_GB2312" w:eastAsia="仿宋_GB2312"/>
          <w:b w:val="0"/>
          <w:sz w:val="32"/>
        </w:rPr>
        <w:t>政府性基金预算财政拨款支出3.79万元。</w:t>
      </w:r>
    </w:p>
    <w:p w14:paraId="11FA6EA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2.99万元，比上年决算增加1.39万元，增长86.88%,主要原因是：本年增加专项彩票公益金支持地方社会公益事业发展（医疗救助）资金项目，导致经费较上年增加。</w:t>
      </w:r>
    </w:p>
    <w:p w14:paraId="0C64152A">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0.80万元，比上年决算增加0.80万元，增长100.00%,主要原因是：本年增加80岁以上老年人免费体检补助资金项目，导致经费较上年增加。</w:t>
      </w:r>
    </w:p>
    <w:p w14:paraId="28413C03">
      <w:pPr>
        <w:spacing w:line="640" w:lineRule="exact"/>
        <w:ind w:firstLine="640"/>
        <w:jc w:val="both"/>
        <w:outlineLvl w:val="2"/>
      </w:pPr>
      <w:r>
        <w:rPr>
          <w:rFonts w:ascii="黑体" w:hAnsi="黑体" w:eastAsia="黑体"/>
          <w:sz w:val="32"/>
        </w:rPr>
        <w:t>八、国有资本经营预算财政拨款收入支出决算情况说明</w:t>
      </w:r>
    </w:p>
    <w:p w14:paraId="11AC696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64C9E0">
      <w:pPr>
        <w:spacing w:line="640" w:lineRule="exact"/>
        <w:ind w:firstLine="640"/>
        <w:jc w:val="both"/>
        <w:outlineLvl w:val="2"/>
      </w:pPr>
      <w:r>
        <w:rPr>
          <w:rFonts w:ascii="黑体" w:hAnsi="黑体" w:eastAsia="黑体"/>
          <w:sz w:val="32"/>
        </w:rPr>
        <w:t>九、财政拨款“三公”经费支出决算情况说明</w:t>
      </w:r>
    </w:p>
    <w:p w14:paraId="24C8DF4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2.68万元，下降100.00%，主要原因是：本年严控经费支出，未安排财政拨款“三公”经费支出。其中：因公出国（境）费支出0.00万元，占0.00%，比上年增加0.00万元，增长0.00%，主要原因是：2023年与2024年均未安排因公出国（境）费支出。公务用车购置及运行维护费支出0.00万元，占0.00%，比上年减少2.68万元，下降100.00%，主要原因是：本年单位严控经费支出，无公务用车运行维护费。公务接待费支出0.00万元，占0.00%，比上年增加0.00万元，增长0.00%，主要原因是：2023年与2024年均未安排公务接待费支出。</w:t>
      </w:r>
    </w:p>
    <w:p w14:paraId="5C7FCEB5">
      <w:pPr>
        <w:spacing w:line="580" w:lineRule="exact"/>
        <w:ind w:firstLine="640"/>
        <w:jc w:val="both"/>
      </w:pPr>
      <w:r>
        <w:rPr>
          <w:rFonts w:ascii="仿宋_GB2312" w:hAnsi="仿宋_GB2312" w:eastAsia="仿宋_GB2312"/>
          <w:b/>
          <w:sz w:val="32"/>
        </w:rPr>
        <w:t>具体情况如下：</w:t>
      </w:r>
    </w:p>
    <w:p w14:paraId="0503677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195A92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单位业务用车，车辆费用未使用财政拨款公务用车运行维护费支付，由</w:t>
      </w:r>
      <w:r>
        <w:rPr>
          <w:rFonts w:hint="eastAsia" w:ascii="仿宋_GB2312" w:hAnsi="仿宋_GB2312" w:eastAsia="仿宋_GB2312"/>
          <w:b w:val="0"/>
          <w:sz w:val="32"/>
          <w:lang w:val="en-US" w:eastAsia="zh-CN"/>
        </w:rPr>
        <w:t>单位</w:t>
      </w:r>
      <w:r>
        <w:rPr>
          <w:rFonts w:ascii="仿宋_GB2312" w:hAnsi="仿宋_GB2312" w:eastAsia="仿宋_GB2312"/>
          <w:b w:val="0"/>
          <w:sz w:val="32"/>
        </w:rPr>
        <w:t>自有资金经费保障。</w:t>
      </w:r>
    </w:p>
    <w:p w14:paraId="2F47CC2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BA1AA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A32669A">
      <w:pPr>
        <w:spacing w:line="640" w:lineRule="exact"/>
        <w:ind w:firstLine="640"/>
        <w:jc w:val="both"/>
        <w:outlineLvl w:val="2"/>
      </w:pPr>
      <w:r>
        <w:rPr>
          <w:rFonts w:ascii="黑体" w:hAnsi="黑体" w:eastAsia="黑体"/>
          <w:sz w:val="32"/>
        </w:rPr>
        <w:t>十、其他重要事项的情况说明</w:t>
      </w:r>
    </w:p>
    <w:p w14:paraId="729B8A7F">
      <w:pPr>
        <w:spacing w:line="640" w:lineRule="exact"/>
        <w:ind w:firstLine="640"/>
        <w:jc w:val="both"/>
        <w:outlineLvl w:val="3"/>
      </w:pPr>
      <w:r>
        <w:rPr>
          <w:rFonts w:ascii="楷体_GB2312" w:hAnsi="楷体_GB2312" w:eastAsia="楷体_GB2312"/>
          <w:b/>
          <w:sz w:val="32"/>
        </w:rPr>
        <w:t>（一）机关运行经费及公用经费支出情况</w:t>
      </w:r>
    </w:p>
    <w:p w14:paraId="7CA5AE30">
      <w:pPr>
        <w:spacing w:line="580" w:lineRule="exact"/>
        <w:ind w:firstLine="640"/>
        <w:jc w:val="both"/>
      </w:pPr>
      <w:r>
        <w:rPr>
          <w:rFonts w:ascii="仿宋_GB2312" w:hAnsi="仿宋_GB2312" w:eastAsia="仿宋_GB2312"/>
          <w:b w:val="0"/>
          <w:sz w:val="32"/>
        </w:rPr>
        <w:t>2024年度霍城县兰干镇卫生院（事业单位）公用经费支出0.20万元，比上年减少0.98万元，下降83.05%，主要原因是：本年减少办公经费，导致公用经费减少。</w:t>
      </w:r>
    </w:p>
    <w:p w14:paraId="0DCA10A3">
      <w:pPr>
        <w:spacing w:line="640" w:lineRule="exact"/>
        <w:ind w:firstLine="640"/>
        <w:jc w:val="both"/>
        <w:outlineLvl w:val="3"/>
      </w:pPr>
      <w:r>
        <w:rPr>
          <w:rFonts w:ascii="楷体_GB2312" w:hAnsi="楷体_GB2312" w:eastAsia="楷体_GB2312"/>
          <w:b/>
          <w:sz w:val="32"/>
        </w:rPr>
        <w:t>（二）政府采购情况</w:t>
      </w:r>
    </w:p>
    <w:p w14:paraId="4A32DD2E">
      <w:pPr>
        <w:spacing w:line="580" w:lineRule="exact"/>
        <w:ind w:firstLine="640"/>
        <w:jc w:val="both"/>
      </w:pPr>
      <w:r>
        <w:rPr>
          <w:rFonts w:ascii="仿宋_GB2312" w:hAnsi="仿宋_GB2312" w:eastAsia="仿宋_GB2312"/>
          <w:b w:val="0"/>
          <w:sz w:val="32"/>
        </w:rPr>
        <w:t>2024年度政府采购支出总额35.47万元，其中：政府采购货物支出20.29万元、政府采购工程支出0.00万元、政府采购服务支出15.19万元。</w:t>
      </w:r>
    </w:p>
    <w:p w14:paraId="62AC7F97">
      <w:pPr>
        <w:spacing w:line="580" w:lineRule="exact"/>
        <w:ind w:firstLine="640"/>
        <w:jc w:val="both"/>
      </w:pPr>
      <w:r>
        <w:rPr>
          <w:rFonts w:ascii="仿宋_GB2312" w:hAnsi="仿宋_GB2312" w:eastAsia="仿宋_GB2312"/>
          <w:b w:val="0"/>
          <w:sz w:val="32"/>
        </w:rPr>
        <w:t>授予中小企业合同金额35.47万元，占政府采购支出总额的100.00%，其中：授予小微企业合同金额35.47万元，占政府采购支出总额的100.00%。</w:t>
      </w:r>
    </w:p>
    <w:p w14:paraId="25E13566">
      <w:pPr>
        <w:spacing w:line="640" w:lineRule="exact"/>
        <w:ind w:firstLine="640"/>
        <w:jc w:val="both"/>
        <w:outlineLvl w:val="3"/>
      </w:pPr>
      <w:r>
        <w:rPr>
          <w:rFonts w:ascii="楷体_GB2312" w:hAnsi="楷体_GB2312" w:eastAsia="楷体_GB2312"/>
          <w:b/>
          <w:sz w:val="32"/>
        </w:rPr>
        <w:t>（三）国有资产占用情况说明</w:t>
      </w:r>
    </w:p>
    <w:p w14:paraId="09422B4A">
      <w:pPr>
        <w:spacing w:line="580" w:lineRule="exact"/>
        <w:ind w:firstLine="640"/>
        <w:jc w:val="both"/>
      </w:pPr>
      <w:r>
        <w:rPr>
          <w:rFonts w:ascii="仿宋_GB2312" w:hAnsi="仿宋_GB2312" w:eastAsia="仿宋_GB2312"/>
          <w:b w:val="0"/>
          <w:sz w:val="32"/>
        </w:rPr>
        <w:t>截至2024年12月31日，房屋2,289.53平方米，价值417.55万元。车辆4辆，价值87.60万元，其中：副部（省）级及以上领导用车0辆、主要负责人用车0辆、机要通信用车0辆、应急保障用车0辆</w:t>
      </w:r>
      <w:bookmarkStart w:id="0" w:name="_GoBack"/>
      <w:r>
        <w:rPr>
          <w:rFonts w:ascii="仿宋_GB2312" w:hAnsi="仿宋_GB2312" w:eastAsia="仿宋_GB2312"/>
          <w:b w:val="0"/>
          <w:sz w:val="32"/>
        </w:rPr>
        <w:t>、执法执勤用车0辆、特种专业技术用车0辆、离退休干部服务用车0辆、其他用车4辆，其他用车主要是：单位业务用车和救护车。单价100万元（含）以上设备（不含车辆）2台（套）。</w:t>
      </w:r>
    </w:p>
    <w:bookmarkEnd w:id="0"/>
    <w:p w14:paraId="630D2B2E">
      <w:pPr>
        <w:spacing w:line="640" w:lineRule="exact"/>
        <w:ind w:firstLine="640"/>
        <w:jc w:val="both"/>
        <w:outlineLvl w:val="2"/>
      </w:pPr>
      <w:r>
        <w:rPr>
          <w:rFonts w:ascii="黑体" w:hAnsi="黑体" w:eastAsia="黑体"/>
          <w:sz w:val="32"/>
        </w:rPr>
        <w:t>十一、预算绩效的情况说明</w:t>
      </w:r>
    </w:p>
    <w:p w14:paraId="455E981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1,073.53万元，实际执行总额1,073.53万元；预算绩效评价项目1个，全年预算数347.08万元，全年执行数347.08万元。预算绩效管理取得的成效：本项目的综合评价基于对项目各方面绩效的深入分析与评估。从项目目标的达成情况来看，该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具体附整体支出绩效自评表，项目支出绩效自评表和评价报告。</w:t>
      </w:r>
    </w:p>
    <w:p w14:paraId="237536C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DF09DF1">
        <w:tblPrEx>
          <w:tblCellMar>
            <w:top w:w="0" w:type="dxa"/>
            <w:left w:w="108" w:type="dxa"/>
            <w:bottom w:w="0" w:type="dxa"/>
            <w:right w:w="108" w:type="dxa"/>
          </w:tblCellMar>
        </w:tblPrEx>
        <w:tc>
          <w:tcPr>
            <w:tcW w:w="8840" w:type="dxa"/>
            <w:gridSpan w:val="8"/>
            <w:vAlign w:val="center"/>
          </w:tcPr>
          <w:p w14:paraId="2C6EAEC4">
            <w:pPr>
              <w:jc w:val="center"/>
            </w:pPr>
            <w:r>
              <w:rPr>
                <w:rFonts w:ascii="宋体" w:hAnsi="宋体" w:eastAsia="宋体"/>
                <w:sz w:val="24"/>
              </w:rPr>
              <w:t>单位整体支出绩效自评表</w:t>
            </w:r>
          </w:p>
        </w:tc>
      </w:tr>
      <w:tr w14:paraId="62EEED7E">
        <w:tblPrEx>
          <w:tblCellMar>
            <w:top w:w="0" w:type="dxa"/>
            <w:left w:w="108" w:type="dxa"/>
            <w:bottom w:w="0" w:type="dxa"/>
            <w:right w:w="108" w:type="dxa"/>
          </w:tblCellMar>
        </w:tblPrEx>
        <w:tc>
          <w:tcPr>
            <w:tcW w:w="8840" w:type="dxa"/>
            <w:gridSpan w:val="8"/>
            <w:vAlign w:val="center"/>
          </w:tcPr>
          <w:p w14:paraId="004CBC27">
            <w:pPr>
              <w:jc w:val="center"/>
            </w:pPr>
            <w:r>
              <w:rPr>
                <w:rFonts w:ascii="宋体" w:hAnsi="宋体" w:eastAsia="宋体"/>
                <w:sz w:val="24"/>
              </w:rPr>
              <w:t>（2024年度）</w:t>
            </w:r>
          </w:p>
        </w:tc>
      </w:tr>
      <w:tr w14:paraId="65B90F7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116D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14A2A">
            <w:pPr>
              <w:jc w:val="center"/>
            </w:pPr>
            <w:r>
              <w:rPr>
                <w:rFonts w:ascii="宋体" w:hAnsi="宋体" w:eastAsia="宋体"/>
                <w:sz w:val="16"/>
              </w:rPr>
              <w:t>霍城县兰干镇卫生院</w:t>
            </w:r>
          </w:p>
        </w:tc>
      </w:tr>
      <w:tr w14:paraId="43E187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16D1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AB0E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39D4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D30F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F4ABD">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2ACA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99C7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EEB97">
            <w:pPr>
              <w:jc w:val="center"/>
            </w:pPr>
            <w:r>
              <w:rPr>
                <w:rFonts w:ascii="宋体" w:hAnsi="宋体" w:eastAsia="宋体"/>
                <w:sz w:val="16"/>
              </w:rPr>
              <w:t>得分</w:t>
            </w:r>
          </w:p>
        </w:tc>
      </w:tr>
      <w:tr w14:paraId="7F0DB7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3C7E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9C17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199D6">
            <w:pPr>
              <w:jc w:val="center"/>
            </w:pPr>
            <w:r>
              <w:rPr>
                <w:rFonts w:ascii="宋体" w:hAnsi="宋体" w:eastAsia="宋体"/>
                <w:sz w:val="16"/>
              </w:rPr>
              <w:t>700.63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9EB89">
            <w:pPr>
              <w:jc w:val="center"/>
            </w:pPr>
            <w:r>
              <w:rPr>
                <w:rFonts w:ascii="宋体" w:hAnsi="宋体" w:eastAsia="宋体"/>
                <w:sz w:val="16"/>
              </w:rPr>
              <w:t>1,073.53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0B527">
            <w:pPr>
              <w:jc w:val="center"/>
            </w:pPr>
            <w:r>
              <w:rPr>
                <w:rFonts w:ascii="宋体" w:hAnsi="宋体" w:eastAsia="宋体"/>
                <w:sz w:val="16"/>
              </w:rPr>
              <w:t>1,073.53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91D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6181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B3EF1">
            <w:pPr>
              <w:jc w:val="center"/>
            </w:pPr>
            <w:r>
              <w:rPr>
                <w:rFonts w:ascii="宋体" w:hAnsi="宋体" w:eastAsia="宋体"/>
                <w:sz w:val="16"/>
              </w:rPr>
              <w:t>10</w:t>
            </w:r>
          </w:p>
        </w:tc>
      </w:tr>
      <w:tr w14:paraId="3FC28B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516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714E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66BA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F2A82">
            <w:pPr>
              <w:jc w:val="center"/>
            </w:pPr>
            <w:r>
              <w:rPr>
                <w:rFonts w:ascii="宋体" w:hAnsi="宋体" w:eastAsia="宋体"/>
                <w:sz w:val="16"/>
              </w:rPr>
              <w:t>300.11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FF14B">
            <w:pPr>
              <w:jc w:val="center"/>
            </w:pPr>
            <w:r>
              <w:rPr>
                <w:rFonts w:ascii="宋体" w:hAnsi="宋体" w:eastAsia="宋体"/>
                <w:sz w:val="16"/>
              </w:rPr>
              <w:t>300.11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8CE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D11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7DEFB">
            <w:pPr>
              <w:jc w:val="center"/>
            </w:pPr>
            <w:r>
              <w:rPr>
                <w:rFonts w:ascii="宋体" w:hAnsi="宋体" w:eastAsia="宋体"/>
                <w:sz w:val="16"/>
              </w:rPr>
              <w:t>-</w:t>
            </w:r>
          </w:p>
        </w:tc>
      </w:tr>
      <w:tr w14:paraId="16B2E2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7730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F24A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2DAEB">
            <w:pPr>
              <w:jc w:val="center"/>
            </w:pPr>
            <w:r>
              <w:rPr>
                <w:rFonts w:ascii="宋体" w:hAnsi="宋体" w:eastAsia="宋体"/>
                <w:sz w:val="16"/>
              </w:rPr>
              <w:t>400.63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E776B">
            <w:pPr>
              <w:jc w:val="center"/>
            </w:pPr>
            <w:r>
              <w:rPr>
                <w:rFonts w:ascii="宋体" w:hAnsi="宋体" w:eastAsia="宋体"/>
                <w:sz w:val="16"/>
              </w:rPr>
              <w:t>426.34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C2088">
            <w:pPr>
              <w:jc w:val="center"/>
            </w:pPr>
            <w:r>
              <w:rPr>
                <w:rFonts w:ascii="宋体" w:hAnsi="宋体" w:eastAsia="宋体"/>
                <w:sz w:val="16"/>
              </w:rPr>
              <w:t>426.34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9C5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92F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2EF1A">
            <w:pPr>
              <w:jc w:val="center"/>
            </w:pPr>
            <w:r>
              <w:rPr>
                <w:rFonts w:ascii="宋体" w:hAnsi="宋体" w:eastAsia="宋体"/>
                <w:sz w:val="16"/>
              </w:rPr>
              <w:t>-</w:t>
            </w:r>
          </w:p>
        </w:tc>
      </w:tr>
      <w:tr w14:paraId="6E33BA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E11B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65EF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F2723">
            <w:pPr>
              <w:jc w:val="center"/>
            </w:pPr>
            <w:r>
              <w:rPr>
                <w:rFonts w:ascii="宋体" w:hAnsi="宋体" w:eastAsia="宋体"/>
                <w:sz w:val="16"/>
              </w:rPr>
              <w:t>300.00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CE6CB">
            <w:pPr>
              <w:jc w:val="center"/>
            </w:pPr>
            <w:r>
              <w:rPr>
                <w:rFonts w:ascii="宋体" w:hAnsi="宋体" w:eastAsia="宋体"/>
                <w:sz w:val="16"/>
              </w:rPr>
              <w:t>347.08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07711">
            <w:pPr>
              <w:jc w:val="center"/>
            </w:pPr>
            <w:r>
              <w:rPr>
                <w:rFonts w:ascii="宋体" w:hAnsi="宋体" w:eastAsia="宋体"/>
                <w:sz w:val="16"/>
              </w:rPr>
              <w:t>347.08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5CC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0ADF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422A2">
            <w:pPr>
              <w:jc w:val="center"/>
            </w:pPr>
            <w:r>
              <w:rPr>
                <w:rFonts w:ascii="宋体" w:hAnsi="宋体" w:eastAsia="宋体"/>
                <w:sz w:val="16"/>
              </w:rPr>
              <w:t>-</w:t>
            </w:r>
          </w:p>
        </w:tc>
      </w:tr>
      <w:tr w14:paraId="250413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B7AB3">
            <w:pPr>
              <w:jc w:val="center"/>
            </w:pPr>
            <w:r>
              <w:rPr>
                <w:rFonts w:ascii="宋体" w:hAnsi="宋体" w:eastAsia="宋体"/>
                <w:sz w:val="16"/>
              </w:rPr>
              <w:t>年度总体目标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5B0925">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9E6733">
            <w:pPr>
              <w:jc w:val="center"/>
            </w:pPr>
            <w:r>
              <w:rPr>
                <w:rFonts w:ascii="宋体" w:hAnsi="宋体" w:eastAsia="宋体"/>
                <w:sz w:val="16"/>
              </w:rPr>
              <w:t>实际完成情况</w:t>
            </w:r>
          </w:p>
        </w:tc>
      </w:tr>
      <w:tr w14:paraId="23235E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FE266F"/>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2B8942">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1.以公共卫生服务为主，提供预防保健、基本医疗、康复、健康教育和JHSY技术服务等综合性卫生服务，完成高血压、2型糖尿病患者基层规范管理服务，加强适龄儿童免疫规划疫苗接种，稳步推进基本公共卫生服务指标逐项完成。2.实施健康行动，做实做细家庭医生签约服务，达到国家目标要求。3.持续推动全民免费健康体检，保障区域内常见病、多发病的就诊医治，加强慢性病预防、治疗和控制。4.建立健全的监督和评估机制，对基本药物的执行情况进行定期检查和评估，及时发现问题并加以解决。</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52DE3A">
            <w:pPr>
              <w:jc w:val="both"/>
            </w:pPr>
            <w:r>
              <w:rPr>
                <w:rFonts w:ascii="宋体" w:hAnsi="宋体" w:eastAsia="宋体"/>
                <w:sz w:val="16"/>
              </w:rPr>
              <w:t>2024年，兰干镇卫生院在上级管理部门的领导下，以提升医疗服务水平，保障居民健康为核心，积极落实各项工作。1、2024年完成辖区各类人群家庭医生签约服务93.52%；2、2024年完成适龄儿童免疫规划疫苗接种率99.03%；3、2024年基本药物制度执行率100%。4、2024年完成高血压、2型糖尿病患者基层规范管理服务率分别为86.23%和89.52%。5、2024年完成全民免费健康体检95.08%。为乡镇医疗事业发展做出了积极贡献，卫生院将持续优化服务，提升效益，为居民健康保驾护航。</w:t>
            </w:r>
          </w:p>
        </w:tc>
      </w:tr>
      <w:tr w14:paraId="3711ECC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B3F5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D031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F36B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22E0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C95B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D255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1CB8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57C05">
            <w:pPr>
              <w:jc w:val="center"/>
            </w:pPr>
            <w:r>
              <w:rPr>
                <w:rFonts w:ascii="宋体" w:hAnsi="宋体" w:eastAsia="宋体"/>
                <w:sz w:val="16"/>
              </w:rPr>
              <w:t>得分</w:t>
            </w:r>
          </w:p>
        </w:tc>
      </w:tr>
      <w:tr w14:paraId="1DE6E2D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4C3C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E8E3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202CC">
            <w:pPr>
              <w:jc w:val="center"/>
            </w:pPr>
            <w:r>
              <w:rPr>
                <w:rFonts w:ascii="宋体" w:hAnsi="宋体" w:eastAsia="宋体"/>
                <w:sz w:val="16"/>
              </w:rPr>
              <w:t>家庭医生签约覆盖率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086BB">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2B207">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A7A94">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D5345">
            <w:pPr>
              <w:jc w:val="center"/>
            </w:pPr>
            <w:r>
              <w:rPr>
                <w:rFonts w:ascii="宋体" w:hAnsi="宋体" w:eastAsia="宋体"/>
                <w:sz w:val="16"/>
              </w:rPr>
              <w:t>93.52%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AAAEC">
            <w:pPr>
              <w:jc w:val="center"/>
            </w:pPr>
            <w:r>
              <w:rPr>
                <w:rFonts w:ascii="宋体" w:hAnsi="宋体" w:eastAsia="宋体"/>
                <w:sz w:val="16"/>
              </w:rPr>
              <w:t>19</w:t>
            </w:r>
          </w:p>
        </w:tc>
      </w:tr>
      <w:tr w14:paraId="269A37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7460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33B9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9F933">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B6A2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19637">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FB1C3">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115B2">
            <w:pPr>
              <w:jc w:val="center"/>
            </w:pPr>
            <w:r>
              <w:rPr>
                <w:rFonts w:ascii="宋体" w:hAnsi="宋体" w:eastAsia="宋体"/>
                <w:sz w:val="16"/>
              </w:rPr>
              <w:t>99.03%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0E483">
            <w:pPr>
              <w:jc w:val="center"/>
            </w:pPr>
            <w:r>
              <w:rPr>
                <w:rFonts w:ascii="宋体" w:hAnsi="宋体" w:eastAsia="宋体"/>
                <w:sz w:val="16"/>
              </w:rPr>
              <w:t>19</w:t>
            </w:r>
          </w:p>
        </w:tc>
      </w:tr>
      <w:tr w14:paraId="4F1E47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3306F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AAD5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4ACB5">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A34B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4199F">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19D22">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F97F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18DC7">
            <w:pPr>
              <w:jc w:val="center"/>
            </w:pPr>
            <w:r>
              <w:rPr>
                <w:rFonts w:ascii="宋体" w:hAnsi="宋体" w:eastAsia="宋体"/>
                <w:sz w:val="16"/>
              </w:rPr>
              <w:t>17</w:t>
            </w:r>
          </w:p>
        </w:tc>
      </w:tr>
      <w:tr w14:paraId="3BD2AB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992F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678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EEBE4">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7413D">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14015">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17C17">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20EF5">
            <w:pPr>
              <w:jc w:val="center"/>
            </w:pPr>
            <w:r>
              <w:rPr>
                <w:rFonts w:ascii="宋体" w:hAnsi="宋体" w:eastAsia="宋体"/>
                <w:sz w:val="16"/>
              </w:rPr>
              <w:t>87.88%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B82CE">
            <w:pPr>
              <w:jc w:val="center"/>
            </w:pPr>
            <w:r>
              <w:rPr>
                <w:rFonts w:ascii="宋体" w:hAnsi="宋体" w:eastAsia="宋体"/>
                <w:sz w:val="16"/>
              </w:rPr>
              <w:t>17</w:t>
            </w:r>
          </w:p>
        </w:tc>
      </w:tr>
      <w:tr w14:paraId="7CC703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C6180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710D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50CD6">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F3706">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C9844">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2812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309C8">
            <w:pPr>
              <w:jc w:val="center"/>
            </w:pPr>
            <w:r>
              <w:rPr>
                <w:rFonts w:ascii="宋体" w:hAnsi="宋体" w:eastAsia="宋体"/>
                <w:sz w:val="16"/>
              </w:rPr>
              <w:t>99.56%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309D8">
            <w:pPr>
              <w:jc w:val="center"/>
            </w:pPr>
            <w:r>
              <w:rPr>
                <w:rFonts w:ascii="宋体" w:hAnsi="宋体" w:eastAsia="宋体"/>
                <w:sz w:val="16"/>
              </w:rPr>
              <w:t>18</w:t>
            </w:r>
          </w:p>
        </w:tc>
      </w:tr>
    </w:tbl>
    <w:p w14:paraId="29A51435">
      <w:r>
        <w:br w:type="page"/>
      </w:r>
    </w:p>
    <w:tbl>
      <w:tblPr>
        <w:tblStyle w:val="9"/>
        <w:tblW w:w="5000" w:type="pct"/>
        <w:jc w:val="center"/>
        <w:tblLayout w:type="autofit"/>
        <w:tblCellMar>
          <w:top w:w="40" w:type="dxa"/>
          <w:left w:w="64" w:type="dxa"/>
          <w:bottom w:w="40" w:type="dxa"/>
          <w:right w:w="64" w:type="dxa"/>
        </w:tblCellMar>
      </w:tblPr>
      <w:tblGrid>
        <w:gridCol w:w="537"/>
        <w:gridCol w:w="393"/>
        <w:gridCol w:w="445"/>
        <w:gridCol w:w="581"/>
        <w:gridCol w:w="413"/>
        <w:gridCol w:w="1048"/>
        <w:gridCol w:w="874"/>
        <w:gridCol w:w="790"/>
        <w:gridCol w:w="513"/>
        <w:gridCol w:w="544"/>
        <w:gridCol w:w="511"/>
        <w:gridCol w:w="659"/>
        <w:gridCol w:w="467"/>
        <w:gridCol w:w="1197"/>
      </w:tblGrid>
      <w:tr w14:paraId="7B9A214F">
        <w:tblPrEx>
          <w:tblCellMar>
            <w:top w:w="40" w:type="dxa"/>
            <w:left w:w="64" w:type="dxa"/>
            <w:bottom w:w="40" w:type="dxa"/>
            <w:right w:w="64" w:type="dxa"/>
          </w:tblCellMar>
        </w:tblPrEx>
        <w:trPr>
          <w:trHeight w:val="0" w:hRule="atLeast"/>
          <w:jc w:val="center"/>
        </w:trPr>
        <w:tc>
          <w:tcPr>
            <w:tcW w:w="5000" w:type="pct"/>
            <w:gridSpan w:val="14"/>
            <w:vAlign w:val="center"/>
          </w:tcPr>
          <w:p w14:paraId="2BB860A2">
            <w:pPr>
              <w:snapToGrid w:val="0"/>
              <w:jc w:val="center"/>
            </w:pPr>
            <w:r>
              <w:rPr>
                <w:rFonts w:ascii="宋体" w:hAnsi="宋体" w:eastAsia="宋体"/>
                <w:sz w:val="24"/>
              </w:rPr>
              <w:t>项目支出绩效自评表</w:t>
            </w:r>
          </w:p>
        </w:tc>
      </w:tr>
      <w:tr w14:paraId="2EEBDC6D">
        <w:tblPrEx>
          <w:tblCellMar>
            <w:top w:w="40" w:type="dxa"/>
            <w:left w:w="64" w:type="dxa"/>
            <w:bottom w:w="40" w:type="dxa"/>
            <w:right w:w="64" w:type="dxa"/>
          </w:tblCellMar>
        </w:tblPrEx>
        <w:trPr>
          <w:trHeight w:val="0" w:hRule="atLeast"/>
          <w:jc w:val="center"/>
        </w:trPr>
        <w:tc>
          <w:tcPr>
            <w:tcW w:w="5000" w:type="pct"/>
            <w:gridSpan w:val="14"/>
            <w:vAlign w:val="center"/>
          </w:tcPr>
          <w:p w14:paraId="0DF3ECF0">
            <w:pPr>
              <w:snapToGrid w:val="0"/>
              <w:jc w:val="center"/>
            </w:pPr>
            <w:r>
              <w:rPr>
                <w:rFonts w:ascii="宋体" w:hAnsi="宋体" w:eastAsia="宋体"/>
                <w:sz w:val="24"/>
              </w:rPr>
              <w:t>(2024年度)</w:t>
            </w:r>
          </w:p>
        </w:tc>
      </w:tr>
      <w:tr w14:paraId="06C962B6">
        <w:tblPrEx>
          <w:tblCellMar>
            <w:top w:w="40" w:type="dxa"/>
            <w:left w:w="64" w:type="dxa"/>
            <w:bottom w:w="40" w:type="dxa"/>
            <w:right w:w="64" w:type="dxa"/>
          </w:tblCellMar>
        </w:tblPrEx>
        <w:trPr>
          <w:trHeight w:val="0" w:hRule="atLeast"/>
          <w:jc w:val="center"/>
        </w:trPr>
        <w:tc>
          <w:tcPr>
            <w:tcW w:w="300" w:type="pct"/>
            <w:tcBorders>
              <w:top w:val="single" w:color="auto" w:sz="10" w:space="0"/>
              <w:left w:val="single" w:color="auto" w:sz="10" w:space="0"/>
              <w:bottom w:val="single" w:color="auto" w:sz="10" w:space="0"/>
              <w:right w:val="single" w:color="auto" w:sz="10" w:space="0"/>
              <w:insideV w:val="single" w:sz="10" w:space="0"/>
            </w:tcBorders>
            <w:vAlign w:val="center"/>
          </w:tcPr>
          <w:p w14:paraId="68FD8E8E">
            <w:pPr>
              <w:snapToGrid w:val="0"/>
              <w:jc w:val="center"/>
            </w:pPr>
            <w:r>
              <w:rPr>
                <w:rFonts w:ascii="宋体" w:hAnsi="宋体" w:eastAsia="宋体"/>
                <w:sz w:val="16"/>
              </w:rPr>
              <w:t>项目名称</w:t>
            </w:r>
          </w:p>
        </w:tc>
        <w:tc>
          <w:tcPr>
            <w:tcW w:w="4699" w:type="pct"/>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B53486">
            <w:pPr>
              <w:snapToGrid w:val="0"/>
              <w:jc w:val="center"/>
            </w:pPr>
            <w:r>
              <w:rPr>
                <w:rFonts w:ascii="宋体" w:hAnsi="宋体" w:eastAsia="宋体"/>
                <w:sz w:val="16"/>
              </w:rPr>
              <w:t>2024年事业收入（自有资金）</w:t>
            </w:r>
          </w:p>
        </w:tc>
      </w:tr>
      <w:tr w14:paraId="1E937311">
        <w:tblPrEx>
          <w:tblCellMar>
            <w:top w:w="40" w:type="dxa"/>
            <w:left w:w="64" w:type="dxa"/>
            <w:bottom w:w="40" w:type="dxa"/>
            <w:right w:w="64" w:type="dxa"/>
          </w:tblCellMar>
        </w:tblPrEx>
        <w:trPr>
          <w:trHeight w:val="0" w:hRule="atLeast"/>
          <w:jc w:val="center"/>
        </w:trPr>
        <w:tc>
          <w:tcPr>
            <w:tcW w:w="300" w:type="pct"/>
            <w:tcBorders>
              <w:top w:val="single" w:color="auto" w:sz="10" w:space="0"/>
              <w:left w:val="single" w:color="auto" w:sz="10" w:space="0"/>
              <w:bottom w:val="single" w:color="auto" w:sz="10" w:space="0"/>
              <w:right w:val="single" w:color="auto" w:sz="10" w:space="0"/>
              <w:insideV w:val="single" w:sz="10" w:space="0"/>
            </w:tcBorders>
            <w:vAlign w:val="center"/>
          </w:tcPr>
          <w:p w14:paraId="64976FBF">
            <w:pPr>
              <w:snapToGrid w:val="0"/>
              <w:jc w:val="center"/>
            </w:pPr>
            <w:r>
              <w:rPr>
                <w:rFonts w:ascii="宋体" w:hAnsi="宋体" w:eastAsia="宋体"/>
                <w:sz w:val="16"/>
              </w:rPr>
              <w:t>主管部门</w:t>
            </w:r>
          </w:p>
        </w:tc>
        <w:tc>
          <w:tcPr>
            <w:tcW w:w="2531"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17F83C">
            <w:pPr>
              <w:snapToGrid w:val="0"/>
              <w:jc w:val="center"/>
            </w:pPr>
            <w:r>
              <w:rPr>
                <w:rFonts w:ascii="宋体" w:hAnsi="宋体" w:eastAsia="宋体"/>
                <w:sz w:val="16"/>
              </w:rPr>
              <w:t>霍城县兰干镇卫生院</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5C4CF28F">
            <w:pPr>
              <w:snapToGrid w:val="0"/>
              <w:jc w:val="center"/>
            </w:pPr>
            <w:r>
              <w:rPr>
                <w:rFonts w:ascii="宋体" w:hAnsi="宋体" w:eastAsia="宋体"/>
                <w:sz w:val="16"/>
              </w:rPr>
              <w:t>实施单位</w:t>
            </w:r>
          </w:p>
        </w:tc>
        <w:tc>
          <w:tcPr>
            <w:tcW w:w="1881"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9F7FE2">
            <w:pPr>
              <w:snapToGrid w:val="0"/>
              <w:jc w:val="center"/>
            </w:pPr>
            <w:r>
              <w:rPr>
                <w:rFonts w:ascii="宋体" w:hAnsi="宋体" w:eastAsia="宋体"/>
                <w:sz w:val="16"/>
              </w:rPr>
              <w:t>霍城县兰干镇卫生院</w:t>
            </w:r>
          </w:p>
        </w:tc>
      </w:tr>
      <w:tr w14:paraId="068BEA22">
        <w:tblPrEx>
          <w:tblCellMar>
            <w:top w:w="40" w:type="dxa"/>
            <w:left w:w="64" w:type="dxa"/>
            <w:bottom w:w="40" w:type="dxa"/>
            <w:right w:w="64" w:type="dxa"/>
          </w:tblCellMar>
        </w:tblPrEx>
        <w:trPr>
          <w:trHeight w:val="0" w:hRule="atLeast"/>
          <w:jc w:val="center"/>
        </w:trPr>
        <w:tc>
          <w:tcPr>
            <w:tcW w:w="30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6834F">
            <w:pPr>
              <w:snapToGrid w:val="0"/>
              <w:jc w:val="center"/>
            </w:pPr>
            <w:r>
              <w:rPr>
                <w:rFonts w:ascii="宋体" w:hAnsi="宋体" w:eastAsia="宋体"/>
                <w:sz w:val="16"/>
              </w:rPr>
              <w:t>项目资金（万元）</w:t>
            </w:r>
          </w:p>
        </w:tc>
        <w:tc>
          <w:tcPr>
            <w:tcW w:w="46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7D3F2">
            <w:pPr>
              <w:snapToGrid w:val="0"/>
              <w:jc w:val="center"/>
            </w:pPr>
          </w:p>
        </w:tc>
        <w:tc>
          <w:tcPr>
            <w:tcW w:w="5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00547">
            <w:pPr>
              <w:snapToGrid w:val="0"/>
              <w:jc w:val="center"/>
            </w:pPr>
            <w:r>
              <w:rPr>
                <w:rFonts w:ascii="宋体" w:hAnsi="宋体" w:eastAsia="宋体"/>
                <w:sz w:val="16"/>
              </w:rPr>
              <w:t>年初预算数</w:t>
            </w:r>
          </w:p>
        </w:tc>
        <w:tc>
          <w:tcPr>
            <w:tcW w:w="10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E220E">
            <w:pPr>
              <w:snapToGrid w:val="0"/>
              <w:jc w:val="center"/>
            </w:pPr>
            <w:r>
              <w:rPr>
                <w:rFonts w:ascii="宋体" w:hAnsi="宋体" w:eastAsia="宋体"/>
                <w:sz w:val="16"/>
              </w:rPr>
              <w:t>全年预算数</w:t>
            </w:r>
          </w:p>
        </w:tc>
        <w:tc>
          <w:tcPr>
            <w:tcW w:w="72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3C884">
            <w:pPr>
              <w:snapToGrid w:val="0"/>
              <w:jc w:val="center"/>
            </w:pPr>
            <w:r>
              <w:rPr>
                <w:rFonts w:ascii="宋体" w:hAnsi="宋体" w:eastAsia="宋体"/>
                <w:sz w:val="16"/>
              </w:rPr>
              <w:t>全年执行数</w:t>
            </w:r>
          </w:p>
        </w:tc>
        <w:tc>
          <w:tcPr>
            <w:tcW w:w="58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2685B">
            <w:pPr>
              <w:snapToGrid w:val="0"/>
              <w:jc w:val="center"/>
            </w:pPr>
            <w:r>
              <w:rPr>
                <w:rFonts w:ascii="宋体" w:hAnsi="宋体" w:eastAsia="宋体"/>
                <w:sz w:val="16"/>
              </w:rPr>
              <w:t>分值</w:t>
            </w:r>
          </w:p>
        </w:tc>
        <w:tc>
          <w:tcPr>
            <w:tcW w:w="62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36182">
            <w:pPr>
              <w:snapToGrid w:val="0"/>
              <w:jc w:val="center"/>
            </w:pPr>
            <w:r>
              <w:rPr>
                <w:rFonts w:ascii="宋体" w:hAnsi="宋体" w:eastAsia="宋体"/>
                <w:sz w:val="16"/>
              </w:rPr>
              <w:t>执行率</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09C7FE00">
            <w:pPr>
              <w:snapToGrid w:val="0"/>
              <w:jc w:val="center"/>
            </w:pPr>
            <w:r>
              <w:rPr>
                <w:rFonts w:ascii="宋体" w:hAnsi="宋体" w:eastAsia="宋体"/>
                <w:sz w:val="16"/>
              </w:rPr>
              <w:t>得分</w:t>
            </w:r>
          </w:p>
        </w:tc>
      </w:tr>
      <w:tr w14:paraId="5DC0ECD5">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02C14D01">
            <w:pPr>
              <w:snapToGrid w:val="0"/>
            </w:pPr>
          </w:p>
        </w:tc>
        <w:tc>
          <w:tcPr>
            <w:tcW w:w="46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811F5">
            <w:pPr>
              <w:snapToGrid w:val="0"/>
              <w:jc w:val="center"/>
            </w:pPr>
            <w:r>
              <w:rPr>
                <w:rFonts w:ascii="宋体" w:hAnsi="宋体" w:eastAsia="宋体"/>
                <w:sz w:val="16"/>
              </w:rPr>
              <w:t>年度资金总额</w:t>
            </w:r>
          </w:p>
        </w:tc>
        <w:tc>
          <w:tcPr>
            <w:tcW w:w="5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74EBE">
            <w:pPr>
              <w:snapToGrid w:val="0"/>
              <w:jc w:val="center"/>
            </w:pPr>
            <w:r>
              <w:rPr>
                <w:rFonts w:ascii="宋体" w:hAnsi="宋体" w:eastAsia="宋体"/>
                <w:sz w:val="16"/>
              </w:rPr>
              <w:t>300.00</w:t>
            </w:r>
          </w:p>
        </w:tc>
        <w:tc>
          <w:tcPr>
            <w:tcW w:w="10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B72C">
            <w:pPr>
              <w:snapToGrid w:val="0"/>
              <w:jc w:val="center"/>
            </w:pPr>
            <w:r>
              <w:rPr>
                <w:rFonts w:ascii="宋体" w:hAnsi="宋体" w:eastAsia="宋体"/>
                <w:sz w:val="16"/>
              </w:rPr>
              <w:t>347.08</w:t>
            </w:r>
          </w:p>
        </w:tc>
        <w:tc>
          <w:tcPr>
            <w:tcW w:w="72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4BB6">
            <w:pPr>
              <w:snapToGrid w:val="0"/>
              <w:jc w:val="center"/>
            </w:pPr>
            <w:r>
              <w:rPr>
                <w:rFonts w:ascii="宋体" w:hAnsi="宋体" w:eastAsia="宋体"/>
                <w:sz w:val="16"/>
              </w:rPr>
              <w:t>347.08</w:t>
            </w:r>
          </w:p>
        </w:tc>
        <w:tc>
          <w:tcPr>
            <w:tcW w:w="58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42471">
            <w:pPr>
              <w:snapToGrid w:val="0"/>
              <w:jc w:val="center"/>
            </w:pPr>
            <w:r>
              <w:rPr>
                <w:rFonts w:ascii="宋体" w:hAnsi="宋体" w:eastAsia="宋体"/>
                <w:sz w:val="16"/>
              </w:rPr>
              <w:t>10</w:t>
            </w:r>
          </w:p>
        </w:tc>
        <w:tc>
          <w:tcPr>
            <w:tcW w:w="62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19FA2">
            <w:pPr>
              <w:snapToGrid w:val="0"/>
              <w:jc w:val="center"/>
            </w:pPr>
            <w:r>
              <w:rPr>
                <w:rFonts w:ascii="宋体" w:hAnsi="宋体" w:eastAsia="宋体"/>
                <w:sz w:val="16"/>
              </w:rPr>
              <w:t>100.00%</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5DEC1E99">
            <w:pPr>
              <w:snapToGrid w:val="0"/>
              <w:jc w:val="center"/>
            </w:pPr>
            <w:r>
              <w:rPr>
                <w:rFonts w:ascii="宋体" w:hAnsi="宋体" w:eastAsia="宋体"/>
                <w:sz w:val="16"/>
              </w:rPr>
              <w:t>10.00</w:t>
            </w:r>
          </w:p>
        </w:tc>
      </w:tr>
      <w:tr w14:paraId="1603F512">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185D0F4C">
            <w:pPr>
              <w:snapToGrid w:val="0"/>
            </w:pPr>
          </w:p>
        </w:tc>
        <w:tc>
          <w:tcPr>
            <w:tcW w:w="46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49D4">
            <w:pPr>
              <w:snapToGrid w:val="0"/>
              <w:jc w:val="center"/>
            </w:pPr>
            <w:r>
              <w:rPr>
                <w:rFonts w:ascii="宋体" w:hAnsi="宋体" w:eastAsia="宋体"/>
                <w:sz w:val="16"/>
              </w:rPr>
              <w:t>其中：当年财政拨款</w:t>
            </w:r>
          </w:p>
        </w:tc>
        <w:tc>
          <w:tcPr>
            <w:tcW w:w="5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37BA">
            <w:pPr>
              <w:snapToGrid w:val="0"/>
              <w:jc w:val="center"/>
            </w:pPr>
            <w:r>
              <w:rPr>
                <w:rFonts w:ascii="宋体" w:hAnsi="宋体" w:eastAsia="宋体"/>
                <w:sz w:val="16"/>
              </w:rPr>
              <w:t>0.00</w:t>
            </w:r>
          </w:p>
        </w:tc>
        <w:tc>
          <w:tcPr>
            <w:tcW w:w="10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DC0D6">
            <w:pPr>
              <w:snapToGrid w:val="0"/>
              <w:jc w:val="center"/>
            </w:pPr>
            <w:r>
              <w:rPr>
                <w:rFonts w:ascii="宋体" w:hAnsi="宋体" w:eastAsia="宋体"/>
                <w:sz w:val="16"/>
              </w:rPr>
              <w:t>0.00</w:t>
            </w:r>
          </w:p>
        </w:tc>
        <w:tc>
          <w:tcPr>
            <w:tcW w:w="72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8822">
            <w:pPr>
              <w:snapToGrid w:val="0"/>
              <w:jc w:val="center"/>
            </w:pPr>
            <w:r>
              <w:rPr>
                <w:rFonts w:ascii="宋体" w:hAnsi="宋体" w:eastAsia="宋体"/>
                <w:sz w:val="16"/>
              </w:rPr>
              <w:t>0.00</w:t>
            </w:r>
          </w:p>
        </w:tc>
        <w:tc>
          <w:tcPr>
            <w:tcW w:w="58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7F03">
            <w:pPr>
              <w:snapToGrid w:val="0"/>
              <w:jc w:val="center"/>
            </w:pPr>
            <w:r>
              <w:rPr>
                <w:rFonts w:ascii="宋体" w:hAnsi="宋体" w:eastAsia="宋体"/>
                <w:sz w:val="16"/>
              </w:rPr>
              <w:t>—</w:t>
            </w:r>
          </w:p>
        </w:tc>
        <w:tc>
          <w:tcPr>
            <w:tcW w:w="62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71A63">
            <w:pPr>
              <w:snapToGrid w:val="0"/>
              <w:jc w:val="center"/>
            </w:pPr>
            <w:r>
              <w:rPr>
                <w:rFonts w:ascii="宋体" w:hAnsi="宋体" w:eastAsia="宋体"/>
                <w:sz w:val="16"/>
              </w:rPr>
              <w:t>—</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76AB45AD">
            <w:pPr>
              <w:snapToGrid w:val="0"/>
              <w:jc w:val="center"/>
            </w:pPr>
            <w:r>
              <w:rPr>
                <w:rFonts w:ascii="宋体" w:hAnsi="宋体" w:eastAsia="宋体"/>
                <w:sz w:val="16"/>
              </w:rPr>
              <w:t>—</w:t>
            </w:r>
          </w:p>
        </w:tc>
      </w:tr>
      <w:tr w14:paraId="19A9D6DE">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2A7828D4">
            <w:pPr>
              <w:snapToGrid w:val="0"/>
            </w:pPr>
          </w:p>
        </w:tc>
        <w:tc>
          <w:tcPr>
            <w:tcW w:w="46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B1EFB">
            <w:pPr>
              <w:snapToGrid w:val="0"/>
              <w:jc w:val="center"/>
            </w:pPr>
            <w:r>
              <w:rPr>
                <w:rFonts w:ascii="宋体" w:hAnsi="宋体" w:eastAsia="宋体"/>
                <w:sz w:val="16"/>
              </w:rPr>
              <w:t xml:space="preserve">  其他资金</w:t>
            </w:r>
          </w:p>
        </w:tc>
        <w:tc>
          <w:tcPr>
            <w:tcW w:w="5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49E3F">
            <w:pPr>
              <w:snapToGrid w:val="0"/>
              <w:jc w:val="center"/>
            </w:pPr>
            <w:r>
              <w:rPr>
                <w:rFonts w:ascii="宋体" w:hAnsi="宋体" w:eastAsia="宋体"/>
                <w:sz w:val="16"/>
              </w:rPr>
              <w:t>300.00</w:t>
            </w:r>
          </w:p>
        </w:tc>
        <w:tc>
          <w:tcPr>
            <w:tcW w:w="107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F175">
            <w:pPr>
              <w:snapToGrid w:val="0"/>
              <w:jc w:val="center"/>
            </w:pPr>
            <w:r>
              <w:rPr>
                <w:rFonts w:ascii="宋体" w:hAnsi="宋体" w:eastAsia="宋体"/>
                <w:sz w:val="16"/>
              </w:rPr>
              <w:t>347.08</w:t>
            </w:r>
          </w:p>
        </w:tc>
        <w:tc>
          <w:tcPr>
            <w:tcW w:w="72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46B08">
            <w:pPr>
              <w:snapToGrid w:val="0"/>
              <w:jc w:val="center"/>
            </w:pPr>
            <w:r>
              <w:rPr>
                <w:rFonts w:ascii="宋体" w:hAnsi="宋体" w:eastAsia="宋体"/>
                <w:sz w:val="16"/>
              </w:rPr>
              <w:t>347.08</w:t>
            </w:r>
          </w:p>
        </w:tc>
        <w:tc>
          <w:tcPr>
            <w:tcW w:w="58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2B9F5">
            <w:pPr>
              <w:snapToGrid w:val="0"/>
              <w:jc w:val="center"/>
            </w:pPr>
            <w:r>
              <w:rPr>
                <w:rFonts w:ascii="宋体" w:hAnsi="宋体" w:eastAsia="宋体"/>
                <w:sz w:val="16"/>
              </w:rPr>
              <w:t>—</w:t>
            </w:r>
          </w:p>
        </w:tc>
        <w:tc>
          <w:tcPr>
            <w:tcW w:w="62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48436">
            <w:pPr>
              <w:snapToGrid w:val="0"/>
              <w:jc w:val="center"/>
            </w:pPr>
            <w:r>
              <w:rPr>
                <w:rFonts w:ascii="宋体" w:hAnsi="宋体" w:eastAsia="宋体"/>
                <w:sz w:val="16"/>
              </w:rPr>
              <w:t>—</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39D036C2">
            <w:pPr>
              <w:snapToGrid w:val="0"/>
              <w:jc w:val="center"/>
            </w:pPr>
            <w:r>
              <w:rPr>
                <w:rFonts w:ascii="宋体" w:hAnsi="宋体" w:eastAsia="宋体"/>
                <w:sz w:val="16"/>
              </w:rPr>
              <w:t>—</w:t>
            </w:r>
          </w:p>
        </w:tc>
      </w:tr>
      <w:tr w14:paraId="68FAE145">
        <w:tblPrEx>
          <w:tblCellMar>
            <w:top w:w="40" w:type="dxa"/>
            <w:left w:w="64" w:type="dxa"/>
            <w:bottom w:w="40" w:type="dxa"/>
            <w:right w:w="64" w:type="dxa"/>
          </w:tblCellMar>
        </w:tblPrEx>
        <w:trPr>
          <w:trHeight w:val="0" w:hRule="atLeast"/>
          <w:jc w:val="center"/>
        </w:trPr>
        <w:tc>
          <w:tcPr>
            <w:tcW w:w="30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B9512">
            <w:pPr>
              <w:snapToGrid w:val="0"/>
              <w:jc w:val="center"/>
            </w:pPr>
            <w:r>
              <w:rPr>
                <w:rFonts w:ascii="宋体" w:hAnsi="宋体" w:eastAsia="宋体"/>
                <w:sz w:val="16"/>
              </w:rPr>
              <w:t>年度总体目标</w:t>
            </w:r>
          </w:p>
        </w:tc>
        <w:tc>
          <w:tcPr>
            <w:tcW w:w="2090"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6CDB83">
            <w:pPr>
              <w:snapToGrid w:val="0"/>
              <w:jc w:val="center"/>
            </w:pPr>
            <w:r>
              <w:rPr>
                <w:rFonts w:ascii="宋体" w:hAnsi="宋体" w:eastAsia="宋体"/>
                <w:sz w:val="16"/>
              </w:rPr>
              <w:t>预期目标</w:t>
            </w:r>
          </w:p>
        </w:tc>
        <w:tc>
          <w:tcPr>
            <w:tcW w:w="2608"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516EB">
            <w:pPr>
              <w:snapToGrid w:val="0"/>
              <w:jc w:val="center"/>
            </w:pPr>
            <w:r>
              <w:rPr>
                <w:rFonts w:ascii="宋体" w:hAnsi="宋体" w:eastAsia="宋体"/>
                <w:sz w:val="16"/>
              </w:rPr>
              <w:t>实际完成情况</w:t>
            </w:r>
          </w:p>
        </w:tc>
      </w:tr>
      <w:tr w14:paraId="65B663AF">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4EAD764B">
            <w:pPr>
              <w:snapToGrid w:val="0"/>
            </w:pPr>
          </w:p>
        </w:tc>
        <w:tc>
          <w:tcPr>
            <w:tcW w:w="2090"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D138D6">
            <w:pPr>
              <w:snapToGrid w:val="0"/>
              <w:jc w:val="both"/>
            </w:pPr>
            <w:r>
              <w:rPr>
                <w:rFonts w:ascii="宋体" w:hAnsi="宋体" w:eastAsia="宋体"/>
                <w:sz w:val="16"/>
              </w:rPr>
              <w:t>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p>
        </w:tc>
        <w:tc>
          <w:tcPr>
            <w:tcW w:w="2608"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C8111">
            <w:pPr>
              <w:snapToGrid w:val="0"/>
              <w:jc w:val="both"/>
            </w:pPr>
            <w:r>
              <w:rPr>
                <w:rFonts w:ascii="宋体" w:hAnsi="宋体" w:eastAsia="宋体"/>
                <w:sz w:val="16"/>
              </w:rPr>
              <w:t>完成了对工作人员工资发放32人；工资发放12次；完成购买专用材料12次；开展特色医疗服务，提高医疗服务质量，满足人民群众的基本医疗卫生服务需求，推动基层医疗卫生事业的持续发展，保障了城乡居民的基本医疗需求，提升了慢性病预防和管理水平，改善了人民群众的健康状况。保障单位人员发放工资福利支出及公用经费正常运转支出，并确保人员工资和社保足额发放及缴纳。</w:t>
            </w:r>
          </w:p>
        </w:tc>
      </w:tr>
      <w:tr w14:paraId="4B6351DE">
        <w:tblPrEx>
          <w:tblCellMar>
            <w:top w:w="40" w:type="dxa"/>
            <w:left w:w="64" w:type="dxa"/>
            <w:bottom w:w="40" w:type="dxa"/>
            <w:right w:w="64" w:type="dxa"/>
          </w:tblCellMar>
        </w:tblPrEx>
        <w:trPr>
          <w:trHeight w:val="0" w:hRule="atLeast"/>
          <w:jc w:val="center"/>
        </w:trPr>
        <w:tc>
          <w:tcPr>
            <w:tcW w:w="300" w:type="pct"/>
            <w:tcBorders>
              <w:top w:val="single" w:color="auto" w:sz="10" w:space="0"/>
              <w:left w:val="single" w:color="auto" w:sz="10" w:space="0"/>
              <w:bottom w:val="single" w:color="auto" w:sz="10" w:space="0"/>
              <w:right w:val="single" w:color="auto" w:sz="10" w:space="0"/>
              <w:insideV w:val="single" w:sz="10" w:space="0"/>
            </w:tcBorders>
          </w:tcPr>
          <w:p w14:paraId="56516530">
            <w:pPr>
              <w:snapToGrid w:val="0"/>
            </w:pPr>
          </w:p>
        </w:tc>
        <w:tc>
          <w:tcPr>
            <w:tcW w:w="219" w:type="pct"/>
            <w:tcBorders>
              <w:top w:val="single" w:color="auto" w:sz="10" w:space="0"/>
              <w:left w:val="single" w:color="auto" w:sz="10" w:space="0"/>
              <w:bottom w:val="single" w:color="auto" w:sz="10" w:space="0"/>
              <w:right w:val="single" w:color="auto" w:sz="10" w:space="0"/>
              <w:insideV w:val="single" w:sz="10" w:space="0"/>
            </w:tcBorders>
            <w:vAlign w:val="center"/>
          </w:tcPr>
          <w:p w14:paraId="06311274">
            <w:pPr>
              <w:snapToGrid w:val="0"/>
              <w:jc w:val="center"/>
            </w:pPr>
            <w:r>
              <w:rPr>
                <w:rFonts w:ascii="宋体" w:hAnsi="宋体" w:eastAsia="宋体"/>
                <w:sz w:val="16"/>
              </w:rPr>
              <w:t>一级指标</w:t>
            </w:r>
          </w:p>
        </w:tc>
        <w:tc>
          <w:tcPr>
            <w:tcW w:w="247" w:type="pct"/>
            <w:tcBorders>
              <w:top w:val="single" w:color="auto" w:sz="10" w:space="0"/>
              <w:left w:val="single" w:color="auto" w:sz="10" w:space="0"/>
              <w:bottom w:val="single" w:color="auto" w:sz="10" w:space="0"/>
              <w:right w:val="single" w:color="auto" w:sz="10" w:space="0"/>
              <w:insideV w:val="single" w:sz="10" w:space="0"/>
            </w:tcBorders>
            <w:vAlign w:val="center"/>
          </w:tcPr>
          <w:p w14:paraId="3EAFE4BF">
            <w:pPr>
              <w:snapToGrid w:val="0"/>
              <w:jc w:val="center"/>
            </w:pPr>
            <w:r>
              <w:rPr>
                <w:rFonts w:ascii="宋体" w:hAnsi="宋体" w:eastAsia="宋体"/>
                <w:sz w:val="16"/>
              </w:rPr>
              <w:t>二级指标</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15CDB315">
            <w:pPr>
              <w:snapToGrid w:val="0"/>
              <w:jc w:val="center"/>
            </w:pPr>
            <w:r>
              <w:rPr>
                <w:rFonts w:ascii="宋体" w:hAnsi="宋体" w:eastAsia="宋体"/>
                <w:sz w:val="16"/>
              </w:rPr>
              <w:t>三级指标</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590A7990">
            <w:pPr>
              <w:snapToGrid w:val="0"/>
              <w:jc w:val="center"/>
            </w:pPr>
            <w:r>
              <w:rPr>
                <w:rFonts w:ascii="宋体" w:hAnsi="宋体" w:eastAsia="宋体"/>
                <w:sz w:val="16"/>
              </w:rPr>
              <w:t>权重</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7EACFED2">
            <w:pPr>
              <w:snapToGrid w:val="0"/>
              <w:jc w:val="center"/>
            </w:pPr>
            <w:r>
              <w:rPr>
                <w:rFonts w:ascii="宋体" w:hAnsi="宋体" w:eastAsia="宋体"/>
                <w:sz w:val="16"/>
              </w:rPr>
              <w:t>目标值</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22314305">
            <w:pPr>
              <w:snapToGrid w:val="0"/>
              <w:jc w:val="center"/>
            </w:pPr>
            <w:r>
              <w:rPr>
                <w:rFonts w:ascii="宋体" w:hAnsi="宋体" w:eastAsia="宋体"/>
                <w:sz w:val="16"/>
              </w:rPr>
              <w:t>业绩值</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50CC3354">
            <w:pPr>
              <w:snapToGrid w:val="0"/>
              <w:jc w:val="center"/>
            </w:pPr>
            <w:r>
              <w:rPr>
                <w:rFonts w:ascii="宋体" w:hAnsi="宋体" w:eastAsia="宋体"/>
                <w:sz w:val="16"/>
              </w:rPr>
              <w:t>完成率</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24E49A5F">
            <w:pPr>
              <w:snapToGrid w:val="0"/>
              <w:jc w:val="center"/>
            </w:pPr>
            <w:r>
              <w:rPr>
                <w:rFonts w:ascii="宋体" w:hAnsi="宋体" w:eastAsia="宋体"/>
                <w:sz w:val="16"/>
              </w:rPr>
              <w:t>得分</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22FB4568">
            <w:pPr>
              <w:snapToGrid w:val="0"/>
              <w:jc w:val="center"/>
            </w:pPr>
            <w:r>
              <w:rPr>
                <w:rFonts w:ascii="宋体" w:hAnsi="宋体" w:eastAsia="宋体"/>
                <w:sz w:val="16"/>
              </w:rPr>
              <w:t>指标值设定依据</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7FB71932">
            <w:pPr>
              <w:snapToGrid w:val="0"/>
              <w:jc w:val="center"/>
            </w:pPr>
            <w:r>
              <w:rPr>
                <w:rFonts w:ascii="宋体" w:hAnsi="宋体" w:eastAsia="宋体"/>
                <w:sz w:val="16"/>
              </w:rPr>
              <w:t>上年完成情况</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2D479AD5">
            <w:pPr>
              <w:snapToGrid w:val="0"/>
              <w:jc w:val="center"/>
            </w:pPr>
            <w:r>
              <w:rPr>
                <w:rFonts w:ascii="宋体" w:hAnsi="宋体" w:eastAsia="宋体"/>
                <w:sz w:val="16"/>
              </w:rPr>
              <w:t>赋分规则</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05E6CE0F">
            <w:pPr>
              <w:snapToGrid w:val="0"/>
              <w:jc w:val="center"/>
            </w:pPr>
            <w:r>
              <w:rPr>
                <w:rFonts w:ascii="宋体" w:hAnsi="宋体" w:eastAsia="宋体"/>
                <w:sz w:val="16"/>
              </w:rPr>
              <w:t>佐证资料</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67F21300">
            <w:pPr>
              <w:snapToGrid w:val="0"/>
              <w:jc w:val="center"/>
            </w:pPr>
            <w:r>
              <w:rPr>
                <w:rFonts w:ascii="宋体" w:hAnsi="宋体" w:eastAsia="宋体"/>
                <w:sz w:val="16"/>
              </w:rPr>
              <w:t>偏差原因分析及改进措施</w:t>
            </w:r>
          </w:p>
        </w:tc>
      </w:tr>
      <w:tr w14:paraId="03B5D6A0">
        <w:tblPrEx>
          <w:tblCellMar>
            <w:top w:w="40" w:type="dxa"/>
            <w:left w:w="64" w:type="dxa"/>
            <w:bottom w:w="40" w:type="dxa"/>
            <w:right w:w="64" w:type="dxa"/>
          </w:tblCellMar>
        </w:tblPrEx>
        <w:trPr>
          <w:trHeight w:val="0" w:hRule="atLeast"/>
          <w:jc w:val="center"/>
        </w:trPr>
        <w:tc>
          <w:tcPr>
            <w:tcW w:w="30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D06D0">
            <w:pPr>
              <w:snapToGrid w:val="0"/>
              <w:jc w:val="center"/>
            </w:pPr>
            <w:r>
              <w:rPr>
                <w:rFonts w:ascii="宋体" w:hAnsi="宋体" w:eastAsia="宋体"/>
                <w:sz w:val="16"/>
              </w:rPr>
              <w:t>年度绩效指标完成情况</w:t>
            </w:r>
          </w:p>
        </w:tc>
        <w:tc>
          <w:tcPr>
            <w:tcW w:w="21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A8207">
            <w:pPr>
              <w:snapToGrid w:val="0"/>
              <w:jc w:val="center"/>
            </w:pPr>
            <w:r>
              <w:rPr>
                <w:rFonts w:ascii="宋体" w:hAnsi="宋体" w:eastAsia="宋体"/>
                <w:sz w:val="16"/>
              </w:rPr>
              <w:t>产出指标</w:t>
            </w:r>
          </w:p>
        </w:tc>
        <w:tc>
          <w:tcPr>
            <w:tcW w:w="24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E6AA3">
            <w:pPr>
              <w:snapToGrid w:val="0"/>
              <w:jc w:val="center"/>
            </w:pPr>
            <w:r>
              <w:rPr>
                <w:rFonts w:ascii="宋体" w:hAnsi="宋体" w:eastAsia="宋体"/>
                <w:sz w:val="16"/>
              </w:rPr>
              <w:t>数量指标</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2EE359D9">
            <w:pPr>
              <w:snapToGrid w:val="0"/>
              <w:jc w:val="center"/>
            </w:pPr>
            <w:r>
              <w:rPr>
                <w:rFonts w:ascii="宋体" w:hAnsi="宋体" w:eastAsia="宋体"/>
                <w:sz w:val="16"/>
              </w:rPr>
              <w:t>保障工作人员人数</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08A3D992">
            <w:pPr>
              <w:snapToGrid w:val="0"/>
              <w:jc w:val="center"/>
            </w:pPr>
            <w:r>
              <w:rPr>
                <w:rFonts w:ascii="宋体" w:hAnsi="宋体" w:eastAsia="宋体"/>
                <w:sz w:val="16"/>
              </w:rPr>
              <w:t>5</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2647A08B">
            <w:pPr>
              <w:snapToGrid w:val="0"/>
              <w:jc w:val="center"/>
            </w:pPr>
            <w:r>
              <w:rPr>
                <w:rFonts w:ascii="宋体" w:hAnsi="宋体" w:eastAsia="宋体"/>
                <w:sz w:val="16"/>
              </w:rPr>
              <w:t>&gt;=32人</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5A8E856D">
            <w:pPr>
              <w:snapToGrid w:val="0"/>
              <w:jc w:val="center"/>
            </w:pPr>
            <w:r>
              <w:rPr>
                <w:rFonts w:ascii="宋体" w:hAnsi="宋体" w:eastAsia="宋体"/>
                <w:sz w:val="16"/>
              </w:rPr>
              <w:t>32人</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313CD1C3">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52059F5A">
            <w:pPr>
              <w:snapToGrid w:val="0"/>
              <w:jc w:val="center"/>
            </w:pPr>
            <w:r>
              <w:rPr>
                <w:rFonts w:ascii="宋体" w:hAnsi="宋体" w:eastAsia="宋体"/>
                <w:sz w:val="16"/>
              </w:rPr>
              <w:t>5</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132FFC97">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06822094">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6692D03B">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59F03B2C">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52F74C9E">
            <w:pPr>
              <w:snapToGrid w:val="0"/>
              <w:jc w:val="center"/>
            </w:pPr>
          </w:p>
        </w:tc>
      </w:tr>
      <w:tr w14:paraId="51CC9FF6">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328A8657">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1FFCBE8F">
            <w:pPr>
              <w:snapToGrid w:val="0"/>
            </w:pPr>
          </w:p>
        </w:tc>
        <w:tc>
          <w:tcPr>
            <w:tcW w:w="247" w:type="pct"/>
            <w:vMerge w:val="continue"/>
            <w:tcBorders>
              <w:top w:val="single" w:color="auto" w:sz="10" w:space="0"/>
              <w:left w:val="single" w:color="auto" w:sz="10" w:space="0"/>
              <w:bottom w:val="single" w:color="auto" w:sz="10" w:space="0"/>
              <w:right w:val="single" w:color="auto" w:sz="10" w:space="0"/>
              <w:insideV w:val="single" w:sz="10" w:space="0"/>
            </w:tcBorders>
          </w:tcPr>
          <w:p w14:paraId="5A0E03C4">
            <w:pPr>
              <w:snapToGrid w:val="0"/>
            </w:pP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289341AC">
            <w:pPr>
              <w:snapToGrid w:val="0"/>
              <w:jc w:val="center"/>
            </w:pPr>
            <w:r>
              <w:rPr>
                <w:rFonts w:ascii="宋体" w:hAnsi="宋体" w:eastAsia="宋体"/>
                <w:sz w:val="16"/>
              </w:rPr>
              <w:t>工资发放次数</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35226FCC">
            <w:pPr>
              <w:snapToGrid w:val="0"/>
              <w:jc w:val="center"/>
            </w:pPr>
            <w:r>
              <w:rPr>
                <w:rFonts w:ascii="宋体" w:hAnsi="宋体" w:eastAsia="宋体"/>
                <w:sz w:val="16"/>
              </w:rPr>
              <w:t>5</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26983B1C">
            <w:pPr>
              <w:snapToGrid w:val="0"/>
              <w:jc w:val="center"/>
            </w:pPr>
            <w:r>
              <w:rPr>
                <w:rFonts w:ascii="宋体" w:hAnsi="宋体" w:eastAsia="宋体"/>
                <w:sz w:val="16"/>
              </w:rPr>
              <w:t>=12次</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5C1D4692">
            <w:pPr>
              <w:snapToGrid w:val="0"/>
              <w:jc w:val="center"/>
            </w:pPr>
            <w:r>
              <w:rPr>
                <w:rFonts w:ascii="宋体" w:hAnsi="宋体" w:eastAsia="宋体"/>
                <w:sz w:val="16"/>
              </w:rPr>
              <w:t>12次</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59C036B7">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698A7C28">
            <w:pPr>
              <w:snapToGrid w:val="0"/>
              <w:jc w:val="center"/>
            </w:pPr>
            <w:r>
              <w:rPr>
                <w:rFonts w:ascii="宋体" w:hAnsi="宋体" w:eastAsia="宋体"/>
                <w:sz w:val="16"/>
              </w:rPr>
              <w:t>5</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343AA11B">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17DEA73B">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1F988182">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097090A3">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60A3F03B">
            <w:pPr>
              <w:snapToGrid w:val="0"/>
              <w:jc w:val="center"/>
            </w:pPr>
          </w:p>
        </w:tc>
      </w:tr>
      <w:tr w14:paraId="453E3EFD">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58055C95">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05532E25">
            <w:pPr>
              <w:snapToGrid w:val="0"/>
            </w:pPr>
          </w:p>
        </w:tc>
        <w:tc>
          <w:tcPr>
            <w:tcW w:w="247" w:type="pct"/>
            <w:vMerge w:val="continue"/>
            <w:tcBorders>
              <w:top w:val="single" w:color="auto" w:sz="10" w:space="0"/>
              <w:left w:val="single" w:color="auto" w:sz="10" w:space="0"/>
              <w:bottom w:val="single" w:color="auto" w:sz="10" w:space="0"/>
              <w:right w:val="single" w:color="auto" w:sz="10" w:space="0"/>
              <w:insideV w:val="single" w:sz="10" w:space="0"/>
            </w:tcBorders>
          </w:tcPr>
          <w:p w14:paraId="7C7658DB">
            <w:pPr>
              <w:snapToGrid w:val="0"/>
            </w:pP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7560567B">
            <w:pPr>
              <w:snapToGrid w:val="0"/>
              <w:jc w:val="center"/>
            </w:pPr>
            <w:r>
              <w:rPr>
                <w:rFonts w:ascii="宋体" w:hAnsi="宋体" w:eastAsia="宋体"/>
                <w:sz w:val="16"/>
              </w:rPr>
              <w:t>购买专用材料批次</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71A8F5CF">
            <w:pPr>
              <w:snapToGrid w:val="0"/>
              <w:jc w:val="center"/>
            </w:pPr>
            <w:r>
              <w:rPr>
                <w:rFonts w:ascii="宋体" w:hAnsi="宋体" w:eastAsia="宋体"/>
                <w:sz w:val="16"/>
              </w:rPr>
              <w:t>6</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5FBBB339">
            <w:pPr>
              <w:snapToGrid w:val="0"/>
              <w:jc w:val="center"/>
            </w:pPr>
            <w:r>
              <w:rPr>
                <w:rFonts w:ascii="宋体" w:hAnsi="宋体" w:eastAsia="宋体"/>
                <w:sz w:val="16"/>
              </w:rPr>
              <w:t>&gt;=11次</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4421E70F">
            <w:pPr>
              <w:snapToGrid w:val="0"/>
              <w:jc w:val="center"/>
            </w:pPr>
            <w:r>
              <w:rPr>
                <w:rFonts w:ascii="宋体" w:hAnsi="宋体" w:eastAsia="宋体"/>
                <w:sz w:val="16"/>
              </w:rPr>
              <w:t>12次</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5DC6926B">
            <w:pPr>
              <w:snapToGrid w:val="0"/>
              <w:jc w:val="center"/>
            </w:pPr>
            <w:r>
              <w:rPr>
                <w:rFonts w:ascii="宋体" w:hAnsi="宋体" w:eastAsia="宋体"/>
                <w:sz w:val="16"/>
              </w:rPr>
              <w:t>109.09%</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18F01FD5">
            <w:pPr>
              <w:snapToGrid w:val="0"/>
              <w:jc w:val="center"/>
            </w:pPr>
            <w:r>
              <w:rPr>
                <w:rFonts w:ascii="宋体" w:hAnsi="宋体" w:eastAsia="宋体"/>
                <w:sz w:val="16"/>
              </w:rPr>
              <w:t>6</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295A2EC7">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77CC4975">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4657D548">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34D90247">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681A2740">
            <w:pPr>
              <w:snapToGrid w:val="0"/>
              <w:jc w:val="center"/>
            </w:pPr>
            <w:r>
              <w:rPr>
                <w:rFonts w:ascii="宋体" w:hAnsi="宋体" w:eastAsia="宋体"/>
                <w:sz w:val="16"/>
              </w:rPr>
              <w:t>2024年药品实际采购按月完成共计12次。</w:t>
            </w:r>
          </w:p>
        </w:tc>
      </w:tr>
      <w:tr w14:paraId="18E58D6C">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7D8E11D8">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0DD52961">
            <w:pPr>
              <w:snapToGrid w:val="0"/>
            </w:pPr>
          </w:p>
        </w:tc>
        <w:tc>
          <w:tcPr>
            <w:tcW w:w="24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D8222">
            <w:pPr>
              <w:snapToGrid w:val="0"/>
              <w:jc w:val="center"/>
            </w:pPr>
            <w:r>
              <w:rPr>
                <w:rFonts w:ascii="宋体" w:hAnsi="宋体" w:eastAsia="宋体"/>
                <w:sz w:val="16"/>
              </w:rPr>
              <w:t>质量指标</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1C7596F4">
            <w:pPr>
              <w:snapToGrid w:val="0"/>
              <w:jc w:val="center"/>
            </w:pPr>
            <w:r>
              <w:rPr>
                <w:rFonts w:ascii="宋体" w:hAnsi="宋体" w:eastAsia="宋体"/>
                <w:sz w:val="16"/>
              </w:rPr>
              <w:t>工资发放准确率</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2CA737EF">
            <w:pPr>
              <w:snapToGrid w:val="0"/>
              <w:jc w:val="center"/>
            </w:pPr>
            <w:r>
              <w:rPr>
                <w:rFonts w:ascii="宋体" w:hAnsi="宋体" w:eastAsia="宋体"/>
                <w:sz w:val="16"/>
              </w:rPr>
              <w:t>6</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060125B9">
            <w:pPr>
              <w:snapToGrid w:val="0"/>
              <w:jc w:val="center"/>
            </w:pPr>
            <w:r>
              <w:rPr>
                <w:rFonts w:ascii="宋体" w:hAnsi="宋体" w:eastAsia="宋体"/>
                <w:sz w:val="16"/>
              </w:rPr>
              <w:t>=100%</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5E5E6924">
            <w:pPr>
              <w:snapToGrid w:val="0"/>
              <w:jc w:val="center"/>
            </w:pPr>
            <w:r>
              <w:rPr>
                <w:rFonts w:ascii="宋体" w:hAnsi="宋体" w:eastAsia="宋体"/>
                <w:sz w:val="16"/>
              </w:rPr>
              <w:t>100%</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06621529">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6146F3F6">
            <w:pPr>
              <w:snapToGrid w:val="0"/>
              <w:jc w:val="center"/>
            </w:pPr>
            <w:r>
              <w:rPr>
                <w:rFonts w:ascii="宋体" w:hAnsi="宋体" w:eastAsia="宋体"/>
                <w:sz w:val="16"/>
              </w:rPr>
              <w:t>6</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67441D8C">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36BC7FEF">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45E3B3D1">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1D9E285A">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0C285E10">
            <w:pPr>
              <w:snapToGrid w:val="0"/>
              <w:jc w:val="center"/>
            </w:pPr>
          </w:p>
        </w:tc>
      </w:tr>
      <w:tr w14:paraId="58B03BFC">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65983EB3">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098C3DDF">
            <w:pPr>
              <w:snapToGrid w:val="0"/>
            </w:pPr>
          </w:p>
        </w:tc>
        <w:tc>
          <w:tcPr>
            <w:tcW w:w="247" w:type="pct"/>
            <w:vMerge w:val="continue"/>
            <w:tcBorders>
              <w:top w:val="single" w:color="auto" w:sz="10" w:space="0"/>
              <w:left w:val="single" w:color="auto" w:sz="10" w:space="0"/>
              <w:bottom w:val="single" w:color="auto" w:sz="10" w:space="0"/>
              <w:right w:val="single" w:color="auto" w:sz="10" w:space="0"/>
              <w:insideV w:val="single" w:sz="10" w:space="0"/>
            </w:tcBorders>
          </w:tcPr>
          <w:p w14:paraId="5C5AEB4A">
            <w:pPr>
              <w:snapToGrid w:val="0"/>
            </w:pP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135F6F79">
            <w:pPr>
              <w:snapToGrid w:val="0"/>
              <w:jc w:val="center"/>
            </w:pPr>
            <w:r>
              <w:rPr>
                <w:rFonts w:ascii="宋体" w:hAnsi="宋体" w:eastAsia="宋体"/>
                <w:sz w:val="16"/>
              </w:rPr>
              <w:t>购买专用材料质量合格率</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5C5C2654">
            <w:pPr>
              <w:snapToGrid w:val="0"/>
              <w:jc w:val="center"/>
            </w:pPr>
            <w:r>
              <w:rPr>
                <w:rFonts w:ascii="宋体" w:hAnsi="宋体" w:eastAsia="宋体"/>
                <w:sz w:val="16"/>
              </w:rPr>
              <w:t>6</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1563BC95">
            <w:pPr>
              <w:snapToGrid w:val="0"/>
              <w:jc w:val="center"/>
            </w:pPr>
            <w:r>
              <w:rPr>
                <w:rFonts w:ascii="宋体" w:hAnsi="宋体" w:eastAsia="宋体"/>
                <w:sz w:val="16"/>
              </w:rPr>
              <w:t>=100%</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22AC2C93">
            <w:pPr>
              <w:snapToGrid w:val="0"/>
              <w:jc w:val="center"/>
            </w:pPr>
            <w:r>
              <w:rPr>
                <w:rFonts w:ascii="宋体" w:hAnsi="宋体" w:eastAsia="宋体"/>
                <w:sz w:val="16"/>
              </w:rPr>
              <w:t>100%</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367DA347">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4E053318">
            <w:pPr>
              <w:snapToGrid w:val="0"/>
              <w:jc w:val="center"/>
            </w:pPr>
            <w:r>
              <w:rPr>
                <w:rFonts w:ascii="宋体" w:hAnsi="宋体" w:eastAsia="宋体"/>
                <w:sz w:val="16"/>
              </w:rPr>
              <w:t>6</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066E8944">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2330E63D">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6CA288D7">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14040DAF">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2AD41BAC">
            <w:pPr>
              <w:snapToGrid w:val="0"/>
              <w:jc w:val="center"/>
            </w:pPr>
          </w:p>
        </w:tc>
      </w:tr>
      <w:tr w14:paraId="54AAC03C">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02C7DBC8">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49D4D041">
            <w:pPr>
              <w:snapToGrid w:val="0"/>
            </w:pPr>
          </w:p>
        </w:tc>
        <w:tc>
          <w:tcPr>
            <w:tcW w:w="24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40D18">
            <w:pPr>
              <w:snapToGrid w:val="0"/>
              <w:jc w:val="center"/>
            </w:pPr>
            <w:r>
              <w:rPr>
                <w:rFonts w:ascii="宋体" w:hAnsi="宋体" w:eastAsia="宋体"/>
                <w:sz w:val="16"/>
              </w:rPr>
              <w:t>时效指标</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47604BCB">
            <w:pPr>
              <w:snapToGrid w:val="0"/>
              <w:jc w:val="center"/>
            </w:pPr>
            <w:r>
              <w:rPr>
                <w:rFonts w:ascii="宋体" w:hAnsi="宋体" w:eastAsia="宋体"/>
                <w:sz w:val="16"/>
              </w:rPr>
              <w:t>资金支付及时率</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51B9D75F">
            <w:pPr>
              <w:snapToGrid w:val="0"/>
              <w:jc w:val="center"/>
            </w:pPr>
            <w:r>
              <w:rPr>
                <w:rFonts w:ascii="宋体" w:hAnsi="宋体" w:eastAsia="宋体"/>
                <w:sz w:val="16"/>
              </w:rPr>
              <w:t>6</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56BB3659">
            <w:pPr>
              <w:snapToGrid w:val="0"/>
              <w:jc w:val="center"/>
            </w:pPr>
            <w:r>
              <w:rPr>
                <w:rFonts w:ascii="宋体" w:hAnsi="宋体" w:eastAsia="宋体"/>
                <w:sz w:val="16"/>
              </w:rPr>
              <w:t>&gt;=95%</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79821F28">
            <w:pPr>
              <w:snapToGrid w:val="0"/>
              <w:jc w:val="center"/>
            </w:pPr>
            <w:r>
              <w:rPr>
                <w:rFonts w:ascii="宋体" w:hAnsi="宋体" w:eastAsia="宋体"/>
                <w:sz w:val="16"/>
              </w:rPr>
              <w:t>100%</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443A784B">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0E49529F">
            <w:pPr>
              <w:snapToGrid w:val="0"/>
              <w:jc w:val="center"/>
            </w:pPr>
            <w:r>
              <w:rPr>
                <w:rFonts w:ascii="宋体" w:hAnsi="宋体" w:eastAsia="宋体"/>
                <w:sz w:val="16"/>
              </w:rPr>
              <w:t>6</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50516E6E">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47B9138B">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1332BB39">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0F4116DE">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51444726">
            <w:pPr>
              <w:snapToGrid w:val="0"/>
              <w:jc w:val="center"/>
            </w:pPr>
          </w:p>
        </w:tc>
      </w:tr>
      <w:tr w14:paraId="0D87F727">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172F06D7">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76AA124E">
            <w:pPr>
              <w:snapToGrid w:val="0"/>
            </w:pPr>
          </w:p>
        </w:tc>
        <w:tc>
          <w:tcPr>
            <w:tcW w:w="247" w:type="pct"/>
            <w:vMerge w:val="continue"/>
            <w:tcBorders>
              <w:top w:val="single" w:color="auto" w:sz="10" w:space="0"/>
              <w:left w:val="single" w:color="auto" w:sz="10" w:space="0"/>
              <w:bottom w:val="single" w:color="auto" w:sz="10" w:space="0"/>
              <w:right w:val="single" w:color="auto" w:sz="10" w:space="0"/>
              <w:insideV w:val="single" w:sz="10" w:space="0"/>
            </w:tcBorders>
          </w:tcPr>
          <w:p w14:paraId="428F1275">
            <w:pPr>
              <w:snapToGrid w:val="0"/>
            </w:pP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693F5014">
            <w:pPr>
              <w:snapToGrid w:val="0"/>
              <w:jc w:val="center"/>
            </w:pPr>
            <w:r>
              <w:rPr>
                <w:rFonts w:ascii="宋体" w:hAnsi="宋体" w:eastAsia="宋体"/>
                <w:sz w:val="16"/>
              </w:rPr>
              <w:t>购买专用材料完成时间</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0D5448E4">
            <w:pPr>
              <w:snapToGrid w:val="0"/>
              <w:jc w:val="center"/>
            </w:pPr>
            <w:r>
              <w:rPr>
                <w:rFonts w:ascii="宋体" w:hAnsi="宋体" w:eastAsia="宋体"/>
                <w:sz w:val="16"/>
              </w:rPr>
              <w:t>6</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1B06DC9F">
            <w:pPr>
              <w:snapToGrid w:val="0"/>
              <w:jc w:val="center"/>
            </w:pPr>
            <w:r>
              <w:rPr>
                <w:rFonts w:ascii="宋体" w:hAnsi="宋体" w:eastAsia="宋体"/>
                <w:sz w:val="16"/>
              </w:rPr>
              <w:t>&lt;=2024年12月25日</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7F8B412C">
            <w:pPr>
              <w:snapToGrid w:val="0"/>
              <w:jc w:val="center"/>
            </w:pPr>
            <w:r>
              <w:rPr>
                <w:rFonts w:ascii="宋体" w:hAnsi="宋体" w:eastAsia="宋体"/>
                <w:sz w:val="16"/>
              </w:rPr>
              <w:t>2024年12月25日</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70396943">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0CA1CFBA">
            <w:pPr>
              <w:snapToGrid w:val="0"/>
              <w:jc w:val="center"/>
            </w:pPr>
            <w:r>
              <w:rPr>
                <w:rFonts w:ascii="宋体" w:hAnsi="宋体" w:eastAsia="宋体"/>
                <w:sz w:val="16"/>
              </w:rPr>
              <w:t>6</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6477ED11">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07573C19">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7BE9D6B0">
            <w:pPr>
              <w:snapToGrid w:val="0"/>
              <w:jc w:val="center"/>
            </w:pPr>
            <w:r>
              <w:rPr>
                <w:rFonts w:ascii="宋体" w:hAnsi="宋体" w:eastAsia="宋体"/>
                <w:sz w:val="16"/>
              </w:rPr>
              <w:t>按评判等级赋分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37669641">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2AC4F678">
            <w:pPr>
              <w:snapToGrid w:val="0"/>
              <w:jc w:val="center"/>
            </w:pPr>
          </w:p>
        </w:tc>
      </w:tr>
      <w:tr w14:paraId="7DC70659">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33BE89AC">
            <w:pPr>
              <w:snapToGrid w:val="0"/>
            </w:pPr>
          </w:p>
        </w:tc>
        <w:tc>
          <w:tcPr>
            <w:tcW w:w="21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372AA">
            <w:pPr>
              <w:snapToGrid w:val="0"/>
              <w:jc w:val="center"/>
            </w:pPr>
            <w:r>
              <w:rPr>
                <w:rFonts w:ascii="宋体" w:hAnsi="宋体" w:eastAsia="宋体"/>
                <w:sz w:val="16"/>
              </w:rPr>
              <w:t>成本指标</w:t>
            </w:r>
          </w:p>
        </w:tc>
        <w:tc>
          <w:tcPr>
            <w:tcW w:w="24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88B46">
            <w:pPr>
              <w:snapToGrid w:val="0"/>
              <w:jc w:val="center"/>
            </w:pPr>
            <w:r>
              <w:rPr>
                <w:rFonts w:ascii="宋体" w:hAnsi="宋体" w:eastAsia="宋体"/>
                <w:sz w:val="16"/>
              </w:rPr>
              <w:t>经济成本指标</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1EBD8105">
            <w:pPr>
              <w:snapToGrid w:val="0"/>
              <w:jc w:val="center"/>
            </w:pPr>
            <w:r>
              <w:rPr>
                <w:rFonts w:ascii="宋体" w:hAnsi="宋体" w:eastAsia="宋体"/>
                <w:sz w:val="16"/>
              </w:rPr>
              <w:t>人均工资金额</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4B6316D5">
            <w:pPr>
              <w:snapToGrid w:val="0"/>
              <w:jc w:val="center"/>
            </w:pPr>
            <w:r>
              <w:rPr>
                <w:rFonts w:ascii="宋体" w:hAnsi="宋体" w:eastAsia="宋体"/>
                <w:sz w:val="16"/>
              </w:rPr>
              <w:t>7</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2862AB5D">
            <w:pPr>
              <w:snapToGrid w:val="0"/>
              <w:jc w:val="center"/>
            </w:pPr>
            <w:r>
              <w:rPr>
                <w:rFonts w:ascii="宋体" w:hAnsi="宋体" w:eastAsia="宋体"/>
                <w:sz w:val="16"/>
              </w:rPr>
              <w:t>&lt;=2154.17元/月</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7F47D158">
            <w:pPr>
              <w:snapToGrid w:val="0"/>
              <w:jc w:val="center"/>
            </w:pPr>
            <w:r>
              <w:rPr>
                <w:rFonts w:ascii="宋体" w:hAnsi="宋体" w:eastAsia="宋体"/>
                <w:sz w:val="16"/>
              </w:rPr>
              <w:t>2154.17元/月</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670DE79B">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4D03BF5D">
            <w:pPr>
              <w:snapToGrid w:val="0"/>
              <w:jc w:val="center"/>
            </w:pPr>
            <w:r>
              <w:rPr>
                <w:rFonts w:ascii="宋体" w:hAnsi="宋体" w:eastAsia="宋体"/>
                <w:sz w:val="16"/>
              </w:rPr>
              <w:t>7</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35319C3A">
            <w:pPr>
              <w:snapToGrid w:val="0"/>
              <w:jc w:val="center"/>
            </w:pPr>
            <w:r>
              <w:rPr>
                <w:rFonts w:ascii="宋体" w:hAnsi="宋体" w:eastAsia="宋体"/>
                <w:sz w:val="16"/>
              </w:rPr>
              <w:t>预算支出标准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429D4FCF">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69CCF1F2">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7248F384">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751A7065">
            <w:pPr>
              <w:snapToGrid w:val="0"/>
              <w:jc w:val="center"/>
            </w:pPr>
          </w:p>
        </w:tc>
      </w:tr>
      <w:tr w14:paraId="1122772E">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4C1E28D6">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0C1B918B">
            <w:pPr>
              <w:snapToGrid w:val="0"/>
            </w:pPr>
          </w:p>
        </w:tc>
        <w:tc>
          <w:tcPr>
            <w:tcW w:w="247" w:type="pct"/>
            <w:vMerge w:val="continue"/>
            <w:tcBorders>
              <w:top w:val="single" w:color="auto" w:sz="10" w:space="0"/>
              <w:left w:val="single" w:color="auto" w:sz="10" w:space="0"/>
              <w:bottom w:val="single" w:color="auto" w:sz="10" w:space="0"/>
              <w:right w:val="single" w:color="auto" w:sz="10" w:space="0"/>
              <w:insideV w:val="single" w:sz="10" w:space="0"/>
            </w:tcBorders>
          </w:tcPr>
          <w:p w14:paraId="09C2A079">
            <w:pPr>
              <w:snapToGrid w:val="0"/>
            </w:pP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5F527098">
            <w:pPr>
              <w:snapToGrid w:val="0"/>
              <w:jc w:val="center"/>
            </w:pPr>
            <w:r>
              <w:rPr>
                <w:rFonts w:ascii="宋体" w:hAnsi="宋体" w:eastAsia="宋体"/>
                <w:sz w:val="16"/>
              </w:rPr>
              <w:t>购买专用材料金额</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35D51C82">
            <w:pPr>
              <w:snapToGrid w:val="0"/>
              <w:jc w:val="center"/>
            </w:pPr>
            <w:r>
              <w:rPr>
                <w:rFonts w:ascii="宋体" w:hAnsi="宋体" w:eastAsia="宋体"/>
                <w:sz w:val="16"/>
              </w:rPr>
              <w:t>7</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4BB16990">
            <w:pPr>
              <w:snapToGrid w:val="0"/>
              <w:jc w:val="center"/>
            </w:pPr>
            <w:r>
              <w:rPr>
                <w:rFonts w:ascii="宋体" w:hAnsi="宋体" w:eastAsia="宋体"/>
                <w:sz w:val="16"/>
              </w:rPr>
              <w:t>&lt;=218.99万元</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22FED088">
            <w:pPr>
              <w:snapToGrid w:val="0"/>
              <w:jc w:val="center"/>
            </w:pPr>
            <w:r>
              <w:rPr>
                <w:rFonts w:ascii="宋体" w:hAnsi="宋体" w:eastAsia="宋体"/>
                <w:sz w:val="16"/>
              </w:rPr>
              <w:t>218.99万元</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316D7DCA">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14E25CFA">
            <w:pPr>
              <w:snapToGrid w:val="0"/>
              <w:jc w:val="center"/>
            </w:pPr>
            <w:r>
              <w:rPr>
                <w:rFonts w:ascii="宋体" w:hAnsi="宋体" w:eastAsia="宋体"/>
                <w:sz w:val="16"/>
              </w:rPr>
              <w:t>7</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0A50BA73">
            <w:pPr>
              <w:snapToGrid w:val="0"/>
              <w:jc w:val="center"/>
            </w:pPr>
            <w:r>
              <w:rPr>
                <w:rFonts w:ascii="宋体" w:hAnsi="宋体" w:eastAsia="宋体"/>
                <w:sz w:val="16"/>
              </w:rPr>
              <w:t>预算支出标准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61FBEDF5">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5D598D7D">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1E49CE1F">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64149F8C">
            <w:pPr>
              <w:snapToGrid w:val="0"/>
              <w:jc w:val="center"/>
            </w:pPr>
          </w:p>
        </w:tc>
      </w:tr>
      <w:tr w14:paraId="63F2A2D9">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4397B29F">
            <w:pPr>
              <w:snapToGrid w:val="0"/>
            </w:pPr>
          </w:p>
        </w:tc>
        <w:tc>
          <w:tcPr>
            <w:tcW w:w="219" w:type="pct"/>
            <w:vMerge w:val="continue"/>
            <w:tcBorders>
              <w:top w:val="single" w:color="auto" w:sz="10" w:space="0"/>
              <w:left w:val="single" w:color="auto" w:sz="10" w:space="0"/>
              <w:bottom w:val="single" w:color="auto" w:sz="10" w:space="0"/>
              <w:right w:val="single" w:color="auto" w:sz="10" w:space="0"/>
              <w:insideV w:val="single" w:sz="10" w:space="0"/>
            </w:tcBorders>
          </w:tcPr>
          <w:p w14:paraId="2E4F356A">
            <w:pPr>
              <w:snapToGrid w:val="0"/>
            </w:pPr>
          </w:p>
        </w:tc>
        <w:tc>
          <w:tcPr>
            <w:tcW w:w="247" w:type="pct"/>
            <w:vMerge w:val="continue"/>
            <w:tcBorders>
              <w:top w:val="single" w:color="auto" w:sz="10" w:space="0"/>
              <w:left w:val="single" w:color="auto" w:sz="10" w:space="0"/>
              <w:bottom w:val="single" w:color="auto" w:sz="10" w:space="0"/>
              <w:right w:val="single" w:color="auto" w:sz="10" w:space="0"/>
              <w:insideV w:val="single" w:sz="10" w:space="0"/>
            </w:tcBorders>
          </w:tcPr>
          <w:p w14:paraId="36F549E4">
            <w:pPr>
              <w:snapToGrid w:val="0"/>
            </w:pP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7E102229">
            <w:pPr>
              <w:snapToGrid w:val="0"/>
              <w:jc w:val="center"/>
            </w:pPr>
            <w:r>
              <w:rPr>
                <w:rFonts w:ascii="宋体" w:hAnsi="宋体" w:eastAsia="宋体"/>
                <w:sz w:val="16"/>
              </w:rPr>
              <w:t>运转经费金额</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75055F80">
            <w:pPr>
              <w:snapToGrid w:val="0"/>
              <w:jc w:val="center"/>
            </w:pPr>
            <w:r>
              <w:rPr>
                <w:rFonts w:ascii="宋体" w:hAnsi="宋体" w:eastAsia="宋体"/>
                <w:sz w:val="16"/>
              </w:rPr>
              <w:t>6</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7F59E50B">
            <w:pPr>
              <w:snapToGrid w:val="0"/>
              <w:jc w:val="center"/>
            </w:pPr>
            <w:r>
              <w:rPr>
                <w:rFonts w:ascii="宋体" w:hAnsi="宋体" w:eastAsia="宋体"/>
                <w:sz w:val="16"/>
              </w:rPr>
              <w:t>&lt;=45.37万元</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0908F9E7">
            <w:pPr>
              <w:snapToGrid w:val="0"/>
              <w:jc w:val="center"/>
            </w:pPr>
            <w:r>
              <w:rPr>
                <w:rFonts w:ascii="宋体" w:hAnsi="宋体" w:eastAsia="宋体"/>
                <w:sz w:val="16"/>
              </w:rPr>
              <w:t>45.37万元</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4DADC4C7">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2953DE8B">
            <w:pPr>
              <w:snapToGrid w:val="0"/>
              <w:jc w:val="center"/>
            </w:pPr>
            <w:r>
              <w:rPr>
                <w:rFonts w:ascii="宋体" w:hAnsi="宋体" w:eastAsia="宋体"/>
                <w:sz w:val="16"/>
              </w:rPr>
              <w:t>6</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29A21C9C">
            <w:pPr>
              <w:snapToGrid w:val="0"/>
              <w:jc w:val="center"/>
            </w:pPr>
            <w:r>
              <w:rPr>
                <w:rFonts w:ascii="宋体" w:hAnsi="宋体" w:eastAsia="宋体"/>
                <w:sz w:val="16"/>
              </w:rPr>
              <w:t>预算支出标准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6B802A99">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78C10FF3">
            <w:pPr>
              <w:snapToGrid w:val="0"/>
              <w:jc w:val="center"/>
            </w:pPr>
            <w:r>
              <w:rPr>
                <w:rFonts w:ascii="宋体" w:hAnsi="宋体" w:eastAsia="宋体"/>
                <w:sz w:val="16"/>
              </w:rPr>
              <w:t>按照完成比例赋分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18D203A4">
            <w:pPr>
              <w:snapToGrid w:val="0"/>
              <w:jc w:val="center"/>
            </w:pPr>
            <w:r>
              <w:rPr>
                <w:rFonts w:ascii="宋体" w:hAnsi="宋体" w:eastAsia="宋体"/>
                <w:sz w:val="16"/>
              </w:rPr>
              <w:t>原始凭证</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485EACE9">
            <w:pPr>
              <w:snapToGrid w:val="0"/>
              <w:jc w:val="center"/>
            </w:pPr>
          </w:p>
        </w:tc>
      </w:tr>
      <w:tr w14:paraId="49B31A65">
        <w:tblPrEx>
          <w:tblCellMar>
            <w:top w:w="40" w:type="dxa"/>
            <w:left w:w="64" w:type="dxa"/>
            <w:bottom w:w="40" w:type="dxa"/>
            <w:right w:w="64" w:type="dxa"/>
          </w:tblCellMar>
        </w:tblPrEx>
        <w:trPr>
          <w:trHeight w:val="0" w:hRule="atLeast"/>
          <w:jc w:val="center"/>
        </w:trPr>
        <w:tc>
          <w:tcPr>
            <w:tcW w:w="300" w:type="pct"/>
            <w:vMerge w:val="continue"/>
            <w:tcBorders>
              <w:top w:val="single" w:color="auto" w:sz="10" w:space="0"/>
              <w:left w:val="single" w:color="auto" w:sz="10" w:space="0"/>
              <w:bottom w:val="single" w:color="auto" w:sz="10" w:space="0"/>
              <w:right w:val="single" w:color="auto" w:sz="10" w:space="0"/>
              <w:insideV w:val="single" w:sz="10" w:space="0"/>
            </w:tcBorders>
          </w:tcPr>
          <w:p w14:paraId="7C534FA1">
            <w:pPr>
              <w:snapToGrid w:val="0"/>
            </w:pPr>
          </w:p>
        </w:tc>
        <w:tc>
          <w:tcPr>
            <w:tcW w:w="219" w:type="pct"/>
            <w:tcBorders>
              <w:top w:val="single" w:color="auto" w:sz="10" w:space="0"/>
              <w:left w:val="single" w:color="auto" w:sz="10" w:space="0"/>
              <w:bottom w:val="single" w:color="auto" w:sz="10" w:space="0"/>
              <w:right w:val="single" w:color="auto" w:sz="10" w:space="0"/>
              <w:insideV w:val="single" w:sz="10" w:space="0"/>
            </w:tcBorders>
            <w:vAlign w:val="center"/>
          </w:tcPr>
          <w:p w14:paraId="6F3CF30A">
            <w:pPr>
              <w:snapToGrid w:val="0"/>
              <w:jc w:val="center"/>
            </w:pPr>
            <w:r>
              <w:rPr>
                <w:rFonts w:ascii="宋体" w:hAnsi="宋体" w:eastAsia="宋体"/>
                <w:sz w:val="16"/>
              </w:rPr>
              <w:t>效益指标</w:t>
            </w:r>
          </w:p>
        </w:tc>
        <w:tc>
          <w:tcPr>
            <w:tcW w:w="247" w:type="pct"/>
            <w:tcBorders>
              <w:top w:val="single" w:color="auto" w:sz="10" w:space="0"/>
              <w:left w:val="single" w:color="auto" w:sz="10" w:space="0"/>
              <w:bottom w:val="single" w:color="auto" w:sz="10" w:space="0"/>
              <w:right w:val="single" w:color="auto" w:sz="10" w:space="0"/>
              <w:insideV w:val="single" w:sz="10" w:space="0"/>
            </w:tcBorders>
            <w:vAlign w:val="center"/>
          </w:tcPr>
          <w:p w14:paraId="5513B3B3">
            <w:pPr>
              <w:snapToGrid w:val="0"/>
              <w:jc w:val="center"/>
            </w:pPr>
            <w:r>
              <w:rPr>
                <w:rFonts w:ascii="宋体" w:hAnsi="宋体" w:eastAsia="宋体"/>
                <w:sz w:val="16"/>
              </w:rPr>
              <w:t>社会效益指标</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40847E7A">
            <w:pPr>
              <w:snapToGrid w:val="0"/>
              <w:jc w:val="center"/>
            </w:pPr>
            <w:r>
              <w:rPr>
                <w:rFonts w:ascii="宋体" w:hAnsi="宋体" w:eastAsia="宋体"/>
                <w:sz w:val="16"/>
              </w:rPr>
              <w:t>提高医疗服务能力</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74C9BC4F">
            <w:pPr>
              <w:snapToGrid w:val="0"/>
              <w:jc w:val="center"/>
            </w:pPr>
            <w:r>
              <w:rPr>
                <w:rFonts w:ascii="宋体" w:hAnsi="宋体" w:eastAsia="宋体"/>
                <w:sz w:val="16"/>
              </w:rPr>
              <w:t>30</w:t>
            </w:r>
          </w:p>
        </w:tc>
        <w:tc>
          <w:tcPr>
            <w:tcW w:w="584" w:type="pct"/>
            <w:tcBorders>
              <w:top w:val="single" w:color="auto" w:sz="10" w:space="0"/>
              <w:left w:val="single" w:color="auto" w:sz="10" w:space="0"/>
              <w:bottom w:val="single" w:color="auto" w:sz="10" w:space="0"/>
              <w:right w:val="single" w:color="auto" w:sz="10" w:space="0"/>
              <w:insideV w:val="single" w:sz="10" w:space="0"/>
            </w:tcBorders>
            <w:vAlign w:val="center"/>
          </w:tcPr>
          <w:p w14:paraId="511C2BA0">
            <w:pPr>
              <w:snapToGrid w:val="0"/>
              <w:jc w:val="center"/>
            </w:pPr>
            <w:r>
              <w:rPr>
                <w:rFonts w:ascii="宋体" w:hAnsi="宋体" w:eastAsia="宋体"/>
                <w:sz w:val="16"/>
              </w:rPr>
              <w:t>有效提高</w:t>
            </w:r>
          </w:p>
        </w:tc>
        <w:tc>
          <w:tcPr>
            <w:tcW w:w="487" w:type="pct"/>
            <w:tcBorders>
              <w:top w:val="single" w:color="auto" w:sz="10" w:space="0"/>
              <w:left w:val="single" w:color="auto" w:sz="10" w:space="0"/>
              <w:bottom w:val="single" w:color="auto" w:sz="10" w:space="0"/>
              <w:right w:val="single" w:color="auto" w:sz="10" w:space="0"/>
              <w:insideV w:val="single" w:sz="10" w:space="0"/>
            </w:tcBorders>
            <w:vAlign w:val="center"/>
          </w:tcPr>
          <w:p w14:paraId="705C767F">
            <w:pPr>
              <w:snapToGrid w:val="0"/>
              <w:jc w:val="center"/>
            </w:pPr>
            <w:r>
              <w:rPr>
                <w:rFonts w:ascii="宋体" w:hAnsi="宋体" w:eastAsia="宋体"/>
                <w:sz w:val="16"/>
              </w:rPr>
              <w:t>显著提高</w:t>
            </w:r>
          </w:p>
        </w:tc>
        <w:tc>
          <w:tcPr>
            <w:tcW w:w="440" w:type="pct"/>
            <w:tcBorders>
              <w:top w:val="single" w:color="auto" w:sz="10" w:space="0"/>
              <w:left w:val="single" w:color="auto" w:sz="10" w:space="0"/>
              <w:bottom w:val="single" w:color="auto" w:sz="10" w:space="0"/>
              <w:right w:val="single" w:color="auto" w:sz="10" w:space="0"/>
              <w:insideV w:val="single" w:sz="10" w:space="0"/>
            </w:tcBorders>
            <w:vAlign w:val="center"/>
          </w:tcPr>
          <w:p w14:paraId="04270AEE">
            <w:pPr>
              <w:snapToGrid w:val="0"/>
              <w:jc w:val="center"/>
            </w:pPr>
            <w:r>
              <w:rPr>
                <w:rFonts w:ascii="宋体" w:hAnsi="宋体" w:eastAsia="宋体"/>
                <w:sz w:val="16"/>
              </w:rPr>
              <w:t>100%</w:t>
            </w: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53B345F9">
            <w:pPr>
              <w:snapToGrid w:val="0"/>
              <w:jc w:val="center"/>
            </w:pPr>
            <w:r>
              <w:rPr>
                <w:rFonts w:ascii="宋体" w:hAnsi="宋体" w:eastAsia="宋体"/>
                <w:sz w:val="16"/>
              </w:rPr>
              <w:t>30</w:t>
            </w:r>
          </w:p>
        </w:tc>
        <w:tc>
          <w:tcPr>
            <w:tcW w:w="303" w:type="pct"/>
            <w:tcBorders>
              <w:top w:val="single" w:color="auto" w:sz="10" w:space="0"/>
              <w:left w:val="single" w:color="auto" w:sz="10" w:space="0"/>
              <w:bottom w:val="single" w:color="auto" w:sz="10" w:space="0"/>
              <w:right w:val="single" w:color="auto" w:sz="10" w:space="0"/>
              <w:insideV w:val="single" w:sz="10" w:space="0"/>
            </w:tcBorders>
            <w:vAlign w:val="center"/>
          </w:tcPr>
          <w:p w14:paraId="055CC1B3">
            <w:pPr>
              <w:snapToGrid w:val="0"/>
              <w:jc w:val="center"/>
            </w:pPr>
            <w:r>
              <w:rPr>
                <w:rFonts w:ascii="宋体" w:hAnsi="宋体" w:eastAsia="宋体"/>
                <w:sz w:val="16"/>
              </w:rPr>
              <w:t>计划标准</w:t>
            </w:r>
          </w:p>
        </w:tc>
        <w:tc>
          <w:tcPr>
            <w:tcW w:w="284" w:type="pct"/>
            <w:tcBorders>
              <w:top w:val="single" w:color="auto" w:sz="10" w:space="0"/>
              <w:left w:val="single" w:color="auto" w:sz="10" w:space="0"/>
              <w:bottom w:val="single" w:color="auto" w:sz="10" w:space="0"/>
              <w:right w:val="single" w:color="auto" w:sz="10" w:space="0"/>
              <w:insideV w:val="single" w:sz="10" w:space="0"/>
            </w:tcBorders>
            <w:vAlign w:val="center"/>
          </w:tcPr>
          <w:p w14:paraId="13181333">
            <w:pPr>
              <w:snapToGrid w:val="0"/>
              <w:jc w:val="center"/>
            </w:pPr>
            <w:r>
              <w:rPr>
                <w:rFonts w:ascii="宋体" w:hAnsi="宋体" w:eastAsia="宋体"/>
                <w:sz w:val="16"/>
              </w:rPr>
              <w:t>-</w:t>
            </w:r>
          </w:p>
        </w:tc>
        <w:tc>
          <w:tcPr>
            <w:tcW w:w="367" w:type="pct"/>
            <w:tcBorders>
              <w:top w:val="single" w:color="auto" w:sz="10" w:space="0"/>
              <w:left w:val="single" w:color="auto" w:sz="10" w:space="0"/>
              <w:bottom w:val="single" w:color="auto" w:sz="10" w:space="0"/>
              <w:right w:val="single" w:color="auto" w:sz="10" w:space="0"/>
              <w:insideV w:val="single" w:sz="10" w:space="0"/>
            </w:tcBorders>
            <w:vAlign w:val="center"/>
          </w:tcPr>
          <w:p w14:paraId="13090B10">
            <w:pPr>
              <w:snapToGrid w:val="0"/>
              <w:jc w:val="center"/>
            </w:pPr>
            <w:r>
              <w:rPr>
                <w:rFonts w:ascii="宋体" w:hAnsi="宋体" w:eastAsia="宋体"/>
                <w:sz w:val="16"/>
              </w:rPr>
              <w:t>按评判等级赋分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09E84807">
            <w:pPr>
              <w:snapToGrid w:val="0"/>
              <w:jc w:val="center"/>
            </w:pPr>
            <w:r>
              <w:rPr>
                <w:rFonts w:ascii="宋体" w:hAnsi="宋体" w:eastAsia="宋体"/>
                <w:sz w:val="16"/>
              </w:rPr>
              <w:t>工作资料</w:t>
            </w:r>
          </w:p>
        </w:tc>
        <w:tc>
          <w:tcPr>
            <w:tcW w:w="665" w:type="pct"/>
            <w:tcBorders>
              <w:top w:val="single" w:color="auto" w:sz="10" w:space="0"/>
              <w:left w:val="single" w:color="auto" w:sz="10" w:space="0"/>
              <w:bottom w:val="single" w:color="auto" w:sz="10" w:space="0"/>
              <w:right w:val="single" w:color="auto" w:sz="10" w:space="0"/>
              <w:insideV w:val="single" w:sz="10" w:space="0"/>
            </w:tcBorders>
            <w:vAlign w:val="center"/>
          </w:tcPr>
          <w:p w14:paraId="0ACA7175">
            <w:pPr>
              <w:snapToGrid w:val="0"/>
              <w:jc w:val="center"/>
            </w:pPr>
          </w:p>
        </w:tc>
      </w:tr>
      <w:tr w14:paraId="4ED29EEE">
        <w:tblPrEx>
          <w:tblCellMar>
            <w:top w:w="40" w:type="dxa"/>
            <w:left w:w="64" w:type="dxa"/>
            <w:bottom w:w="40" w:type="dxa"/>
            <w:right w:w="64" w:type="dxa"/>
          </w:tblCellMar>
        </w:tblPrEx>
        <w:trPr>
          <w:trHeight w:val="0" w:hRule="atLeast"/>
          <w:jc w:val="center"/>
        </w:trPr>
        <w:tc>
          <w:tcPr>
            <w:tcW w:w="1090"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3CC5BD">
            <w:pPr>
              <w:snapToGrid w:val="0"/>
              <w:jc w:val="center"/>
            </w:pPr>
            <w:r>
              <w:rPr>
                <w:rFonts w:ascii="宋体" w:hAnsi="宋体" w:eastAsia="宋体"/>
                <w:sz w:val="16"/>
              </w:rPr>
              <w:t>总分</w:t>
            </w:r>
          </w:p>
        </w:tc>
        <w:tc>
          <w:tcPr>
            <w:tcW w:w="230" w:type="pct"/>
            <w:tcBorders>
              <w:top w:val="single" w:color="auto" w:sz="10" w:space="0"/>
              <w:left w:val="single" w:color="auto" w:sz="10" w:space="0"/>
              <w:bottom w:val="single" w:color="auto" w:sz="10" w:space="0"/>
              <w:right w:val="single" w:color="auto" w:sz="10" w:space="0"/>
              <w:insideV w:val="single" w:sz="10" w:space="0"/>
            </w:tcBorders>
            <w:vAlign w:val="center"/>
          </w:tcPr>
          <w:p w14:paraId="18336DC0">
            <w:pPr>
              <w:snapToGrid w:val="0"/>
              <w:jc w:val="center"/>
            </w:pPr>
            <w:r>
              <w:rPr>
                <w:rFonts w:ascii="宋体" w:hAnsi="宋体" w:eastAsia="宋体"/>
                <w:sz w:val="16"/>
              </w:rPr>
              <w:t>100</w:t>
            </w:r>
          </w:p>
        </w:tc>
        <w:tc>
          <w:tcPr>
            <w:tcW w:w="584" w:type="pct"/>
            <w:tcBorders>
              <w:top w:val="single" w:color="auto" w:sz="10" w:space="0"/>
              <w:left w:val="single" w:color="auto" w:sz="10" w:space="0"/>
              <w:bottom w:val="single" w:color="auto" w:sz="10" w:space="0"/>
              <w:right w:val="single" w:color="auto" w:sz="10" w:space="0"/>
              <w:insideV w:val="single" w:sz="10" w:space="0"/>
            </w:tcBorders>
          </w:tcPr>
          <w:p w14:paraId="499CF6DF">
            <w:pPr>
              <w:snapToGrid w:val="0"/>
            </w:pPr>
          </w:p>
        </w:tc>
        <w:tc>
          <w:tcPr>
            <w:tcW w:w="487" w:type="pct"/>
            <w:tcBorders>
              <w:top w:val="single" w:color="auto" w:sz="10" w:space="0"/>
              <w:left w:val="single" w:color="auto" w:sz="10" w:space="0"/>
              <w:bottom w:val="single" w:color="auto" w:sz="10" w:space="0"/>
              <w:right w:val="single" w:color="auto" w:sz="10" w:space="0"/>
              <w:insideV w:val="single" w:sz="10" w:space="0"/>
            </w:tcBorders>
          </w:tcPr>
          <w:p w14:paraId="083FB159">
            <w:pPr>
              <w:snapToGrid w:val="0"/>
            </w:pPr>
          </w:p>
        </w:tc>
        <w:tc>
          <w:tcPr>
            <w:tcW w:w="440" w:type="pct"/>
            <w:tcBorders>
              <w:top w:val="single" w:color="auto" w:sz="10" w:space="0"/>
              <w:left w:val="single" w:color="auto" w:sz="10" w:space="0"/>
              <w:bottom w:val="single" w:color="auto" w:sz="10" w:space="0"/>
              <w:right w:val="single" w:color="auto" w:sz="10" w:space="0"/>
              <w:insideV w:val="single" w:sz="10" w:space="0"/>
            </w:tcBorders>
          </w:tcPr>
          <w:p w14:paraId="5E9E67A8">
            <w:pPr>
              <w:snapToGrid w:val="0"/>
            </w:pPr>
          </w:p>
        </w:tc>
        <w:tc>
          <w:tcPr>
            <w:tcW w:w="285" w:type="pct"/>
            <w:tcBorders>
              <w:top w:val="single" w:color="auto" w:sz="10" w:space="0"/>
              <w:left w:val="single" w:color="auto" w:sz="10" w:space="0"/>
              <w:bottom w:val="single" w:color="auto" w:sz="10" w:space="0"/>
              <w:right w:val="single" w:color="auto" w:sz="10" w:space="0"/>
              <w:insideV w:val="single" w:sz="10" w:space="0"/>
            </w:tcBorders>
            <w:vAlign w:val="center"/>
          </w:tcPr>
          <w:p w14:paraId="1F7CEFF8">
            <w:pPr>
              <w:snapToGrid w:val="0"/>
              <w:jc w:val="center"/>
            </w:pPr>
            <w:r>
              <w:rPr>
                <w:rFonts w:ascii="宋体" w:hAnsi="宋体" w:eastAsia="宋体"/>
                <w:sz w:val="16"/>
              </w:rPr>
              <w:t>100分</w:t>
            </w:r>
          </w:p>
        </w:tc>
        <w:tc>
          <w:tcPr>
            <w:tcW w:w="303" w:type="pct"/>
            <w:tcBorders>
              <w:top w:val="single" w:color="auto" w:sz="10" w:space="0"/>
              <w:left w:val="single" w:color="auto" w:sz="10" w:space="0"/>
              <w:bottom w:val="single" w:color="auto" w:sz="10" w:space="0"/>
              <w:right w:val="single" w:color="auto" w:sz="10" w:space="0"/>
              <w:insideV w:val="single" w:sz="10" w:space="0"/>
            </w:tcBorders>
          </w:tcPr>
          <w:p w14:paraId="3A781993">
            <w:pPr>
              <w:snapToGrid w:val="0"/>
            </w:pPr>
          </w:p>
        </w:tc>
        <w:tc>
          <w:tcPr>
            <w:tcW w:w="284" w:type="pct"/>
            <w:tcBorders>
              <w:top w:val="single" w:color="auto" w:sz="10" w:space="0"/>
              <w:left w:val="single" w:color="auto" w:sz="10" w:space="0"/>
              <w:bottom w:val="single" w:color="auto" w:sz="10" w:space="0"/>
              <w:right w:val="single" w:color="auto" w:sz="10" w:space="0"/>
              <w:insideV w:val="single" w:sz="10" w:space="0"/>
            </w:tcBorders>
          </w:tcPr>
          <w:p w14:paraId="7E1B123F">
            <w:pPr>
              <w:snapToGrid w:val="0"/>
            </w:pPr>
          </w:p>
        </w:tc>
        <w:tc>
          <w:tcPr>
            <w:tcW w:w="367" w:type="pct"/>
            <w:tcBorders>
              <w:top w:val="single" w:color="auto" w:sz="10" w:space="0"/>
              <w:left w:val="single" w:color="auto" w:sz="10" w:space="0"/>
              <w:bottom w:val="single" w:color="auto" w:sz="10" w:space="0"/>
              <w:right w:val="single" w:color="auto" w:sz="10" w:space="0"/>
              <w:insideV w:val="single" w:sz="10" w:space="0"/>
            </w:tcBorders>
          </w:tcPr>
          <w:p w14:paraId="5E642F18">
            <w:pPr>
              <w:snapToGrid w:val="0"/>
            </w:pPr>
          </w:p>
        </w:tc>
        <w:tc>
          <w:tcPr>
            <w:tcW w:w="260" w:type="pct"/>
            <w:tcBorders>
              <w:top w:val="single" w:color="auto" w:sz="10" w:space="0"/>
              <w:left w:val="single" w:color="auto" w:sz="10" w:space="0"/>
              <w:bottom w:val="single" w:color="auto" w:sz="10" w:space="0"/>
              <w:right w:val="single" w:color="auto" w:sz="10" w:space="0"/>
              <w:insideV w:val="single" w:sz="10" w:space="0"/>
            </w:tcBorders>
          </w:tcPr>
          <w:p w14:paraId="0A7707C6">
            <w:pPr>
              <w:snapToGrid w:val="0"/>
            </w:pPr>
          </w:p>
        </w:tc>
        <w:tc>
          <w:tcPr>
            <w:tcW w:w="665" w:type="pct"/>
            <w:tcBorders>
              <w:top w:val="single" w:color="auto" w:sz="10" w:space="0"/>
              <w:left w:val="single" w:color="auto" w:sz="10" w:space="0"/>
              <w:bottom w:val="single" w:color="auto" w:sz="10" w:space="0"/>
              <w:right w:val="single" w:color="auto" w:sz="10" w:space="0"/>
              <w:insideV w:val="single" w:sz="10" w:space="0"/>
            </w:tcBorders>
          </w:tcPr>
          <w:p w14:paraId="602BC40C">
            <w:pPr>
              <w:snapToGrid w:val="0"/>
            </w:pPr>
          </w:p>
        </w:tc>
      </w:tr>
    </w:tbl>
    <w:p w14:paraId="1F273465">
      <w:r>
        <w:br w:type="page"/>
      </w:r>
    </w:p>
    <w:p w14:paraId="4F457A16">
      <w:pPr>
        <w:spacing w:line="640" w:lineRule="exact"/>
        <w:ind w:firstLine="640"/>
        <w:jc w:val="both"/>
        <w:outlineLvl w:val="2"/>
      </w:pPr>
      <w:r>
        <w:rPr>
          <w:rFonts w:ascii="黑体" w:hAnsi="黑体" w:eastAsia="黑体"/>
          <w:sz w:val="32"/>
        </w:rPr>
        <w:t>十二、其他需说明的事项</w:t>
      </w:r>
    </w:p>
    <w:p w14:paraId="1ACAFD13">
      <w:pPr>
        <w:spacing w:line="580" w:lineRule="exact"/>
        <w:ind w:firstLine="640"/>
        <w:jc w:val="both"/>
      </w:pPr>
      <w:r>
        <w:rPr>
          <w:rFonts w:ascii="仿宋_GB2312" w:hAnsi="仿宋_GB2312" w:eastAsia="仿宋_GB2312"/>
          <w:b w:val="0"/>
          <w:sz w:val="32"/>
        </w:rPr>
        <w:t>本单位无其他需说明的事项。</w:t>
      </w:r>
    </w:p>
    <w:p w14:paraId="1D60BAF6">
      <w:r>
        <w:br w:type="page"/>
      </w:r>
    </w:p>
    <w:p w14:paraId="06F6AD35">
      <w:pPr>
        <w:spacing w:line="240" w:lineRule="auto"/>
        <w:jc w:val="center"/>
        <w:outlineLvl w:val="1"/>
      </w:pPr>
      <w:r>
        <w:rPr>
          <w:rFonts w:ascii="黑体" w:hAnsi="黑体" w:eastAsia="黑体"/>
          <w:sz w:val="32"/>
        </w:rPr>
        <w:t>第三部分 专业名词解释</w:t>
      </w:r>
    </w:p>
    <w:p w14:paraId="7869F49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3A161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6D1F0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7CD172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D0BB70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A01D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D417D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13551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146A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215D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D4CAB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15AE8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F04BB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B32913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BD0C83">
      <w:r>
        <w:br w:type="page"/>
      </w:r>
    </w:p>
    <w:p w14:paraId="16E41FDB">
      <w:pPr>
        <w:spacing w:line="240" w:lineRule="auto"/>
        <w:jc w:val="center"/>
        <w:outlineLvl w:val="1"/>
      </w:pPr>
      <w:r>
        <w:rPr>
          <w:rFonts w:ascii="黑体" w:hAnsi="黑体" w:eastAsia="黑体"/>
          <w:sz w:val="32"/>
        </w:rPr>
        <w:t>第四部分 部门决算报表（见附表）</w:t>
      </w:r>
    </w:p>
    <w:p w14:paraId="431C1D5E">
      <w:pPr>
        <w:spacing w:line="240" w:lineRule="auto"/>
        <w:ind w:firstLine="640"/>
        <w:jc w:val="both"/>
      </w:pPr>
      <w:r>
        <w:rPr>
          <w:rFonts w:ascii="仿宋_GB2312" w:hAnsi="仿宋_GB2312" w:eastAsia="仿宋_GB2312"/>
          <w:b w:val="0"/>
          <w:sz w:val="32"/>
        </w:rPr>
        <w:t>一、《收入支出决算总表》</w:t>
      </w:r>
    </w:p>
    <w:p w14:paraId="489F6CCC">
      <w:pPr>
        <w:spacing w:line="240" w:lineRule="auto"/>
        <w:ind w:firstLine="640"/>
        <w:jc w:val="both"/>
      </w:pPr>
      <w:r>
        <w:rPr>
          <w:rFonts w:ascii="仿宋_GB2312" w:hAnsi="仿宋_GB2312" w:eastAsia="仿宋_GB2312"/>
          <w:b w:val="0"/>
          <w:sz w:val="32"/>
        </w:rPr>
        <w:t>二、《收入决算表》</w:t>
      </w:r>
    </w:p>
    <w:p w14:paraId="3CE6A5C8">
      <w:pPr>
        <w:spacing w:line="240" w:lineRule="auto"/>
        <w:ind w:firstLine="640"/>
        <w:jc w:val="both"/>
      </w:pPr>
      <w:r>
        <w:rPr>
          <w:rFonts w:ascii="仿宋_GB2312" w:hAnsi="仿宋_GB2312" w:eastAsia="仿宋_GB2312"/>
          <w:b w:val="0"/>
          <w:sz w:val="32"/>
        </w:rPr>
        <w:t>三、《支出决算表》</w:t>
      </w:r>
    </w:p>
    <w:p w14:paraId="55C57AEB">
      <w:pPr>
        <w:spacing w:line="240" w:lineRule="auto"/>
        <w:ind w:firstLine="640"/>
        <w:jc w:val="both"/>
      </w:pPr>
      <w:r>
        <w:rPr>
          <w:rFonts w:ascii="仿宋_GB2312" w:hAnsi="仿宋_GB2312" w:eastAsia="仿宋_GB2312"/>
          <w:b w:val="0"/>
          <w:sz w:val="32"/>
        </w:rPr>
        <w:t>四、《财政拨款收入支出决算总表》</w:t>
      </w:r>
    </w:p>
    <w:p w14:paraId="5D5AD1C5">
      <w:pPr>
        <w:spacing w:line="240" w:lineRule="auto"/>
        <w:ind w:firstLine="640"/>
        <w:jc w:val="both"/>
      </w:pPr>
      <w:r>
        <w:rPr>
          <w:rFonts w:ascii="仿宋_GB2312" w:hAnsi="仿宋_GB2312" w:eastAsia="仿宋_GB2312"/>
          <w:b w:val="0"/>
          <w:sz w:val="32"/>
        </w:rPr>
        <w:t>五、《一般公共预算财政拨款支出决算表》</w:t>
      </w:r>
    </w:p>
    <w:p w14:paraId="0A735CAA">
      <w:pPr>
        <w:spacing w:line="240" w:lineRule="auto"/>
        <w:ind w:firstLine="640"/>
        <w:jc w:val="both"/>
      </w:pPr>
      <w:r>
        <w:rPr>
          <w:rFonts w:ascii="仿宋_GB2312" w:hAnsi="仿宋_GB2312" w:eastAsia="仿宋_GB2312"/>
          <w:b w:val="0"/>
          <w:sz w:val="32"/>
        </w:rPr>
        <w:t>六、《一般公共预算财政拨款基本支出决算表》</w:t>
      </w:r>
    </w:p>
    <w:p w14:paraId="4A3B77C7">
      <w:pPr>
        <w:spacing w:line="240" w:lineRule="auto"/>
        <w:ind w:firstLine="640"/>
        <w:jc w:val="both"/>
      </w:pPr>
      <w:r>
        <w:rPr>
          <w:rFonts w:ascii="仿宋_GB2312" w:hAnsi="仿宋_GB2312" w:eastAsia="仿宋_GB2312"/>
          <w:b w:val="0"/>
          <w:sz w:val="32"/>
        </w:rPr>
        <w:t>七、《政府性基金预算财政拨款收入支出决算表》</w:t>
      </w:r>
    </w:p>
    <w:p w14:paraId="04934132">
      <w:pPr>
        <w:spacing w:line="240" w:lineRule="auto"/>
        <w:ind w:firstLine="640"/>
        <w:jc w:val="both"/>
      </w:pPr>
      <w:r>
        <w:rPr>
          <w:rFonts w:ascii="仿宋_GB2312" w:hAnsi="仿宋_GB2312" w:eastAsia="仿宋_GB2312"/>
          <w:b w:val="0"/>
          <w:sz w:val="32"/>
        </w:rPr>
        <w:t>八、《国有资本经营预算财政拨款收入支出决算表》</w:t>
      </w:r>
    </w:p>
    <w:p w14:paraId="5742C558">
      <w:pPr>
        <w:spacing w:line="240" w:lineRule="auto"/>
        <w:ind w:firstLine="640"/>
        <w:jc w:val="both"/>
      </w:pPr>
      <w:r>
        <w:rPr>
          <w:rFonts w:ascii="仿宋_GB2312" w:hAnsi="仿宋_GB2312" w:eastAsia="仿宋_GB2312"/>
          <w:b w:val="0"/>
          <w:sz w:val="32"/>
        </w:rPr>
        <w:t>九、《财政拨款“三公”经费支出决算表》</w:t>
      </w:r>
    </w:p>
    <w:p w14:paraId="25ECF0FC">
      <w:pPr>
        <w:spacing w:line="240" w:lineRule="auto"/>
        <w:ind w:firstLine="640"/>
        <w:jc w:val="both"/>
      </w:pPr>
    </w:p>
    <w:p w14:paraId="4421AF91">
      <w:pPr>
        <w:spacing w:line="240" w:lineRule="auto"/>
        <w:ind w:firstLine="640"/>
        <w:jc w:val="both"/>
      </w:pPr>
    </w:p>
    <w:p w14:paraId="27AF3287">
      <w:pPr>
        <w:spacing w:line="240" w:lineRule="auto"/>
        <w:ind w:firstLine="640"/>
        <w:jc w:val="both"/>
      </w:pPr>
    </w:p>
    <w:p w14:paraId="538FD678">
      <w:pPr>
        <w:spacing w:line="240" w:lineRule="auto"/>
        <w:ind w:firstLine="640"/>
        <w:jc w:val="both"/>
      </w:pPr>
    </w:p>
    <w:p w14:paraId="7E18F64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6">
    <w:panose1 w:val="02000000000000000000"/>
    <w:charset w:val="86"/>
    <w:family w:val="auto"/>
    <w:pitch w:val="default"/>
    <w:sig w:usb0="A00002BF" w:usb1="38CF7CFA" w:usb2="00082016" w:usb3="00000000" w:csb0="00040001" w:csb1="00000000"/>
  </w:font>
  <w:font w:name="WPSEMBED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7E30EB9"/>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3918B8"/>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6633</Words>
  <Characters>7453</Characters>
  <Lines>0</Lines>
  <Paragraphs>0</Paragraphs>
  <TotalTime>7</TotalTime>
  <ScaleCrop>false</ScaleCrop>
  <LinksUpToDate>false</LinksUpToDate>
  <CharactersWithSpaces>7461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2025-09-25T04:38:38Z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