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0D9592F">
      <w:r>
        <w:br w:type="page"/>
      </w:r>
    </w:p>
    <w:p w14:paraId="1EF90248">
      <w:pPr>
        <w:spacing w:line="640" w:lineRule="exact"/>
        <w:jc w:val="center"/>
        <w:outlineLvl w:val="1"/>
      </w:pPr>
      <w:r>
        <w:rPr>
          <w:rFonts w:ascii="黑体" w:hAnsi="黑体" w:eastAsia="黑体"/>
          <w:sz w:val="32"/>
        </w:rPr>
        <w:t>第一部分 单位概况</w:t>
      </w:r>
    </w:p>
    <w:p w14:paraId="1E0F472E">
      <w:pPr>
        <w:spacing w:line="640" w:lineRule="exact"/>
        <w:ind w:firstLine="640"/>
        <w:jc w:val="both"/>
        <w:outlineLvl w:val="2"/>
      </w:pPr>
      <w:r>
        <w:rPr>
          <w:rFonts w:ascii="黑体" w:hAnsi="黑体" w:eastAsia="黑体"/>
          <w:sz w:val="32"/>
        </w:rPr>
        <w:t>一、主要职能</w:t>
      </w:r>
    </w:p>
    <w:p w14:paraId="40AF498E">
      <w:pPr>
        <w:spacing w:line="580" w:lineRule="exact"/>
        <w:ind w:firstLine="640"/>
        <w:jc w:val="both"/>
      </w:pPr>
      <w:r>
        <w:rPr>
          <w:rFonts w:ascii="仿宋_GB2312" w:hAnsi="仿宋_GB2312" w:eastAsia="仿宋_GB2312"/>
          <w:sz w:val="32"/>
        </w:rPr>
        <w:t>霍城县公安局主要负责社会治安管理，维护社会稳定，打击违法犯罪活动的职责。</w:t>
      </w:r>
    </w:p>
    <w:p w14:paraId="7A39221B">
      <w:pPr>
        <w:spacing w:line="580" w:lineRule="exact"/>
        <w:ind w:firstLine="640"/>
        <w:jc w:val="both"/>
      </w:pPr>
      <w:r>
        <w:rPr>
          <w:rFonts w:ascii="仿宋_GB2312" w:hAnsi="仿宋_GB2312" w:eastAsia="仿宋_GB2312"/>
          <w:sz w:val="32"/>
        </w:rPr>
        <w:t>（一）负责维护国家安全和全县社会政治治安稳定。</w:t>
      </w:r>
    </w:p>
    <w:p w14:paraId="161ED5D8">
      <w:pPr>
        <w:spacing w:line="580" w:lineRule="exact"/>
        <w:ind w:firstLine="640"/>
        <w:jc w:val="both"/>
      </w:pPr>
      <w:r>
        <w:rPr>
          <w:rFonts w:ascii="仿宋_GB2312" w:hAnsi="仿宋_GB2312" w:eastAsia="仿宋_GB2312"/>
          <w:sz w:val="32"/>
        </w:rPr>
        <w:t>（二）组织、指导、监督对全县重大、特大刑事案件的侦查工作；预防和处置严重危害社会治安的聚众闹事、骚乱和重大治安灾害事故；指导、监督全县公安机关依法查处刑事、治安案件。</w:t>
      </w:r>
    </w:p>
    <w:p w14:paraId="2258B339">
      <w:pPr>
        <w:spacing w:line="580" w:lineRule="exact"/>
        <w:ind w:firstLine="640"/>
        <w:jc w:val="both"/>
      </w:pPr>
      <w:r>
        <w:rPr>
          <w:rFonts w:ascii="仿宋_GB2312" w:hAnsi="仿宋_GB2312" w:eastAsia="仿宋_GB2312"/>
          <w:sz w:val="32"/>
        </w:rPr>
        <w:t>（三）负责民用爆炸物品公共安全管理和民用爆炸物品购买、运输、储存、使用的安全监督管理，监控民用爆炸物品流向。</w:t>
      </w:r>
    </w:p>
    <w:p w14:paraId="0352EB5A">
      <w:pPr>
        <w:spacing w:line="580" w:lineRule="exact"/>
        <w:ind w:firstLine="640"/>
        <w:jc w:val="both"/>
      </w:pPr>
      <w:r>
        <w:rPr>
          <w:rFonts w:ascii="仿宋_GB2312" w:hAnsi="仿宋_GB2312" w:eastAsia="仿宋_GB2312"/>
          <w:sz w:val="32"/>
        </w:rPr>
        <w:t>（四）负责枪支弹药、管制刀具、易燃易爆、剧毒、放射性等危险物品和法律法规规定的特种行业管理工作。</w:t>
      </w:r>
    </w:p>
    <w:p w14:paraId="0984DE96">
      <w:pPr>
        <w:spacing w:line="580" w:lineRule="exact"/>
        <w:ind w:firstLine="640"/>
        <w:jc w:val="both"/>
      </w:pPr>
      <w:r>
        <w:rPr>
          <w:rFonts w:ascii="仿宋_GB2312" w:hAnsi="仿宋_GB2312" w:eastAsia="仿宋_GB2312"/>
          <w:sz w:val="32"/>
        </w:rPr>
        <w:t>（五）负责户政、居民身份证及中国公民出入境、港澳台居民、外国人在</w:t>
      </w:r>
      <w:r>
        <w:rPr>
          <w:rFonts w:hint="eastAsia" w:ascii="仿宋_GB2312" w:hAnsi="仿宋_GB2312" w:eastAsia="仿宋_GB2312"/>
          <w:sz w:val="32"/>
          <w:lang w:eastAsia="zh-CN"/>
        </w:rPr>
        <w:t>边</w:t>
      </w:r>
      <w:r>
        <w:rPr>
          <w:rFonts w:ascii="仿宋_GB2312" w:hAnsi="仿宋_GB2312" w:eastAsia="仿宋_GB2312"/>
          <w:sz w:val="32"/>
        </w:rPr>
        <w:t>境内居留、旅行等事务的管理工作。</w:t>
      </w:r>
    </w:p>
    <w:p w14:paraId="23586DE7">
      <w:pPr>
        <w:spacing w:line="580" w:lineRule="exact"/>
        <w:ind w:firstLine="640"/>
        <w:jc w:val="both"/>
      </w:pPr>
      <w:r>
        <w:rPr>
          <w:rFonts w:ascii="仿宋_GB2312" w:hAnsi="仿宋_GB2312" w:eastAsia="仿宋_GB2312"/>
          <w:sz w:val="32"/>
        </w:rPr>
        <w:t>（六）负责禁毒宣传教育、毒品管制和监督工作。</w:t>
      </w:r>
    </w:p>
    <w:p w14:paraId="116FD170">
      <w:pPr>
        <w:spacing w:line="580" w:lineRule="exact"/>
        <w:ind w:firstLine="640"/>
        <w:jc w:val="both"/>
      </w:pPr>
      <w:r>
        <w:rPr>
          <w:rFonts w:ascii="仿宋_GB2312" w:hAnsi="仿宋_GB2312" w:eastAsia="仿宋_GB2312"/>
          <w:sz w:val="32"/>
        </w:rPr>
        <w:t>（七）负责国家规定的警卫对象和重大活动的安全警卫工作。</w:t>
      </w:r>
    </w:p>
    <w:p w14:paraId="70460EC8">
      <w:pPr>
        <w:spacing w:line="580" w:lineRule="exact"/>
        <w:ind w:firstLine="640"/>
        <w:jc w:val="both"/>
      </w:pPr>
      <w:r>
        <w:rPr>
          <w:rFonts w:ascii="仿宋_GB2312" w:hAnsi="仿宋_GB2312" w:eastAsia="仿宋_GB2312"/>
          <w:sz w:val="32"/>
        </w:rPr>
        <w:t>（八）指导、监督对国家机关、社会团体、经济企事业单位、重点建设工程和大型活动的治安保卫以及群众性治安保卫组织的建设和治安防范工作；负责县直属单位内部的治安保卫工作。</w:t>
      </w:r>
    </w:p>
    <w:p w14:paraId="4D128328">
      <w:pPr>
        <w:spacing w:line="580" w:lineRule="exact"/>
        <w:ind w:firstLine="640"/>
        <w:jc w:val="both"/>
      </w:pPr>
      <w:r>
        <w:rPr>
          <w:rFonts w:ascii="仿宋_GB2312" w:hAnsi="仿宋_GB2312" w:eastAsia="仿宋_GB2312"/>
          <w:sz w:val="32"/>
        </w:rPr>
        <w:t>（九）依法管理集会、游行、示威活动。</w:t>
      </w:r>
    </w:p>
    <w:p w14:paraId="30C262C8">
      <w:pPr>
        <w:spacing w:line="580" w:lineRule="exact"/>
        <w:ind w:firstLine="640"/>
        <w:jc w:val="both"/>
      </w:pPr>
      <w:r>
        <w:rPr>
          <w:rFonts w:ascii="仿宋_GB2312" w:hAnsi="仿宋_GB2312" w:eastAsia="仿宋_GB2312"/>
          <w:sz w:val="32"/>
        </w:rPr>
        <w:t>（十）负责全县计算机信息系统的安全保卫工作和网络案件的侦查工作。</w:t>
      </w:r>
    </w:p>
    <w:p w14:paraId="018A350F">
      <w:pPr>
        <w:spacing w:line="580" w:lineRule="exact"/>
        <w:ind w:firstLine="640"/>
        <w:jc w:val="both"/>
      </w:pPr>
      <w:r>
        <w:rPr>
          <w:rFonts w:ascii="仿宋_GB2312" w:hAnsi="仿宋_GB2312" w:eastAsia="仿宋_GB2312"/>
          <w:sz w:val="32"/>
        </w:rPr>
        <w:t>（十一）指导、监督全县道路交通安全和交通秩序，处理交通事故；负责全县机动车辆和驾驶人管理工作。</w:t>
      </w:r>
    </w:p>
    <w:p w14:paraId="1A073708">
      <w:pPr>
        <w:spacing w:line="580" w:lineRule="exact"/>
        <w:ind w:firstLine="640"/>
        <w:jc w:val="both"/>
      </w:pPr>
      <w:r>
        <w:rPr>
          <w:rFonts w:ascii="仿宋_GB2312" w:hAnsi="仿宋_GB2312" w:eastAsia="仿宋_GB2312"/>
          <w:sz w:val="32"/>
        </w:rPr>
        <w:t>（十二）制定全县公安机关财务和后勤保障等警务保障标准、制度；负责指导、监督全县公安机关装备管理、经费使用和基础设施建设情况。</w:t>
      </w:r>
    </w:p>
    <w:p w14:paraId="78FDA5BD">
      <w:pPr>
        <w:spacing w:line="580" w:lineRule="exact"/>
        <w:ind w:firstLine="640"/>
        <w:jc w:val="both"/>
      </w:pPr>
      <w:r>
        <w:rPr>
          <w:rFonts w:ascii="仿宋_GB2312" w:hAnsi="仿宋_GB2312" w:eastAsia="仿宋_GB2312"/>
          <w:sz w:val="32"/>
        </w:rPr>
        <w:t>（十三）负责全县案件协调、侦破和预防处理工作，负责全县重点部位的安全防范。</w:t>
      </w:r>
    </w:p>
    <w:p w14:paraId="2BAD47E0">
      <w:pPr>
        <w:spacing w:line="580" w:lineRule="exact"/>
        <w:ind w:firstLine="640"/>
        <w:jc w:val="both"/>
      </w:pPr>
      <w:r>
        <w:rPr>
          <w:rFonts w:ascii="仿宋_GB2312" w:hAnsi="仿宋_GB2312" w:eastAsia="仿宋_GB2312"/>
          <w:sz w:val="32"/>
        </w:rPr>
        <w:t>（十四）负责预防和妥善处置突发性、群体事件和重大治安灾害事故，进行治安巡逻。</w:t>
      </w:r>
    </w:p>
    <w:p w14:paraId="5168A5E7">
      <w:pPr>
        <w:spacing w:line="580" w:lineRule="exact"/>
        <w:ind w:firstLine="640"/>
        <w:jc w:val="both"/>
      </w:pPr>
      <w:r>
        <w:rPr>
          <w:rFonts w:ascii="仿宋_GB2312" w:hAnsi="仿宋_GB2312" w:eastAsia="仿宋_GB2312"/>
          <w:sz w:val="32"/>
        </w:rPr>
        <w:t>（十五）组织实施全县公安科技工作，进行公安信息技术、刑事技术和行动技术建设。</w:t>
      </w:r>
    </w:p>
    <w:p w14:paraId="1DD8AAAB">
      <w:pPr>
        <w:spacing w:line="580" w:lineRule="exact"/>
        <w:ind w:firstLine="640"/>
        <w:jc w:val="both"/>
      </w:pPr>
      <w:r>
        <w:rPr>
          <w:rFonts w:ascii="仿宋_GB2312" w:hAnsi="仿宋_GB2312" w:eastAsia="仿宋_GB2312"/>
          <w:sz w:val="32"/>
        </w:rPr>
        <w:t>（十六）负责全县食品、药品违法案件的侦破工作。</w:t>
      </w:r>
    </w:p>
    <w:p w14:paraId="7B11671E">
      <w:pPr>
        <w:spacing w:line="580" w:lineRule="exact"/>
        <w:ind w:firstLine="640"/>
        <w:jc w:val="both"/>
      </w:pPr>
      <w:r>
        <w:rPr>
          <w:rFonts w:ascii="仿宋_GB2312" w:hAnsi="仿宋_GB2312" w:eastAsia="仿宋_GB2312"/>
          <w:sz w:val="32"/>
        </w:rPr>
        <w:t>（十七）负责指导全县石油企业的安全保卫工作；查处涉油、气治安案件、刑事案件，打击涉油、气违法犯罪活动；稽查审核石油、天然气运销工作。</w:t>
      </w:r>
    </w:p>
    <w:p w14:paraId="22498769">
      <w:pPr>
        <w:spacing w:line="580" w:lineRule="exact"/>
        <w:ind w:firstLine="640"/>
        <w:jc w:val="both"/>
      </w:pPr>
      <w:r>
        <w:rPr>
          <w:rFonts w:ascii="仿宋_GB2312" w:hAnsi="仿宋_GB2312" w:eastAsia="仿宋_GB2312"/>
          <w:sz w:val="32"/>
        </w:rPr>
        <w:t>（十八）负责全县公安队伍正规化建设。</w:t>
      </w:r>
    </w:p>
    <w:p w14:paraId="310F1AE0">
      <w:pPr>
        <w:spacing w:line="580" w:lineRule="exact"/>
        <w:ind w:firstLine="640"/>
        <w:jc w:val="both"/>
      </w:pPr>
      <w:r>
        <w:rPr>
          <w:rFonts w:ascii="仿宋_GB2312" w:hAnsi="仿宋_GB2312" w:eastAsia="仿宋_GB2312"/>
          <w:sz w:val="32"/>
        </w:rPr>
        <w:t>（十九）负责职责范围内有关行业、领域的安全生产工作监督管理。</w:t>
      </w:r>
    </w:p>
    <w:p w14:paraId="24E70895">
      <w:pPr>
        <w:spacing w:line="580" w:lineRule="exact"/>
        <w:ind w:firstLine="640"/>
        <w:jc w:val="both"/>
      </w:pPr>
      <w:r>
        <w:rPr>
          <w:rFonts w:ascii="仿宋_GB2312" w:hAnsi="仿宋_GB2312" w:eastAsia="仿宋_GB2312"/>
          <w:sz w:val="32"/>
        </w:rPr>
        <w:t>（二十）负责看守所、拘留所管理工作。</w:t>
      </w:r>
    </w:p>
    <w:p w14:paraId="596182D0">
      <w:pPr>
        <w:spacing w:line="580" w:lineRule="exact"/>
        <w:ind w:firstLine="640"/>
        <w:jc w:val="both"/>
      </w:pPr>
      <w:r>
        <w:rPr>
          <w:rFonts w:ascii="仿宋_GB2312" w:hAnsi="仿宋_GB2312" w:eastAsia="仿宋_GB2312"/>
          <w:sz w:val="32"/>
        </w:rPr>
        <w:t>（二十）完成县委、县政府交办的其他任务。</w:t>
      </w:r>
    </w:p>
    <w:p w14:paraId="4AD348DE">
      <w:pPr>
        <w:spacing w:line="640" w:lineRule="exact"/>
        <w:ind w:firstLine="640"/>
        <w:jc w:val="both"/>
        <w:outlineLvl w:val="2"/>
      </w:pPr>
      <w:r>
        <w:rPr>
          <w:rFonts w:ascii="黑体" w:hAnsi="黑体" w:eastAsia="黑体"/>
          <w:sz w:val="32"/>
        </w:rPr>
        <w:t>二、机构设置及人员情况</w:t>
      </w:r>
    </w:p>
    <w:p w14:paraId="0836DC7F">
      <w:pPr>
        <w:spacing w:line="580" w:lineRule="exact"/>
        <w:ind w:firstLine="640"/>
        <w:jc w:val="both"/>
      </w:pPr>
      <w:r>
        <w:rPr>
          <w:rFonts w:ascii="仿宋_GB2312" w:hAnsi="仿宋_GB2312" w:eastAsia="仿宋_GB2312"/>
          <w:sz w:val="32"/>
        </w:rPr>
        <w:t>本单位机构设置及人员情况SM不予公开。</w:t>
      </w:r>
    </w:p>
    <w:p w14:paraId="7378FEE8">
      <w:r>
        <w:br w:type="page"/>
      </w:r>
    </w:p>
    <w:p w14:paraId="3DD34C4B">
      <w:pPr>
        <w:spacing w:line="240" w:lineRule="auto"/>
        <w:jc w:val="center"/>
        <w:outlineLvl w:val="1"/>
      </w:pPr>
      <w:r>
        <w:rPr>
          <w:rFonts w:ascii="黑体" w:hAnsi="黑体" w:eastAsia="黑体"/>
          <w:sz w:val="32"/>
        </w:rPr>
        <w:t>第二部分 部门决算情况说明</w:t>
      </w:r>
    </w:p>
    <w:p w14:paraId="71CFC7C2">
      <w:pPr>
        <w:spacing w:line="640" w:lineRule="exact"/>
        <w:ind w:firstLine="640"/>
        <w:jc w:val="both"/>
        <w:outlineLvl w:val="2"/>
      </w:pPr>
      <w:r>
        <w:rPr>
          <w:rFonts w:ascii="黑体" w:hAnsi="黑体" w:eastAsia="黑体"/>
          <w:sz w:val="32"/>
        </w:rPr>
        <w:t>一、收入支出决算总体情况说明</w:t>
      </w:r>
    </w:p>
    <w:p w14:paraId="30E9411F">
      <w:pPr>
        <w:spacing w:line="580" w:lineRule="exact"/>
        <w:ind w:firstLine="640"/>
        <w:jc w:val="both"/>
      </w:pPr>
      <w:r>
        <w:rPr>
          <w:rFonts w:ascii="仿宋_GB2312" w:hAnsi="仿宋_GB2312" w:eastAsia="仿宋_GB2312"/>
          <w:b/>
          <w:sz w:val="32"/>
        </w:rPr>
        <w:t>2024年度收入总计22,193.93万元，</w:t>
      </w:r>
      <w:r>
        <w:rPr>
          <w:rFonts w:ascii="仿宋_GB2312" w:hAnsi="仿宋_GB2312" w:eastAsia="仿宋_GB2312"/>
          <w:b w:val="0"/>
          <w:sz w:val="32"/>
        </w:rPr>
        <w:t>其中：本年收入合计22,193.93万元，使用非财政拨款结余（含专用结余）0.00万元，年初结转和结余0.00万元。</w:t>
      </w:r>
    </w:p>
    <w:p w14:paraId="4F156F45">
      <w:pPr>
        <w:spacing w:line="580" w:lineRule="exact"/>
        <w:ind w:firstLine="640"/>
        <w:jc w:val="both"/>
      </w:pPr>
      <w:r>
        <w:rPr>
          <w:rFonts w:ascii="仿宋_GB2312" w:hAnsi="仿宋_GB2312" w:eastAsia="仿宋_GB2312"/>
          <w:b/>
          <w:sz w:val="32"/>
        </w:rPr>
        <w:t>2024年度支出总计22,193.93万元，</w:t>
      </w:r>
      <w:r>
        <w:rPr>
          <w:rFonts w:ascii="仿宋_GB2312" w:hAnsi="仿宋_GB2312" w:eastAsia="仿宋_GB2312"/>
          <w:b w:val="0"/>
          <w:sz w:val="32"/>
        </w:rPr>
        <w:t>其中：本年支出合计22,039.43万元，结余分配0.00万元，年末结转和结余154.50万元。</w:t>
      </w:r>
    </w:p>
    <w:p w14:paraId="791772B5">
      <w:pPr>
        <w:spacing w:line="580" w:lineRule="exact"/>
        <w:ind w:firstLine="640"/>
        <w:jc w:val="both"/>
        <w:rPr>
          <w:rFonts w:hint="eastAsia" w:eastAsia="仿宋_GB2312"/>
          <w:lang w:val="en-US" w:eastAsia="zh-CN"/>
        </w:rPr>
      </w:pPr>
      <w:r>
        <w:rPr>
          <w:rFonts w:ascii="仿宋_GB2312" w:hAnsi="仿宋_GB2312" w:eastAsia="仿宋_GB2312"/>
          <w:b w:val="0"/>
          <w:sz w:val="32"/>
        </w:rPr>
        <w:t>收入支出总体与上年相比，增加320.47万元，增长1.47%，主要原因是：本年</w:t>
      </w:r>
      <w:r>
        <w:rPr>
          <w:rFonts w:hint="eastAsia" w:ascii="仿宋_GB2312" w:hAnsi="仿宋_GB2312" w:eastAsia="仿宋_GB2312"/>
          <w:b w:val="0"/>
          <w:sz w:val="32"/>
          <w:lang w:val="en-US" w:eastAsia="zh-CN"/>
        </w:rPr>
        <w:t>增加援疆资金拨付用于爱国主义教育基地建设及援疆民警工作经费。</w:t>
      </w:r>
    </w:p>
    <w:p w14:paraId="0230E5AC">
      <w:pPr>
        <w:spacing w:line="640" w:lineRule="exact"/>
        <w:ind w:firstLine="640"/>
        <w:jc w:val="both"/>
        <w:outlineLvl w:val="2"/>
      </w:pPr>
      <w:r>
        <w:rPr>
          <w:rFonts w:ascii="黑体" w:hAnsi="黑体" w:eastAsia="黑体"/>
          <w:sz w:val="32"/>
        </w:rPr>
        <w:t>二、收入决算情况说明</w:t>
      </w:r>
    </w:p>
    <w:p w14:paraId="157E48A0">
      <w:pPr>
        <w:spacing w:line="580" w:lineRule="exact"/>
        <w:ind w:firstLine="640"/>
        <w:jc w:val="both"/>
      </w:pPr>
      <w:r>
        <w:rPr>
          <w:rFonts w:ascii="仿宋_GB2312" w:hAnsi="仿宋_GB2312" w:eastAsia="仿宋_GB2312"/>
          <w:b/>
          <w:sz w:val="32"/>
        </w:rPr>
        <w:t>本年收入22,193.93万元，</w:t>
      </w:r>
      <w:r>
        <w:rPr>
          <w:rFonts w:ascii="仿宋_GB2312" w:hAnsi="仿宋_GB2312" w:eastAsia="仿宋_GB2312"/>
          <w:b w:val="0"/>
          <w:sz w:val="32"/>
        </w:rPr>
        <w:t>其中：财政拨款收入21,902.43万元，占98.69%；上级补助收入0.00万元，占0.00%；事业收入0.00万元，占0.00%；经营收入0.00万元，占0.00%；附属单位上缴收入0.00万元，占0.00%；其他收入291.50万元，占1.31%。</w:t>
      </w:r>
    </w:p>
    <w:p w14:paraId="0E68E776">
      <w:pPr>
        <w:spacing w:line="640" w:lineRule="exact"/>
        <w:ind w:firstLine="640"/>
        <w:jc w:val="both"/>
        <w:outlineLvl w:val="2"/>
      </w:pPr>
      <w:r>
        <w:rPr>
          <w:rFonts w:ascii="黑体" w:hAnsi="黑体" w:eastAsia="黑体"/>
          <w:sz w:val="32"/>
        </w:rPr>
        <w:t>三、支出决算情况说明</w:t>
      </w:r>
    </w:p>
    <w:p w14:paraId="7B059954">
      <w:pPr>
        <w:spacing w:line="580" w:lineRule="exact"/>
        <w:ind w:firstLine="640"/>
        <w:jc w:val="both"/>
      </w:pPr>
      <w:r>
        <w:rPr>
          <w:rFonts w:ascii="仿宋_GB2312" w:hAnsi="仿宋_GB2312" w:eastAsia="仿宋_GB2312"/>
          <w:b/>
          <w:sz w:val="32"/>
        </w:rPr>
        <w:t>本年支出22,039.43万元，</w:t>
      </w:r>
      <w:r>
        <w:rPr>
          <w:rFonts w:ascii="仿宋_GB2312" w:hAnsi="仿宋_GB2312" w:eastAsia="仿宋_GB2312"/>
          <w:b w:val="0"/>
          <w:sz w:val="32"/>
        </w:rPr>
        <w:t>其中：基本支出10,178.10万元，占46.18%；项目支出11,861.33万元，占53.82%；上缴上级支出0.00万元，占0.00%；经营支出0.00万元，占0.00%；对附属单位补助支出0.00万元，占0.00%。</w:t>
      </w:r>
    </w:p>
    <w:p w14:paraId="3E2E2B48">
      <w:pPr>
        <w:spacing w:line="640" w:lineRule="exact"/>
        <w:ind w:firstLine="640"/>
        <w:jc w:val="both"/>
        <w:outlineLvl w:val="2"/>
      </w:pPr>
      <w:r>
        <w:rPr>
          <w:rFonts w:ascii="黑体" w:hAnsi="黑体" w:eastAsia="黑体"/>
          <w:sz w:val="32"/>
        </w:rPr>
        <w:t>四、财政拨款收入支出决算总体情况说明</w:t>
      </w:r>
    </w:p>
    <w:p w14:paraId="036CF542">
      <w:pPr>
        <w:spacing w:line="580" w:lineRule="exact"/>
        <w:ind w:firstLine="640"/>
        <w:jc w:val="both"/>
      </w:pPr>
      <w:r>
        <w:rPr>
          <w:rFonts w:ascii="仿宋_GB2312" w:hAnsi="仿宋_GB2312" w:eastAsia="仿宋_GB2312"/>
          <w:b/>
          <w:sz w:val="32"/>
        </w:rPr>
        <w:t>2024年度财政拨款收入总计21,902.43万元，</w:t>
      </w:r>
      <w:r>
        <w:rPr>
          <w:rFonts w:ascii="仿宋_GB2312" w:hAnsi="仿宋_GB2312" w:eastAsia="仿宋_GB2312"/>
          <w:b w:val="0"/>
          <w:sz w:val="32"/>
        </w:rPr>
        <w:t>其中：年初财政拨款结转和结余0.00万元，本年财政拨款收入21,902.43万元。</w:t>
      </w:r>
      <w:r>
        <w:rPr>
          <w:rFonts w:ascii="仿宋_GB2312" w:hAnsi="仿宋_GB2312" w:eastAsia="仿宋_GB2312"/>
          <w:b/>
          <w:sz w:val="32"/>
        </w:rPr>
        <w:t>财政拨款支出总计21,902.43万元，</w:t>
      </w:r>
      <w:r>
        <w:rPr>
          <w:rFonts w:ascii="仿宋_GB2312" w:hAnsi="仿宋_GB2312" w:eastAsia="仿宋_GB2312"/>
          <w:b w:val="0"/>
          <w:sz w:val="32"/>
        </w:rPr>
        <w:t>其中：年末财政拨款结转和结余0.00万元，本年财政拨款支出21,902.43万元。</w:t>
      </w:r>
    </w:p>
    <w:p w14:paraId="14EE9C7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增加28.97万元，增长0.13%，主要原因是：本年新增</w:t>
      </w:r>
      <w:r>
        <w:rPr>
          <w:rFonts w:hint="eastAsia" w:ascii="仿宋_GB2312" w:hAnsi="仿宋_GB2312" w:eastAsia="仿宋_GB2312"/>
          <w:b w:val="0"/>
          <w:sz w:val="32"/>
          <w:lang w:eastAsia="zh-CN"/>
        </w:rPr>
        <w:t>的</w:t>
      </w:r>
      <w:r>
        <w:rPr>
          <w:rFonts w:ascii="仿宋_GB2312" w:hAnsi="仿宋_GB2312" w:eastAsia="仿宋_GB2312"/>
          <w:b w:val="0"/>
          <w:sz w:val="32"/>
        </w:rPr>
        <w:t>退休人员、辞职调出人员较上年增加，职业年金缴费支出增加。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年初预算数14,633.62万元，决算数21,902.43万元，预决算差异率49.67%，主要原因是：年中追加人员工资、社保、公积金基数调增部分资金</w:t>
      </w:r>
      <w:r>
        <w:rPr>
          <w:rFonts w:hint="eastAsia" w:ascii="仿宋_GB2312" w:hAnsi="仿宋_GB2312" w:eastAsia="仿宋_GB2312"/>
          <w:b w:val="0"/>
          <w:sz w:val="32"/>
          <w:lang w:val="en-US" w:eastAsia="zh-CN"/>
        </w:rPr>
        <w:t>及专项项目资金</w:t>
      </w:r>
      <w:r>
        <w:rPr>
          <w:rFonts w:ascii="仿宋_GB2312" w:hAnsi="仿宋_GB2312" w:eastAsia="仿宋_GB2312"/>
          <w:b w:val="0"/>
          <w:sz w:val="32"/>
        </w:rPr>
        <w:t>，导致预决算存在差异。</w:t>
      </w:r>
    </w:p>
    <w:p w14:paraId="7724F61F">
      <w:pPr>
        <w:spacing w:line="640" w:lineRule="exact"/>
        <w:ind w:firstLine="640"/>
        <w:jc w:val="both"/>
        <w:outlineLvl w:val="2"/>
      </w:pPr>
      <w:r>
        <w:rPr>
          <w:rFonts w:ascii="黑体" w:hAnsi="黑体" w:eastAsia="黑体"/>
          <w:sz w:val="32"/>
        </w:rPr>
        <w:t>五、一般公共预算财政拨款支出决算情况说明</w:t>
      </w:r>
    </w:p>
    <w:p w14:paraId="2A741259">
      <w:pPr>
        <w:spacing w:line="640" w:lineRule="exact"/>
        <w:ind w:firstLine="640"/>
        <w:jc w:val="both"/>
        <w:outlineLvl w:val="3"/>
      </w:pPr>
      <w:r>
        <w:rPr>
          <w:rFonts w:ascii="楷体_GB2312" w:hAnsi="楷体_GB2312" w:eastAsia="楷体_GB2312"/>
          <w:b/>
          <w:sz w:val="32"/>
        </w:rPr>
        <w:t>（一）一般公共预算财政拨款支出决算总体情况</w:t>
      </w:r>
    </w:p>
    <w:p w14:paraId="6E2869E9">
      <w:pPr>
        <w:spacing w:line="580" w:lineRule="exact"/>
        <w:ind w:firstLine="640"/>
        <w:jc w:val="both"/>
      </w:pPr>
      <w:r>
        <w:rPr>
          <w:rFonts w:ascii="仿宋_GB2312" w:hAnsi="仿宋_GB2312" w:eastAsia="仿宋_GB2312"/>
          <w:b/>
          <w:sz w:val="32"/>
        </w:rPr>
        <w:t>2024年度一般公共预算财政拨款支出21,902.43万元，</w:t>
      </w:r>
      <w:r>
        <w:rPr>
          <w:rFonts w:ascii="仿宋_GB2312" w:hAnsi="仿宋_GB2312" w:eastAsia="仿宋_GB2312"/>
          <w:b w:val="0"/>
          <w:sz w:val="32"/>
        </w:rPr>
        <w:t>占本年支出合计的99.38%。</w:t>
      </w:r>
      <w:r>
        <w:rPr>
          <w:rFonts w:ascii="仿宋_GB2312" w:hAnsi="仿宋_GB2312" w:eastAsia="仿宋_GB2312"/>
          <w:b/>
          <w:sz w:val="32"/>
        </w:rPr>
        <w:t>与上年相比，</w:t>
      </w:r>
      <w:r>
        <w:rPr>
          <w:rFonts w:ascii="仿宋_GB2312" w:hAnsi="仿宋_GB2312" w:eastAsia="仿宋_GB2312"/>
          <w:b w:val="0"/>
          <w:sz w:val="32"/>
        </w:rPr>
        <w:t>增加28.97万元，增长0.13%，主要原因是：本年新增</w:t>
      </w:r>
      <w:r>
        <w:rPr>
          <w:rFonts w:hint="eastAsia" w:ascii="仿宋_GB2312" w:hAnsi="仿宋_GB2312" w:eastAsia="仿宋_GB2312"/>
          <w:b w:val="0"/>
          <w:sz w:val="32"/>
          <w:lang w:eastAsia="zh-CN"/>
        </w:rPr>
        <w:t>的</w:t>
      </w:r>
      <w:r>
        <w:rPr>
          <w:rFonts w:ascii="仿宋_GB2312" w:hAnsi="仿宋_GB2312" w:eastAsia="仿宋_GB2312"/>
          <w:b w:val="0"/>
          <w:sz w:val="32"/>
        </w:rPr>
        <w:t>退休人员、辞职调出人员较上年增加，职业年金缴费支出增加。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年初预算数14,633.62万元，决算数21,902.43万元，预决算差异率49.67%，主要原因是：年中追加人员工资、社保、公积金基数调增部分资金</w:t>
      </w:r>
      <w:r>
        <w:rPr>
          <w:rFonts w:hint="eastAsia" w:ascii="仿宋_GB2312" w:hAnsi="仿宋_GB2312" w:eastAsia="仿宋_GB2312"/>
          <w:b w:val="0"/>
          <w:sz w:val="32"/>
          <w:lang w:val="en-US" w:eastAsia="zh-CN"/>
        </w:rPr>
        <w:t>及专项项目资金</w:t>
      </w:r>
      <w:r>
        <w:rPr>
          <w:rFonts w:ascii="仿宋_GB2312" w:hAnsi="仿宋_GB2312" w:eastAsia="仿宋_GB2312"/>
          <w:b w:val="0"/>
          <w:sz w:val="32"/>
        </w:rPr>
        <w:t>，导致预决算存在差异。</w:t>
      </w:r>
    </w:p>
    <w:p w14:paraId="380F4A24">
      <w:pPr>
        <w:spacing w:line="640" w:lineRule="exact"/>
        <w:ind w:firstLine="640"/>
        <w:jc w:val="both"/>
        <w:outlineLvl w:val="3"/>
      </w:pPr>
      <w:r>
        <w:rPr>
          <w:rFonts w:ascii="楷体_GB2312" w:hAnsi="楷体_GB2312" w:eastAsia="楷体_GB2312"/>
          <w:b/>
          <w:sz w:val="32"/>
        </w:rPr>
        <w:t>（二）一般公共预算财政拨款支出决算结构情况</w:t>
      </w:r>
    </w:p>
    <w:p w14:paraId="1C907446">
      <w:pPr>
        <w:spacing w:line="580" w:lineRule="exact"/>
        <w:ind w:firstLine="640"/>
        <w:jc w:val="both"/>
      </w:pPr>
      <w:r>
        <w:rPr>
          <w:rFonts w:ascii="仿宋_GB2312" w:hAnsi="仿宋_GB2312" w:eastAsia="仿宋_GB2312"/>
          <w:b w:val="0"/>
          <w:sz w:val="32"/>
        </w:rPr>
        <w:t>1.公共安全支出(类)19,726.65万元,占90.07%。</w:t>
      </w:r>
    </w:p>
    <w:p w14:paraId="54E5679F">
      <w:pPr>
        <w:spacing w:line="580" w:lineRule="exact"/>
        <w:ind w:firstLine="640"/>
        <w:jc w:val="both"/>
      </w:pPr>
      <w:r>
        <w:rPr>
          <w:rFonts w:ascii="仿宋_GB2312" w:hAnsi="仿宋_GB2312" w:eastAsia="仿宋_GB2312"/>
          <w:b w:val="0"/>
          <w:sz w:val="32"/>
        </w:rPr>
        <w:t>2.社会保障和就业支出(类)1,044.53万元,占4.77%。</w:t>
      </w:r>
    </w:p>
    <w:p w14:paraId="1E4E7E95">
      <w:pPr>
        <w:spacing w:line="580" w:lineRule="exact"/>
        <w:ind w:firstLine="640"/>
        <w:jc w:val="both"/>
      </w:pPr>
      <w:r>
        <w:rPr>
          <w:rFonts w:ascii="仿宋_GB2312" w:hAnsi="仿宋_GB2312" w:eastAsia="仿宋_GB2312"/>
          <w:b w:val="0"/>
          <w:sz w:val="32"/>
        </w:rPr>
        <w:t>3.卫生健康支出(类)441.30万元,占2.01%。</w:t>
      </w:r>
    </w:p>
    <w:p w14:paraId="58D5C6AE">
      <w:pPr>
        <w:spacing w:line="580" w:lineRule="exact"/>
        <w:ind w:firstLine="640"/>
        <w:jc w:val="both"/>
      </w:pPr>
      <w:r>
        <w:rPr>
          <w:rFonts w:ascii="仿宋_GB2312" w:hAnsi="仿宋_GB2312" w:eastAsia="仿宋_GB2312"/>
          <w:b w:val="0"/>
          <w:sz w:val="32"/>
        </w:rPr>
        <w:t>4.住房保障支出(类)689.94万元,占3.15%。</w:t>
      </w:r>
    </w:p>
    <w:p w14:paraId="4843F970">
      <w:pPr>
        <w:spacing w:line="640" w:lineRule="exact"/>
        <w:ind w:firstLine="640"/>
        <w:jc w:val="both"/>
        <w:outlineLvl w:val="3"/>
      </w:pPr>
      <w:r>
        <w:rPr>
          <w:rFonts w:ascii="楷体_GB2312" w:hAnsi="楷体_GB2312" w:eastAsia="楷体_GB2312"/>
          <w:b/>
          <w:sz w:val="32"/>
        </w:rPr>
        <w:t>（三）一般公共预算财政拨款支出决算具体情况</w:t>
      </w:r>
    </w:p>
    <w:p w14:paraId="1EEC84E0">
      <w:pPr>
        <w:spacing w:line="580" w:lineRule="exact"/>
        <w:ind w:firstLine="640"/>
        <w:jc w:val="both"/>
      </w:pPr>
      <w:r>
        <w:rPr>
          <w:rFonts w:ascii="仿宋_GB2312" w:hAnsi="仿宋_GB2312" w:eastAsia="仿宋_GB2312"/>
          <w:b w:val="0"/>
          <w:sz w:val="32"/>
        </w:rPr>
        <w:t>1.公共安全支出(类)公安(款)行政运行(项):支出决算数为7,612.11万元，比上年决算减少1,090.61万元，下降12.53%,主要原因是：本年功能科目调整，聘用人员工资</w:t>
      </w:r>
      <w:r>
        <w:rPr>
          <w:rFonts w:hint="eastAsia" w:ascii="仿宋_GB2312" w:hAnsi="仿宋_GB2312" w:eastAsia="仿宋_GB2312"/>
          <w:b w:val="0"/>
          <w:sz w:val="32"/>
          <w:lang w:val="en-US" w:eastAsia="zh-CN"/>
        </w:rPr>
        <w:t>调整至</w:t>
      </w:r>
      <w:r>
        <w:rPr>
          <w:rFonts w:ascii="仿宋_GB2312" w:hAnsi="仿宋_GB2312" w:eastAsia="仿宋_GB2312"/>
          <w:b w:val="0"/>
          <w:sz w:val="32"/>
        </w:rPr>
        <w:t>公共安全支出(类)公安(款)其他公安支出(项)科目中支出，导致经费较上年减少。</w:t>
      </w:r>
    </w:p>
    <w:p w14:paraId="34DC2595">
      <w:pPr>
        <w:spacing w:line="580" w:lineRule="exact"/>
        <w:ind w:firstLine="640"/>
        <w:jc w:val="both"/>
      </w:pPr>
      <w:r>
        <w:rPr>
          <w:rFonts w:ascii="仿宋_GB2312" w:hAnsi="仿宋_GB2312" w:eastAsia="仿宋_GB2312"/>
          <w:b w:val="0"/>
          <w:sz w:val="32"/>
        </w:rPr>
        <w:t>2.公共安全支出(类)公安(款)执法办案(项):支出决算数为66.00万元，比上年决算增加10.10万元，增长18.07%,主要原因是：本年专项业务经费增加。</w:t>
      </w:r>
    </w:p>
    <w:p w14:paraId="60C8614A">
      <w:pPr>
        <w:spacing w:line="580" w:lineRule="exact"/>
        <w:ind w:firstLine="640"/>
        <w:jc w:val="both"/>
      </w:pPr>
      <w:r>
        <w:rPr>
          <w:rFonts w:ascii="仿宋_GB2312" w:hAnsi="仿宋_GB2312" w:eastAsia="仿宋_GB2312"/>
          <w:b w:val="0"/>
          <w:sz w:val="32"/>
        </w:rPr>
        <w:t>3.公共安全支出(类)公安(款)特别业务(项):支出决算数为100.00万元，比上年决算增加0.00万元，增长0.00%,主要原因是：本年特别业务经费与上年一致，无变化。</w:t>
      </w:r>
    </w:p>
    <w:p w14:paraId="396793EF">
      <w:pPr>
        <w:spacing w:line="580" w:lineRule="exact"/>
        <w:ind w:firstLine="640"/>
        <w:jc w:val="both"/>
      </w:pPr>
      <w:r>
        <w:rPr>
          <w:rFonts w:ascii="仿宋_GB2312" w:hAnsi="仿宋_GB2312" w:eastAsia="仿宋_GB2312"/>
          <w:b w:val="0"/>
          <w:sz w:val="32"/>
        </w:rPr>
        <w:t>4.公共安全支出(类)公安(款)事业运行(项):支出决算数为390.22万元，比上年决算减少43.48万元，下降10.03%,主要原因是：本年在职人员减少，相关人员经费减少。</w:t>
      </w:r>
    </w:p>
    <w:p w14:paraId="1C8CFF2D">
      <w:pPr>
        <w:spacing w:line="580" w:lineRule="exact"/>
        <w:ind w:firstLine="640"/>
        <w:jc w:val="both"/>
      </w:pPr>
      <w:r>
        <w:rPr>
          <w:rFonts w:ascii="仿宋_GB2312" w:hAnsi="仿宋_GB2312" w:eastAsia="仿宋_GB2312"/>
          <w:b w:val="0"/>
          <w:sz w:val="32"/>
        </w:rPr>
        <w:t>5.公共安全支出(类)公安(款)其他公安支出(项):支出决算数为11,558.33万元，比上年决算增加917.65万元，增长8.62%,主要原因是：本年功能科目调整，聘用人员工资</w:t>
      </w:r>
      <w:r>
        <w:rPr>
          <w:rFonts w:hint="eastAsia" w:ascii="仿宋_GB2312" w:hAnsi="仿宋_GB2312" w:eastAsia="仿宋_GB2312"/>
          <w:b w:val="0"/>
          <w:sz w:val="32"/>
          <w:lang w:val="en-US" w:eastAsia="zh-CN"/>
        </w:rPr>
        <w:t>由主科目调整至</w:t>
      </w:r>
      <w:r>
        <w:rPr>
          <w:rFonts w:ascii="仿宋_GB2312" w:hAnsi="仿宋_GB2312" w:eastAsia="仿宋_GB2312"/>
          <w:b w:val="0"/>
          <w:sz w:val="32"/>
        </w:rPr>
        <w:t>公共安全支出(类)公安(款)其他公安支出(项)</w:t>
      </w:r>
      <w:r>
        <w:rPr>
          <w:rFonts w:hint="eastAsia" w:ascii="仿宋_GB2312" w:hAnsi="仿宋_GB2312" w:eastAsia="仿宋_GB2312"/>
          <w:b w:val="0"/>
          <w:sz w:val="32"/>
          <w:lang w:val="en-US" w:eastAsia="zh-CN"/>
        </w:rPr>
        <w:t>列支</w:t>
      </w:r>
      <w:r>
        <w:rPr>
          <w:rFonts w:ascii="仿宋_GB2312" w:hAnsi="仿宋_GB2312" w:eastAsia="仿宋_GB2312"/>
          <w:b w:val="0"/>
          <w:sz w:val="32"/>
        </w:rPr>
        <w:t>，导致经费较上年增加。</w:t>
      </w:r>
    </w:p>
    <w:p w14:paraId="5E458027">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6.社会保障和就业支出(类)行政事业单位养老支出(款)行政单位离退休(项):支出决算数为95.67万元，比上年决算增加57.47万元，增长150.45%,主要原因是：本年增加退休人员基础绩效奖，退休费支出增加。</w:t>
      </w:r>
    </w:p>
    <w:p w14:paraId="426E287F">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864.17万元，比上年决算增加79.86万元，增长10.18%,主要原因是：本年在职人员工资基数调增，养老缴费基数上涨，相应支出增加。</w:t>
      </w:r>
    </w:p>
    <w:p w14:paraId="529D7BAB">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8.社会保障和就业支出(类)行政事业单位养老支出(款)机关事业单位职业年金缴费支出(项):支出决算数为84.70万元，比上年决算增加69.47万元，增长456.14%,主要原因是：本年新增</w:t>
      </w:r>
      <w:r>
        <w:rPr>
          <w:rFonts w:hint="eastAsia" w:ascii="仿宋_GB2312" w:hAnsi="仿宋_GB2312" w:eastAsia="仿宋_GB2312"/>
          <w:b w:val="0"/>
          <w:sz w:val="32"/>
          <w:lang w:eastAsia="zh-CN"/>
        </w:rPr>
        <w:t>的</w:t>
      </w:r>
      <w:r>
        <w:rPr>
          <w:rFonts w:ascii="仿宋_GB2312" w:hAnsi="仿宋_GB2312" w:eastAsia="仿宋_GB2312"/>
          <w:b w:val="0"/>
          <w:sz w:val="32"/>
        </w:rPr>
        <w:t>退休人员、辞职调出人员较上年增加，职业年金缴费支出增加。</w:t>
      </w:r>
    </w:p>
    <w:p w14:paraId="66CF0B39">
      <w:pPr>
        <w:spacing w:line="580" w:lineRule="exact"/>
        <w:ind w:firstLine="640"/>
        <w:jc w:val="both"/>
      </w:pPr>
      <w:r>
        <w:rPr>
          <w:rFonts w:ascii="仿宋_GB2312" w:hAnsi="仿宋_GB2312" w:eastAsia="仿宋_GB2312"/>
          <w:b w:val="0"/>
          <w:sz w:val="32"/>
        </w:rPr>
        <w:t>9.卫生健康支出(类)行政事业单位医疗(款)行政单位医疗(项):支出决算数为411.95万元，比上年决算减少20.37万元，下降4.71%,主要原因是：本年在职人员减少，医疗保险缴费减少，导致经费较上年减少。</w:t>
      </w:r>
    </w:p>
    <w:p w14:paraId="44C045BA">
      <w:pPr>
        <w:spacing w:line="580" w:lineRule="exact"/>
        <w:ind w:firstLine="640"/>
        <w:jc w:val="both"/>
      </w:pPr>
      <w:r>
        <w:rPr>
          <w:rFonts w:ascii="仿宋_GB2312" w:hAnsi="仿宋_GB2312" w:eastAsia="仿宋_GB2312"/>
          <w:b w:val="0"/>
          <w:sz w:val="32"/>
        </w:rPr>
        <w:t>10.卫生健康支出(类)行政事业单位医疗(款)事业单位医疗(项):支出决算数为21.66万元，比上年决算减少0.25万元，下降1.14%,主要原因是：本年在职人员减少，医疗保险缴费减少，导致经费较上年减少。</w:t>
      </w:r>
    </w:p>
    <w:p w14:paraId="4F8170A7">
      <w:pPr>
        <w:spacing w:line="580" w:lineRule="exact"/>
        <w:ind w:firstLine="640"/>
        <w:jc w:val="both"/>
      </w:pPr>
      <w:r>
        <w:rPr>
          <w:rFonts w:ascii="仿宋_GB2312" w:hAnsi="仿宋_GB2312" w:eastAsia="仿宋_GB2312"/>
          <w:b w:val="0"/>
          <w:sz w:val="32"/>
        </w:rPr>
        <w:t>11.卫生健康支出(类)行政事业单位医疗(款)公务员医疗补助(项):支出决算数为7.69万元，比上年决算减少6.91万元，下降47.33%,主要原因是：本年在职人员减少，医疗保险缴费减少，导致经费较上年减少。</w:t>
      </w:r>
    </w:p>
    <w:p w14:paraId="137C1A41">
      <w:pPr>
        <w:spacing w:line="580" w:lineRule="exact"/>
        <w:ind w:firstLine="640"/>
        <w:jc w:val="both"/>
      </w:pPr>
      <w:r>
        <w:rPr>
          <w:rFonts w:ascii="仿宋_GB2312" w:hAnsi="仿宋_GB2312" w:eastAsia="仿宋_GB2312"/>
          <w:b w:val="0"/>
          <w:sz w:val="32"/>
        </w:rPr>
        <w:t>12.住房保障支出(类)住房改革支出(款)住房公积金(项):支出决算数为689.94万元，比上年决算增加56.06万元，增长8.84%,主要原因是：本年在职人员工资基数调增，公积金缴费基数上涨，相应支出增加。</w:t>
      </w:r>
    </w:p>
    <w:p w14:paraId="5366D58D">
      <w:pPr>
        <w:spacing w:line="640" w:lineRule="exact"/>
        <w:ind w:firstLine="640"/>
        <w:jc w:val="both"/>
        <w:outlineLvl w:val="2"/>
      </w:pPr>
      <w:r>
        <w:rPr>
          <w:rFonts w:ascii="黑体" w:hAnsi="黑体" w:eastAsia="黑体"/>
          <w:sz w:val="32"/>
        </w:rPr>
        <w:t>六、一般公共预算财政拨款基本支出决算情况说明</w:t>
      </w:r>
    </w:p>
    <w:p w14:paraId="63D7A7A3">
      <w:pPr>
        <w:spacing w:line="580" w:lineRule="exact"/>
        <w:ind w:firstLine="640"/>
        <w:jc w:val="both"/>
      </w:pPr>
      <w:r>
        <w:rPr>
          <w:rFonts w:ascii="仿宋_GB2312" w:hAnsi="仿宋_GB2312" w:eastAsia="仿宋_GB2312"/>
          <w:b w:val="0"/>
          <w:sz w:val="32"/>
        </w:rPr>
        <w:t>2024年度一般公共预算财政拨款基本支出10,178.10万元，其中：</w:t>
      </w:r>
      <w:r>
        <w:rPr>
          <w:rFonts w:ascii="仿宋_GB2312" w:hAnsi="仿宋_GB2312" w:eastAsia="仿宋_GB2312"/>
          <w:b/>
          <w:sz w:val="32"/>
        </w:rPr>
        <w:t>人员经费10,007.12万元，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生活补助、救济费、奖励金。</w:t>
      </w:r>
    </w:p>
    <w:p w14:paraId="64E72425">
      <w:pPr>
        <w:spacing w:line="580" w:lineRule="exact"/>
        <w:ind w:firstLine="640"/>
        <w:jc w:val="both"/>
      </w:pPr>
      <w:r>
        <w:rPr>
          <w:rFonts w:ascii="仿宋_GB2312" w:hAnsi="仿宋_GB2312" w:eastAsia="仿宋_GB2312"/>
          <w:b/>
          <w:sz w:val="32"/>
        </w:rPr>
        <w:t>公用经费170.98万元，</w:t>
      </w:r>
      <w:r>
        <w:rPr>
          <w:rFonts w:ascii="仿宋_GB2312" w:hAnsi="仿宋_GB2312" w:eastAsia="仿宋_GB2312"/>
          <w:b w:val="0"/>
          <w:sz w:val="32"/>
        </w:rPr>
        <w:t>包括：办公费、水费、电费、邮电费、劳务费、委托业务费、工会经费、福利费、公务用车运行维护费、其他商品和服务支出。</w:t>
      </w:r>
    </w:p>
    <w:p w14:paraId="31DCDD9C">
      <w:pPr>
        <w:spacing w:line="640" w:lineRule="exact"/>
        <w:ind w:firstLine="640"/>
        <w:jc w:val="both"/>
        <w:outlineLvl w:val="2"/>
      </w:pPr>
      <w:r>
        <w:rPr>
          <w:rFonts w:ascii="黑体" w:hAnsi="黑体" w:eastAsia="黑体"/>
          <w:sz w:val="32"/>
        </w:rPr>
        <w:t>七、政府性基金预算财政拨款收入支出决算情况说明</w:t>
      </w:r>
    </w:p>
    <w:p w14:paraId="136FF40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8B18123">
      <w:pPr>
        <w:spacing w:line="640" w:lineRule="exact"/>
        <w:ind w:firstLine="640"/>
        <w:jc w:val="both"/>
        <w:outlineLvl w:val="2"/>
      </w:pPr>
      <w:r>
        <w:rPr>
          <w:rFonts w:ascii="黑体" w:hAnsi="黑体" w:eastAsia="黑体"/>
          <w:sz w:val="32"/>
        </w:rPr>
        <w:t>八、国有资本经营预算财政拨款收入支出决算情况说明</w:t>
      </w:r>
    </w:p>
    <w:p w14:paraId="5CFB329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C0578C2">
      <w:pPr>
        <w:spacing w:line="640" w:lineRule="exact"/>
        <w:ind w:firstLine="640"/>
        <w:jc w:val="both"/>
        <w:outlineLvl w:val="2"/>
      </w:pPr>
      <w:r>
        <w:rPr>
          <w:rFonts w:ascii="黑体" w:hAnsi="黑体" w:eastAsia="黑体"/>
          <w:sz w:val="32"/>
        </w:rPr>
        <w:t>九、财政拨款“三公”经费支出决算情况说明</w:t>
      </w:r>
    </w:p>
    <w:p w14:paraId="093A5380">
      <w:pPr>
        <w:spacing w:line="580" w:lineRule="exact"/>
        <w:ind w:firstLine="640"/>
        <w:jc w:val="both"/>
      </w:pPr>
      <w:r>
        <w:rPr>
          <w:rFonts w:ascii="仿宋_GB2312" w:hAnsi="仿宋_GB2312" w:eastAsia="仿宋_GB2312"/>
          <w:b/>
          <w:sz w:val="32"/>
        </w:rPr>
        <w:t>2024年度财政拨款“三公”经费支出254.52万元，</w:t>
      </w:r>
      <w:r>
        <w:rPr>
          <w:rFonts w:ascii="仿宋_GB2312" w:hAnsi="仿宋_GB2312" w:eastAsia="仿宋_GB2312"/>
          <w:b w:val="0"/>
          <w:sz w:val="32"/>
        </w:rPr>
        <w:t>比上年减少48.05万元，下降15.88%，主要原因是：本单位车辆使用次数减少，燃油费减少。其中：因公出国（境）费支出0.00万元，占0.00%，比上年增加0.00万元，增长0.00%，主要原因是：2023年与2024年均未安排因公出国（境）费支出。公务用车购置及运行维护费支出254.52万元，占100.00%，比上年减少48.05万元，下降15.88%，主要原因是：本单位车辆使用次数减少，燃油费减少。公务接待费支出0.00万元，占0.00%，比上年增加0.00万元，增长0.00%，主要原因是：2023年与2024年均未安排公务接待费支出。</w:t>
      </w:r>
    </w:p>
    <w:p w14:paraId="39D517A7">
      <w:pPr>
        <w:spacing w:line="580" w:lineRule="exact"/>
        <w:ind w:firstLine="640"/>
        <w:jc w:val="both"/>
      </w:pPr>
      <w:r>
        <w:rPr>
          <w:rFonts w:ascii="仿宋_GB2312" w:hAnsi="仿宋_GB2312" w:eastAsia="仿宋_GB2312"/>
          <w:b/>
          <w:sz w:val="32"/>
        </w:rPr>
        <w:t>具体情况如下：</w:t>
      </w:r>
    </w:p>
    <w:p w14:paraId="19673A2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97A3232">
      <w:pPr>
        <w:spacing w:line="580" w:lineRule="exact"/>
        <w:ind w:firstLine="640"/>
        <w:jc w:val="both"/>
      </w:pPr>
      <w:r>
        <w:rPr>
          <w:rFonts w:ascii="仿宋_GB2312" w:hAnsi="仿宋_GB2312" w:eastAsia="仿宋_GB2312"/>
          <w:b w:val="0"/>
          <w:sz w:val="32"/>
        </w:rPr>
        <w:t>公务用车购置及运行维护费254.52万元，其中：公务用车购置费0.00万元，公务用车运行维护费254.52万元。公务用车运行维护费开支内容包括车辆加油费、维修费、保险费。公务用车购置数0辆，公务用车保有量238辆。国有资产占用情况中固定资产车辆238辆，与公务用车保有量差异原因是：本单位固定资产车辆与公务用车保有量一致无差异。</w:t>
      </w:r>
    </w:p>
    <w:p w14:paraId="101E74F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75E56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254.52万元，决算数254.52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254.52万元，决算数254.52万元，预决算差异率0.00%，主要原因是：严格按照预算执行，预决算无差异。公务接待费全年预算数0.00万元，决算数0.00万元，预决算差异率0.00%，主要原因是：本单位无公务接待费。</w:t>
      </w:r>
    </w:p>
    <w:p w14:paraId="72DFA959">
      <w:pPr>
        <w:spacing w:line="640" w:lineRule="exact"/>
        <w:ind w:firstLine="640"/>
        <w:jc w:val="both"/>
        <w:outlineLvl w:val="2"/>
      </w:pPr>
      <w:r>
        <w:rPr>
          <w:rFonts w:ascii="黑体" w:hAnsi="黑体" w:eastAsia="黑体"/>
          <w:sz w:val="32"/>
        </w:rPr>
        <w:t>十、其他重要事项的情况说明</w:t>
      </w:r>
    </w:p>
    <w:p w14:paraId="0E9BE662">
      <w:pPr>
        <w:spacing w:line="640" w:lineRule="exact"/>
        <w:ind w:firstLine="640"/>
        <w:jc w:val="both"/>
        <w:outlineLvl w:val="3"/>
      </w:pPr>
      <w:r>
        <w:rPr>
          <w:rFonts w:ascii="楷体_GB2312" w:hAnsi="楷体_GB2312" w:eastAsia="楷体_GB2312"/>
          <w:b/>
          <w:sz w:val="32"/>
        </w:rPr>
        <w:t>（一）机关运行经费及公用经费支出情况</w:t>
      </w:r>
    </w:p>
    <w:p w14:paraId="41C0E0F8">
      <w:pPr>
        <w:spacing w:line="580" w:lineRule="exact"/>
        <w:ind w:firstLine="640"/>
        <w:jc w:val="both"/>
      </w:pPr>
      <w:r>
        <w:rPr>
          <w:rFonts w:ascii="仿宋_GB2312" w:hAnsi="仿宋_GB2312" w:eastAsia="仿宋_GB2312"/>
          <w:b w:val="0"/>
          <w:sz w:val="32"/>
        </w:rPr>
        <w:t>2024年度霍城县公安局（行政单位和参照公务员法管理事业单位）机关运行经费支出170.98万元，比上年减少729.66万元，下降81.02%，主要原因是：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业务量减少，办公经费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电费、取暖费、劳务费等减少</w:t>
      </w:r>
      <w:r>
        <w:rPr>
          <w:rFonts w:ascii="仿宋_GB2312" w:hAnsi="仿宋_GB2312" w:eastAsia="仿宋_GB2312"/>
          <w:b w:val="0"/>
          <w:sz w:val="32"/>
        </w:rPr>
        <w:t>。</w:t>
      </w:r>
    </w:p>
    <w:p w14:paraId="1B818C1B">
      <w:pPr>
        <w:spacing w:line="640" w:lineRule="exact"/>
        <w:ind w:firstLine="640"/>
        <w:jc w:val="both"/>
        <w:outlineLvl w:val="3"/>
      </w:pPr>
      <w:r>
        <w:rPr>
          <w:rFonts w:ascii="楷体_GB2312" w:hAnsi="楷体_GB2312" w:eastAsia="楷体_GB2312"/>
          <w:b/>
          <w:sz w:val="32"/>
        </w:rPr>
        <w:t>（二）政府采购情况</w:t>
      </w:r>
    </w:p>
    <w:p w14:paraId="0D7C46DD">
      <w:pPr>
        <w:spacing w:line="580" w:lineRule="exact"/>
        <w:ind w:firstLine="640"/>
        <w:jc w:val="both"/>
      </w:pPr>
      <w:r>
        <w:rPr>
          <w:rFonts w:ascii="仿宋_GB2312" w:hAnsi="仿宋_GB2312" w:eastAsia="仿宋_GB2312"/>
          <w:b w:val="0"/>
          <w:sz w:val="32"/>
        </w:rPr>
        <w:t>2024年度政府采购支出总额440.82万元，其中：政府采购货物支出37.12万元、政府采购工程支出2.10万元、政府采购服务支出401.60万元。</w:t>
      </w:r>
    </w:p>
    <w:p w14:paraId="1A247934">
      <w:pPr>
        <w:spacing w:line="580" w:lineRule="exact"/>
        <w:ind w:firstLine="640"/>
        <w:jc w:val="both"/>
      </w:pPr>
      <w:r>
        <w:rPr>
          <w:rFonts w:ascii="仿宋_GB2312" w:hAnsi="仿宋_GB2312" w:eastAsia="仿宋_GB2312"/>
          <w:b w:val="0"/>
          <w:sz w:val="32"/>
        </w:rPr>
        <w:t>授予中小企业合同金额440.82万元，占政府采购支出总额的100.00%，其中：授予小微企业合同金额440.82万元，占政府采购支出总额的100.00%。</w:t>
      </w:r>
    </w:p>
    <w:p w14:paraId="1C4A34C5">
      <w:pPr>
        <w:spacing w:line="640" w:lineRule="exact"/>
        <w:ind w:firstLine="640"/>
        <w:jc w:val="both"/>
        <w:outlineLvl w:val="3"/>
      </w:pPr>
      <w:r>
        <w:rPr>
          <w:rFonts w:ascii="楷体_GB2312" w:hAnsi="楷体_GB2312" w:eastAsia="楷体_GB2312"/>
          <w:b/>
          <w:sz w:val="32"/>
        </w:rPr>
        <w:t>（三）国有资产占用情况说明</w:t>
      </w:r>
    </w:p>
    <w:p w14:paraId="46B24212">
      <w:pPr>
        <w:spacing w:line="580" w:lineRule="exact"/>
        <w:ind w:firstLine="640"/>
        <w:jc w:val="both"/>
      </w:pPr>
      <w:r>
        <w:rPr>
          <w:rFonts w:ascii="仿宋_GB2312" w:hAnsi="仿宋_GB2312" w:eastAsia="仿宋_GB2312"/>
          <w:b w:val="0"/>
          <w:sz w:val="32"/>
        </w:rPr>
        <w:t>截至2024年12月31日，房屋61,208.18平方米，价值12,157.03万元。车辆238辆，价值2,899.40万元，其中：副部（省）级及以上领导用车0辆、主要负责人用车0辆、机要通信用车0辆、应急保障用车0辆、执法执勤用车226辆、特种专业技术用车0辆、离退休干部服务用车0辆、其他用车12辆，其他用车主要是：一般公务用车。单价100万元（含）以上设备（不含车辆）16台（套）。</w:t>
      </w:r>
    </w:p>
    <w:p w14:paraId="7A2A06B2">
      <w:pPr>
        <w:spacing w:line="640" w:lineRule="exact"/>
        <w:ind w:firstLine="640"/>
        <w:jc w:val="both"/>
        <w:outlineLvl w:val="2"/>
      </w:pPr>
      <w:r>
        <w:rPr>
          <w:rFonts w:ascii="黑体" w:hAnsi="黑体" w:eastAsia="黑体"/>
          <w:sz w:val="32"/>
        </w:rPr>
        <w:t>十一、预算绩效的情况说明</w:t>
      </w:r>
    </w:p>
    <w:p w14:paraId="60E9D78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22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193.92</w:t>
      </w:r>
      <w:r>
        <w:rPr>
          <w:rFonts w:ascii="仿宋_GB2312" w:hAnsi="仿宋_GB2312" w:eastAsia="仿宋_GB2312"/>
          <w:b w:val="0"/>
          <w:sz w:val="32"/>
        </w:rPr>
        <w:t>万元，实际执行总额</w:t>
      </w:r>
      <w:r>
        <w:rPr>
          <w:rFonts w:hint="eastAsia" w:ascii="仿宋_GB2312" w:hAnsi="仿宋_GB2312" w:eastAsia="仿宋_GB2312"/>
          <w:b w:val="0"/>
          <w:sz w:val="32"/>
        </w:rPr>
        <w:t>22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039.42</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21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295.77</w:t>
      </w:r>
      <w:r>
        <w:rPr>
          <w:rFonts w:ascii="仿宋_GB2312" w:hAnsi="仿宋_GB2312" w:eastAsia="仿宋_GB2312"/>
          <w:b w:val="0"/>
          <w:sz w:val="32"/>
        </w:rPr>
        <w:t>万元，全年执行数</w:t>
      </w:r>
      <w:r>
        <w:rPr>
          <w:rFonts w:hint="eastAsia" w:ascii="仿宋_GB2312" w:hAnsi="仿宋_GB2312" w:eastAsia="仿宋_GB2312"/>
          <w:b w:val="0"/>
          <w:sz w:val="32"/>
        </w:rPr>
        <w:t>21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295.77</w:t>
      </w:r>
      <w:r>
        <w:rPr>
          <w:rFonts w:ascii="仿宋_GB2312" w:hAnsi="仿宋_GB2312" w:eastAsia="仿宋_GB2312"/>
          <w:b w:val="0"/>
          <w:sz w:val="32"/>
        </w:rPr>
        <w:t>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w:t>
      </w:r>
    </w:p>
    <w:p w14:paraId="7B988749">
      <w:r>
        <w:br w:type="page"/>
      </w:r>
    </w:p>
    <w:p w14:paraId="7541C273">
      <w:pPr>
        <w:spacing w:line="640" w:lineRule="exact"/>
        <w:ind w:firstLine="640"/>
        <w:jc w:val="both"/>
        <w:outlineLvl w:val="2"/>
      </w:pPr>
      <w:r>
        <w:rPr>
          <w:rFonts w:ascii="黑体" w:hAnsi="黑体" w:eastAsia="黑体"/>
          <w:sz w:val="32"/>
        </w:rPr>
        <w:t>十二、其他需说明的事项</w:t>
      </w:r>
    </w:p>
    <w:p w14:paraId="59E1ADB7">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14:paraId="434DB6E2">
      <w:pPr>
        <w:spacing w:line="580" w:lineRule="exact"/>
        <w:ind w:firstLine="640"/>
        <w:jc w:val="both"/>
      </w:pPr>
      <w:r>
        <w:rPr>
          <w:rFonts w:ascii="仿宋_GB2312" w:hAnsi="仿宋_GB2312" w:eastAsia="仿宋_GB2312"/>
          <w:b w:val="0"/>
          <w:sz w:val="32"/>
        </w:rPr>
        <w:t>本年本单位SM项目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21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295.77</w:t>
      </w:r>
      <w:r>
        <w:rPr>
          <w:rFonts w:ascii="仿宋_GB2312" w:hAnsi="仿宋_GB2312" w:eastAsia="仿宋_GB2312"/>
          <w:b w:val="0"/>
          <w:sz w:val="32"/>
        </w:rPr>
        <w:t>万元，全年执行数</w:t>
      </w:r>
      <w:r>
        <w:rPr>
          <w:rFonts w:hint="eastAsia" w:ascii="仿宋_GB2312" w:hAnsi="仿宋_GB2312" w:eastAsia="仿宋_GB2312"/>
          <w:b w:val="0"/>
          <w:sz w:val="32"/>
        </w:rPr>
        <w:t>21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295.77</w:t>
      </w:r>
      <w:bookmarkStart w:id="0" w:name="_GoBack"/>
      <w:bookmarkEnd w:id="0"/>
      <w:r>
        <w:rPr>
          <w:rFonts w:ascii="仿宋_GB2312" w:hAnsi="仿宋_GB2312" w:eastAsia="仿宋_GB2312"/>
          <w:b w:val="0"/>
          <w:sz w:val="32"/>
        </w:rPr>
        <w:t>万元。</w:t>
      </w:r>
    </w:p>
    <w:p w14:paraId="09B28D55">
      <w:r>
        <w:br w:type="page"/>
      </w:r>
    </w:p>
    <w:p w14:paraId="7B81F5CD">
      <w:pPr>
        <w:spacing w:line="240" w:lineRule="auto"/>
        <w:jc w:val="center"/>
        <w:outlineLvl w:val="1"/>
      </w:pPr>
      <w:r>
        <w:rPr>
          <w:rFonts w:ascii="黑体" w:hAnsi="黑体" w:eastAsia="黑体"/>
          <w:sz w:val="32"/>
        </w:rPr>
        <w:t>第三部分 专业名词解释</w:t>
      </w:r>
    </w:p>
    <w:p w14:paraId="4D00225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BDCBF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4AE634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435D7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7E3575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2273B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7133B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49F427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3B504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7100A1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F3913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0023E5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080EA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5D98F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89B9ED7">
      <w:r>
        <w:br w:type="page"/>
      </w:r>
    </w:p>
    <w:p w14:paraId="16E53333">
      <w:pPr>
        <w:spacing w:line="240" w:lineRule="auto"/>
        <w:jc w:val="center"/>
        <w:outlineLvl w:val="1"/>
      </w:pPr>
      <w:r>
        <w:rPr>
          <w:rFonts w:ascii="黑体" w:hAnsi="黑体" w:eastAsia="黑体"/>
          <w:sz w:val="32"/>
        </w:rPr>
        <w:t>第四部分 部门决算报表（见附表）</w:t>
      </w:r>
    </w:p>
    <w:p w14:paraId="47CE6B44">
      <w:pPr>
        <w:spacing w:line="240" w:lineRule="auto"/>
        <w:ind w:firstLine="640"/>
        <w:jc w:val="both"/>
      </w:pPr>
      <w:r>
        <w:rPr>
          <w:rFonts w:ascii="仿宋_GB2312" w:hAnsi="仿宋_GB2312" w:eastAsia="仿宋_GB2312"/>
          <w:b w:val="0"/>
          <w:sz w:val="32"/>
        </w:rPr>
        <w:t>一、《收入支出决算总表》</w:t>
      </w:r>
    </w:p>
    <w:p w14:paraId="3EDFCDAF">
      <w:pPr>
        <w:spacing w:line="240" w:lineRule="auto"/>
        <w:ind w:firstLine="640"/>
        <w:jc w:val="both"/>
      </w:pPr>
      <w:r>
        <w:rPr>
          <w:rFonts w:ascii="仿宋_GB2312" w:hAnsi="仿宋_GB2312" w:eastAsia="仿宋_GB2312"/>
          <w:b w:val="0"/>
          <w:sz w:val="32"/>
        </w:rPr>
        <w:t>二、《收入决算表》</w:t>
      </w:r>
    </w:p>
    <w:p w14:paraId="75E1F3E9">
      <w:pPr>
        <w:spacing w:line="240" w:lineRule="auto"/>
        <w:ind w:firstLine="640"/>
        <w:jc w:val="both"/>
      </w:pPr>
      <w:r>
        <w:rPr>
          <w:rFonts w:ascii="仿宋_GB2312" w:hAnsi="仿宋_GB2312" w:eastAsia="仿宋_GB2312"/>
          <w:b w:val="0"/>
          <w:sz w:val="32"/>
        </w:rPr>
        <w:t>三、《支出决算表》</w:t>
      </w:r>
    </w:p>
    <w:p w14:paraId="5311678A">
      <w:pPr>
        <w:spacing w:line="240" w:lineRule="auto"/>
        <w:ind w:firstLine="640"/>
        <w:jc w:val="both"/>
      </w:pPr>
      <w:r>
        <w:rPr>
          <w:rFonts w:ascii="仿宋_GB2312" w:hAnsi="仿宋_GB2312" w:eastAsia="仿宋_GB2312"/>
          <w:b w:val="0"/>
          <w:sz w:val="32"/>
        </w:rPr>
        <w:t>四、《财政拨款收入支出决算总表》</w:t>
      </w:r>
    </w:p>
    <w:p w14:paraId="33AD45A6">
      <w:pPr>
        <w:spacing w:line="240" w:lineRule="auto"/>
        <w:ind w:firstLine="640"/>
        <w:jc w:val="both"/>
      </w:pPr>
      <w:r>
        <w:rPr>
          <w:rFonts w:ascii="仿宋_GB2312" w:hAnsi="仿宋_GB2312" w:eastAsia="仿宋_GB2312"/>
          <w:b w:val="0"/>
          <w:sz w:val="32"/>
        </w:rPr>
        <w:t>五、《一般公共预算财政拨款支出决算表》</w:t>
      </w:r>
    </w:p>
    <w:p w14:paraId="23A4F1DE">
      <w:pPr>
        <w:spacing w:line="240" w:lineRule="auto"/>
        <w:ind w:firstLine="640"/>
        <w:jc w:val="both"/>
      </w:pPr>
      <w:r>
        <w:rPr>
          <w:rFonts w:ascii="仿宋_GB2312" w:hAnsi="仿宋_GB2312" w:eastAsia="仿宋_GB2312"/>
          <w:b w:val="0"/>
          <w:sz w:val="32"/>
        </w:rPr>
        <w:t>六、《一般公共预算财政拨款基本支出决算表》</w:t>
      </w:r>
    </w:p>
    <w:p w14:paraId="253A57FA">
      <w:pPr>
        <w:spacing w:line="240" w:lineRule="auto"/>
        <w:ind w:firstLine="640"/>
        <w:jc w:val="both"/>
      </w:pPr>
      <w:r>
        <w:rPr>
          <w:rFonts w:ascii="仿宋_GB2312" w:hAnsi="仿宋_GB2312" w:eastAsia="仿宋_GB2312"/>
          <w:b w:val="0"/>
          <w:sz w:val="32"/>
        </w:rPr>
        <w:t>七、《政府性基金预算财政拨款收入支出决算表》</w:t>
      </w:r>
    </w:p>
    <w:p w14:paraId="57C46BB7">
      <w:pPr>
        <w:spacing w:line="240" w:lineRule="auto"/>
        <w:ind w:firstLine="640"/>
        <w:jc w:val="both"/>
      </w:pPr>
      <w:r>
        <w:rPr>
          <w:rFonts w:ascii="仿宋_GB2312" w:hAnsi="仿宋_GB2312" w:eastAsia="仿宋_GB2312"/>
          <w:b w:val="0"/>
          <w:sz w:val="32"/>
        </w:rPr>
        <w:t>八、《国有资本经营预算财政拨款收入支出决算表》</w:t>
      </w:r>
    </w:p>
    <w:p w14:paraId="1FDD0BD4">
      <w:pPr>
        <w:spacing w:line="240" w:lineRule="auto"/>
        <w:ind w:firstLine="640"/>
        <w:jc w:val="both"/>
      </w:pPr>
      <w:r>
        <w:rPr>
          <w:rFonts w:ascii="仿宋_GB2312" w:hAnsi="仿宋_GB2312" w:eastAsia="仿宋_GB2312"/>
          <w:b w:val="0"/>
          <w:sz w:val="32"/>
        </w:rPr>
        <w:t>九、《财政拨款“三公”经费支出决算表》</w:t>
      </w:r>
    </w:p>
    <w:p w14:paraId="5FF0AC26">
      <w:pPr>
        <w:spacing w:line="240" w:lineRule="auto"/>
        <w:ind w:firstLine="640"/>
        <w:jc w:val="both"/>
      </w:pPr>
    </w:p>
    <w:p w14:paraId="1199EB3A">
      <w:pPr>
        <w:spacing w:line="240" w:lineRule="auto"/>
        <w:ind w:firstLine="640"/>
        <w:jc w:val="both"/>
      </w:pPr>
    </w:p>
    <w:p w14:paraId="0BCC304D">
      <w:pPr>
        <w:spacing w:line="240" w:lineRule="auto"/>
        <w:ind w:firstLine="640"/>
        <w:jc w:val="both"/>
      </w:pPr>
    </w:p>
    <w:p w14:paraId="14A4CC82">
      <w:pPr>
        <w:spacing w:line="240" w:lineRule="auto"/>
        <w:ind w:firstLine="640"/>
        <w:jc w:val="both"/>
      </w:pPr>
    </w:p>
    <w:p w14:paraId="0F87E9E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2AA8489-9738-421D-A777-578DFD5B74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EC76BFE-2BEB-4E10-AF70-AF54F190C1CA}"/>
  </w:font>
  <w:font w:name="仿宋_GB2312">
    <w:panose1 w:val="02010609030101010101"/>
    <w:charset w:val="86"/>
    <w:family w:val="modern"/>
    <w:pitch w:val="default"/>
    <w:sig w:usb0="00000001" w:usb1="080E0000" w:usb2="00000000" w:usb3="00000000" w:csb0="00040000" w:csb1="00000000"/>
    <w:embedRegular r:id="rId3" w:fontKey="{57417913-5EC8-48DF-9F23-3CB71D700247}"/>
  </w:font>
  <w:font w:name="楷体_GB2312">
    <w:panose1 w:val="02010609030101010101"/>
    <w:charset w:val="86"/>
    <w:family w:val="auto"/>
    <w:pitch w:val="default"/>
    <w:sig w:usb0="00000001" w:usb1="080E0000" w:usb2="00000000" w:usb3="00000000" w:csb0="00040000" w:csb1="00000000"/>
    <w:embedRegular r:id="rId4" w:fontKey="{8FFF9B56-7387-416C-A0D0-8A911AAEC34D}"/>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305890"/>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873110"/>
    <w:rsid w:val="38006E2C"/>
    <w:rsid w:val="3914510A"/>
    <w:rsid w:val="3B1220C9"/>
    <w:rsid w:val="3D5275AC"/>
    <w:rsid w:val="3EA7725F"/>
    <w:rsid w:val="3EC014A1"/>
    <w:rsid w:val="40834692"/>
    <w:rsid w:val="423A32B2"/>
    <w:rsid w:val="423C0CB4"/>
    <w:rsid w:val="427B5743"/>
    <w:rsid w:val="42E64542"/>
    <w:rsid w:val="45B7610E"/>
    <w:rsid w:val="464B7E04"/>
    <w:rsid w:val="464F7E64"/>
    <w:rsid w:val="46901EEE"/>
    <w:rsid w:val="469C74D2"/>
    <w:rsid w:val="47445515"/>
    <w:rsid w:val="4B4C0111"/>
    <w:rsid w:val="4BB23021"/>
    <w:rsid w:val="4E5C218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1E4D22"/>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6209</Words>
  <Characters>7059</Characters>
  <Lines>0</Lines>
  <Paragraphs>0</Paragraphs>
  <TotalTime>1</TotalTime>
  <ScaleCrop>false</ScaleCrop>
  <LinksUpToDate>false</LinksUpToDate>
  <CharactersWithSpaces>7069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2025-09-26T03:32:18Z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