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霍城县信访局2024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C6B9DB">
      <w:r>
        <w:br w:type="page"/>
      </w:r>
    </w:p>
    <w:p w14:paraId="02A3AC26">
      <w:pPr>
        <w:spacing w:line="640" w:lineRule="exact"/>
        <w:jc w:val="center"/>
        <w:outlineLvl w:val="1"/>
      </w:pPr>
      <w:r>
        <w:rPr>
          <w:rFonts w:ascii="黑体" w:hAnsi="黑体" w:eastAsia="黑体"/>
          <w:sz w:val="32"/>
        </w:rPr>
        <w:t>第一部分 单位概况</w:t>
      </w:r>
    </w:p>
    <w:p w14:paraId="5AD281CC">
      <w:pPr>
        <w:spacing w:line="640" w:lineRule="exact"/>
        <w:ind w:firstLine="640"/>
        <w:jc w:val="both"/>
        <w:outlineLvl w:val="2"/>
      </w:pPr>
      <w:r>
        <w:rPr>
          <w:rFonts w:ascii="黑体" w:hAnsi="黑体" w:eastAsia="黑体"/>
          <w:sz w:val="32"/>
        </w:rPr>
        <w:t>一、主要职能</w:t>
      </w:r>
    </w:p>
    <w:p w14:paraId="314EFDA2">
      <w:pPr>
        <w:spacing w:line="580" w:lineRule="exact"/>
        <w:ind w:firstLine="640"/>
        <w:jc w:val="both"/>
      </w:pPr>
      <w:r>
        <w:rPr>
          <w:rFonts w:ascii="仿宋_GB2312" w:hAnsi="仿宋_GB2312" w:eastAsia="仿宋_GB2312"/>
          <w:sz w:val="32"/>
        </w:rPr>
        <w:t>拟定信访工作方针政策；调研提出信访工作对策建议；督促检查和指导全县信访工作；机关日常工作。负责正常信访、非访、突发性及群体性事件的办理；提供相关服务保障；协助国家信访局处理自治区群众进京上访；信访事项督查、复查复核、听证；负责</w:t>
      </w:r>
      <w:r>
        <w:rPr>
          <w:rFonts w:hint="eastAsia" w:ascii="仿宋_GB2312" w:hAnsi="仿宋_GB2312" w:eastAsia="仿宋_GB2312"/>
          <w:sz w:val="32"/>
          <w:lang w:eastAsia="zh-CN"/>
        </w:rPr>
        <w:t>党委、政府</w:t>
      </w:r>
      <w:r>
        <w:rPr>
          <w:rFonts w:ascii="仿宋_GB2312" w:hAnsi="仿宋_GB2312" w:eastAsia="仿宋_GB2312"/>
          <w:sz w:val="32"/>
        </w:rPr>
        <w:t>交办的其他事项。负责制定政务服务中心各项规章</w:t>
      </w:r>
      <w:r>
        <w:rPr>
          <w:rFonts w:ascii="仿宋_GB2312" w:hAnsi="仿宋_GB2312" w:eastAsia="仿宋_GB2312"/>
          <w:w w:val="95"/>
          <w:sz w:val="32"/>
        </w:rPr>
        <w:t>制度、管理办法并组织实施；负责对各服务窗口、工作人员的管理。</w:t>
      </w:r>
    </w:p>
    <w:p w14:paraId="23E895A5">
      <w:pPr>
        <w:spacing w:line="640" w:lineRule="exact"/>
        <w:ind w:firstLine="640"/>
        <w:jc w:val="both"/>
        <w:outlineLvl w:val="2"/>
      </w:pPr>
      <w:r>
        <w:rPr>
          <w:rFonts w:ascii="黑体" w:hAnsi="黑体" w:eastAsia="黑体"/>
          <w:sz w:val="32"/>
        </w:rPr>
        <w:t>二、机构设置及人员情况</w:t>
      </w:r>
    </w:p>
    <w:p w14:paraId="5630C4B8">
      <w:pPr>
        <w:spacing w:line="580" w:lineRule="exact"/>
        <w:ind w:firstLine="640"/>
        <w:jc w:val="both"/>
      </w:pPr>
      <w:r>
        <w:rPr>
          <w:rFonts w:ascii="仿宋_GB2312" w:hAnsi="仿宋_GB2312" w:eastAsia="仿宋_GB2312"/>
          <w:sz w:val="32"/>
        </w:rPr>
        <w:t>霍城县信访局2024年度，实有人数13人，其中：在职人员6人，减少1人；离休人员0人，增加0人；退休人员7人,增加2人。</w:t>
      </w:r>
    </w:p>
    <w:p w14:paraId="07EF7171">
      <w:pPr>
        <w:spacing w:line="580" w:lineRule="exact"/>
        <w:ind w:firstLine="640"/>
        <w:jc w:val="both"/>
      </w:pPr>
      <w:r>
        <w:rPr>
          <w:rFonts w:ascii="仿宋_GB2312" w:hAnsi="仿宋_GB2312" w:eastAsia="仿宋_GB2312"/>
          <w:sz w:val="32"/>
        </w:rPr>
        <w:t>霍城县信访局无下属预算单位，下设2个科室，分别是：综合科、业务科室。</w:t>
      </w:r>
    </w:p>
    <w:p w14:paraId="1FA46954">
      <w:r>
        <w:br w:type="page"/>
      </w:r>
    </w:p>
    <w:p w14:paraId="4CA175F9">
      <w:pPr>
        <w:spacing w:line="240" w:lineRule="auto"/>
        <w:jc w:val="center"/>
        <w:outlineLvl w:val="1"/>
      </w:pPr>
      <w:r>
        <w:rPr>
          <w:rFonts w:ascii="黑体" w:hAnsi="黑体" w:eastAsia="黑体"/>
          <w:sz w:val="32"/>
        </w:rPr>
        <w:t>第二部分 部门决算情况说明</w:t>
      </w:r>
    </w:p>
    <w:p w14:paraId="40FE5456">
      <w:pPr>
        <w:spacing w:line="640" w:lineRule="exact"/>
        <w:ind w:firstLine="640"/>
        <w:jc w:val="both"/>
        <w:outlineLvl w:val="2"/>
      </w:pPr>
      <w:r>
        <w:rPr>
          <w:rFonts w:ascii="黑体" w:hAnsi="黑体" w:eastAsia="黑体"/>
          <w:sz w:val="32"/>
        </w:rPr>
        <w:t>一、收入支出决算总体情况说明</w:t>
      </w:r>
    </w:p>
    <w:p w14:paraId="46DE246E">
      <w:pPr>
        <w:spacing w:line="580" w:lineRule="exact"/>
        <w:ind w:firstLine="640"/>
        <w:jc w:val="both"/>
      </w:pPr>
      <w:r>
        <w:rPr>
          <w:rFonts w:ascii="仿宋_GB2312" w:hAnsi="仿宋_GB2312" w:eastAsia="仿宋_GB2312"/>
          <w:b/>
          <w:sz w:val="32"/>
        </w:rPr>
        <w:t>2024年度收入总计131.25万元，</w:t>
      </w:r>
      <w:r>
        <w:rPr>
          <w:rFonts w:ascii="仿宋_GB2312" w:hAnsi="仿宋_GB2312" w:eastAsia="仿宋_GB2312"/>
          <w:b w:val="0"/>
          <w:sz w:val="32"/>
        </w:rPr>
        <w:t>其中：本年收入合计131.25万元，使用非财政拨款结余（含专用结余）0.00万元，年初结转和结余0.00万元。</w:t>
      </w:r>
    </w:p>
    <w:p w14:paraId="4141247B">
      <w:pPr>
        <w:spacing w:line="580" w:lineRule="exact"/>
        <w:ind w:firstLine="640"/>
        <w:jc w:val="both"/>
      </w:pPr>
      <w:r>
        <w:rPr>
          <w:rFonts w:ascii="仿宋_GB2312" w:hAnsi="仿宋_GB2312" w:eastAsia="仿宋_GB2312"/>
          <w:b/>
          <w:sz w:val="32"/>
        </w:rPr>
        <w:t>2024年度支出总计131.25万元，</w:t>
      </w:r>
      <w:r>
        <w:rPr>
          <w:rFonts w:ascii="仿宋_GB2312" w:hAnsi="仿宋_GB2312" w:eastAsia="仿宋_GB2312"/>
          <w:b w:val="0"/>
          <w:sz w:val="32"/>
        </w:rPr>
        <w:t>其中：本年支出合计131.25万元，结余分配0.00万元，年末结转和结余0.00万元。</w:t>
      </w:r>
    </w:p>
    <w:p w14:paraId="4A0260E4">
      <w:pPr>
        <w:spacing w:line="580" w:lineRule="exact"/>
        <w:ind w:firstLine="640"/>
        <w:jc w:val="both"/>
      </w:pPr>
      <w:r>
        <w:rPr>
          <w:rFonts w:ascii="仿宋_GB2312" w:hAnsi="仿宋_GB2312" w:eastAsia="仿宋_GB2312"/>
          <w:b w:val="0"/>
          <w:sz w:val="32"/>
        </w:rPr>
        <w:t>收入支出总体与上年相比，减少36.49万元，下降21.75%，主要原因是：1.本年在职人员减少，人员经费减少；2.本年2024年信访疑难资金相比上年减少。</w:t>
      </w:r>
    </w:p>
    <w:p w14:paraId="3F7421C8">
      <w:pPr>
        <w:spacing w:line="640" w:lineRule="exact"/>
        <w:ind w:firstLine="640"/>
        <w:jc w:val="both"/>
        <w:outlineLvl w:val="2"/>
      </w:pPr>
      <w:r>
        <w:rPr>
          <w:rFonts w:ascii="黑体" w:hAnsi="黑体" w:eastAsia="黑体"/>
          <w:sz w:val="32"/>
        </w:rPr>
        <w:t>二、收入决算情况说明</w:t>
      </w:r>
    </w:p>
    <w:p w14:paraId="7DC7561B">
      <w:pPr>
        <w:spacing w:line="580" w:lineRule="exact"/>
        <w:ind w:firstLine="640"/>
        <w:jc w:val="both"/>
      </w:pPr>
      <w:r>
        <w:rPr>
          <w:rFonts w:ascii="仿宋_GB2312" w:hAnsi="仿宋_GB2312" w:eastAsia="仿宋_GB2312"/>
          <w:b/>
          <w:sz w:val="32"/>
        </w:rPr>
        <w:t>本年收入131.25万元，</w:t>
      </w:r>
      <w:r>
        <w:rPr>
          <w:rFonts w:ascii="仿宋_GB2312" w:hAnsi="仿宋_GB2312" w:eastAsia="仿宋_GB2312"/>
          <w:b w:val="0"/>
          <w:sz w:val="32"/>
        </w:rPr>
        <w:t>其中：财政拨款收入131.25万元，占100.00%；上级补助收入0.00万元，占0.00%；事业收入0.00万元，占0.00%；经营收入0.00万元，占0.00%；附属单位上缴收入0.00万元，占0.00%；其他收入0.00万元，占0.00%。</w:t>
      </w:r>
    </w:p>
    <w:p w14:paraId="5615F1FE">
      <w:pPr>
        <w:spacing w:line="640" w:lineRule="exact"/>
        <w:ind w:firstLine="640"/>
        <w:jc w:val="both"/>
        <w:outlineLvl w:val="2"/>
      </w:pPr>
      <w:r>
        <w:rPr>
          <w:rFonts w:ascii="黑体" w:hAnsi="黑体" w:eastAsia="黑体"/>
          <w:sz w:val="32"/>
        </w:rPr>
        <w:t>三、支出决算情况说明</w:t>
      </w:r>
    </w:p>
    <w:p w14:paraId="0275A246">
      <w:pPr>
        <w:spacing w:line="580" w:lineRule="exact"/>
        <w:ind w:firstLine="640"/>
        <w:jc w:val="both"/>
      </w:pPr>
      <w:r>
        <w:rPr>
          <w:rFonts w:ascii="仿宋_GB2312" w:hAnsi="仿宋_GB2312" w:eastAsia="仿宋_GB2312"/>
          <w:b/>
          <w:sz w:val="32"/>
        </w:rPr>
        <w:t>本年支出131.25万元，</w:t>
      </w:r>
      <w:r>
        <w:rPr>
          <w:rFonts w:ascii="仿宋_GB2312" w:hAnsi="仿宋_GB2312" w:eastAsia="仿宋_GB2312"/>
          <w:b w:val="0"/>
          <w:sz w:val="32"/>
        </w:rPr>
        <w:t>其中：基本支出131.25万元，占100.00%；项目支出0.00万元，占0.00%；上缴上级支出0.00万元，占0.00%；经营支出0.00万元，占0.00%；对附属单位补助支出0.00万元，占0.00%。</w:t>
      </w:r>
    </w:p>
    <w:p w14:paraId="574D64F5">
      <w:pPr>
        <w:spacing w:line="640" w:lineRule="exact"/>
        <w:ind w:firstLine="640"/>
        <w:jc w:val="both"/>
        <w:outlineLvl w:val="2"/>
      </w:pPr>
      <w:r>
        <w:rPr>
          <w:rFonts w:ascii="黑体" w:hAnsi="黑体" w:eastAsia="黑体"/>
          <w:sz w:val="32"/>
        </w:rPr>
        <w:t>四、财政拨款收入支出决算总体情况说明</w:t>
      </w:r>
    </w:p>
    <w:p w14:paraId="46609F71">
      <w:pPr>
        <w:spacing w:line="580" w:lineRule="exact"/>
        <w:ind w:firstLine="640"/>
        <w:jc w:val="both"/>
      </w:pPr>
      <w:r>
        <w:rPr>
          <w:rFonts w:ascii="仿宋_GB2312" w:hAnsi="仿宋_GB2312" w:eastAsia="仿宋_GB2312"/>
          <w:b/>
          <w:sz w:val="32"/>
        </w:rPr>
        <w:t>2024年度财政拨款收入总计131.25万元，</w:t>
      </w:r>
      <w:r>
        <w:rPr>
          <w:rFonts w:ascii="仿宋_GB2312" w:hAnsi="仿宋_GB2312" w:eastAsia="仿宋_GB2312"/>
          <w:b w:val="0"/>
          <w:sz w:val="32"/>
        </w:rPr>
        <w:t>其中：年初财政拨款结转和结余0.00万元，本年财政拨款收入131.25万元。</w:t>
      </w:r>
      <w:r>
        <w:rPr>
          <w:rFonts w:ascii="仿宋_GB2312" w:hAnsi="仿宋_GB2312" w:eastAsia="仿宋_GB2312"/>
          <w:b/>
          <w:sz w:val="32"/>
        </w:rPr>
        <w:t>财政拨款支出总计131.25万元，</w:t>
      </w:r>
      <w:r>
        <w:rPr>
          <w:rFonts w:ascii="仿宋_GB2312" w:hAnsi="仿宋_GB2312" w:eastAsia="仿宋_GB2312"/>
          <w:b w:val="0"/>
          <w:sz w:val="32"/>
        </w:rPr>
        <w:t>其中：年末财政拨款结转和结余0.00万元，本年财政拨款支出131.25万元。</w:t>
      </w:r>
    </w:p>
    <w:p w14:paraId="4CACDF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减少36.49万元，下降21.75%，主要原因是：1.本年在职人员减少，人员经费减少；2.本年2024年信访疑难资金相比上年减少。</w:t>
      </w:r>
      <w:r>
        <w:rPr>
          <w:rFonts w:ascii="仿宋_GB2312" w:hAnsi="仿宋_GB2312" w:eastAsia="仿宋_GB2312"/>
          <w:b/>
          <w:sz w:val="32"/>
        </w:rPr>
        <w:t>与年初预算相比，</w:t>
      </w:r>
      <w:r>
        <w:rPr>
          <w:rFonts w:ascii="仿宋_GB2312" w:hAnsi="仿宋_GB2312" w:eastAsia="仿宋_GB2312"/>
          <w:b w:val="0"/>
          <w:sz w:val="32"/>
        </w:rPr>
        <w:t>年初预算数132.99万元，决算数131.25万元，预决算差异率-1.31%，主要原因是：本年在职人员减少，年中调减人员经费，导致预决算存在差异。</w:t>
      </w:r>
    </w:p>
    <w:p w14:paraId="751F9038">
      <w:pPr>
        <w:spacing w:line="640" w:lineRule="exact"/>
        <w:ind w:firstLine="640"/>
        <w:jc w:val="both"/>
        <w:outlineLvl w:val="2"/>
      </w:pPr>
      <w:r>
        <w:rPr>
          <w:rFonts w:ascii="黑体" w:hAnsi="黑体" w:eastAsia="黑体"/>
          <w:sz w:val="32"/>
        </w:rPr>
        <w:t>五、一般公共预算财政拨款支出决算情况说明</w:t>
      </w:r>
    </w:p>
    <w:p w14:paraId="15472DA0">
      <w:pPr>
        <w:spacing w:line="640" w:lineRule="exact"/>
        <w:ind w:firstLine="640"/>
        <w:jc w:val="both"/>
        <w:outlineLvl w:val="3"/>
      </w:pPr>
      <w:r>
        <w:rPr>
          <w:rFonts w:ascii="楷体_GB2312" w:hAnsi="楷体_GB2312" w:eastAsia="楷体_GB2312"/>
          <w:b/>
          <w:sz w:val="32"/>
        </w:rPr>
        <w:t>（一）一般公共预算财政拨款支出决算总体情况</w:t>
      </w:r>
    </w:p>
    <w:p w14:paraId="0FF61F92">
      <w:pPr>
        <w:spacing w:line="580" w:lineRule="exact"/>
        <w:ind w:firstLine="640"/>
        <w:jc w:val="both"/>
      </w:pPr>
      <w:r>
        <w:rPr>
          <w:rFonts w:ascii="仿宋_GB2312" w:hAnsi="仿宋_GB2312" w:eastAsia="仿宋_GB2312"/>
          <w:b/>
          <w:sz w:val="32"/>
        </w:rPr>
        <w:t>2024年度一般公共预算财政拨款支出131.25万元，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减少36.49万元，下降21.75%，主要原因是：1.本年在职人员减少，人员经费减少；2.本年2024年信访疑难资金相比上年减少。</w:t>
      </w:r>
      <w:r>
        <w:rPr>
          <w:rFonts w:ascii="仿宋_GB2312" w:hAnsi="仿宋_GB2312" w:eastAsia="仿宋_GB2312"/>
          <w:b/>
          <w:sz w:val="32"/>
        </w:rPr>
        <w:t>与年初预算相比,</w:t>
      </w:r>
      <w:r>
        <w:rPr>
          <w:rFonts w:ascii="仿宋_GB2312" w:hAnsi="仿宋_GB2312" w:eastAsia="仿宋_GB2312"/>
          <w:b w:val="0"/>
          <w:sz w:val="32"/>
        </w:rPr>
        <w:t>年初预算数132.99万元，决算数131.25万元，预决算差异率-1.31%，主要原因是：本年在职人员减少，年中调减人员经费，导致预决算存在差异。</w:t>
      </w:r>
    </w:p>
    <w:p w14:paraId="4CF62978">
      <w:pPr>
        <w:spacing w:line="640" w:lineRule="exact"/>
        <w:ind w:firstLine="640"/>
        <w:jc w:val="both"/>
        <w:outlineLvl w:val="3"/>
      </w:pPr>
      <w:r>
        <w:rPr>
          <w:rFonts w:ascii="楷体_GB2312" w:hAnsi="楷体_GB2312" w:eastAsia="楷体_GB2312"/>
          <w:b/>
          <w:sz w:val="32"/>
        </w:rPr>
        <w:t>（二）一般公共预算财政拨款支出决算结构情况</w:t>
      </w:r>
    </w:p>
    <w:p w14:paraId="18765A97">
      <w:pPr>
        <w:spacing w:line="580" w:lineRule="exact"/>
        <w:ind w:firstLine="640"/>
        <w:jc w:val="both"/>
      </w:pPr>
      <w:r>
        <w:rPr>
          <w:rFonts w:ascii="仿宋_GB2312" w:hAnsi="仿宋_GB2312" w:eastAsia="仿宋_GB2312"/>
          <w:b w:val="0"/>
          <w:sz w:val="32"/>
        </w:rPr>
        <w:t>1.一般公共服务支出(类)104.79万元,占79.84%。</w:t>
      </w:r>
    </w:p>
    <w:p w14:paraId="4B239893">
      <w:pPr>
        <w:spacing w:line="580" w:lineRule="exact"/>
        <w:ind w:firstLine="640"/>
        <w:jc w:val="both"/>
      </w:pPr>
      <w:r>
        <w:rPr>
          <w:rFonts w:ascii="仿宋_GB2312" w:hAnsi="仿宋_GB2312" w:eastAsia="仿宋_GB2312"/>
          <w:b w:val="0"/>
          <w:sz w:val="32"/>
        </w:rPr>
        <w:t>2.社会保障和就业支出(类)13.64万元,占10.39%。</w:t>
      </w:r>
    </w:p>
    <w:p w14:paraId="63A223BB">
      <w:pPr>
        <w:spacing w:line="580" w:lineRule="exact"/>
        <w:ind w:firstLine="640"/>
        <w:jc w:val="both"/>
      </w:pPr>
      <w:r>
        <w:rPr>
          <w:rFonts w:ascii="仿宋_GB2312" w:hAnsi="仿宋_GB2312" w:eastAsia="仿宋_GB2312"/>
          <w:b w:val="0"/>
          <w:sz w:val="32"/>
        </w:rPr>
        <w:t>3.卫生健康支出(类)4.87万元,占3.71%。</w:t>
      </w:r>
    </w:p>
    <w:p w14:paraId="5CD6B272">
      <w:pPr>
        <w:spacing w:line="580" w:lineRule="exact"/>
        <w:ind w:firstLine="640"/>
        <w:jc w:val="both"/>
      </w:pPr>
      <w:r>
        <w:rPr>
          <w:rFonts w:ascii="仿宋_GB2312" w:hAnsi="仿宋_GB2312" w:eastAsia="仿宋_GB2312"/>
          <w:b w:val="0"/>
          <w:sz w:val="32"/>
        </w:rPr>
        <w:t>4.住房保障支出(类)7.95万元,占6.06%。</w:t>
      </w:r>
    </w:p>
    <w:p w14:paraId="7AA33328">
      <w:pPr>
        <w:spacing w:line="640" w:lineRule="exact"/>
        <w:ind w:firstLine="640"/>
        <w:jc w:val="both"/>
        <w:outlineLvl w:val="3"/>
      </w:pPr>
      <w:r>
        <w:rPr>
          <w:rFonts w:ascii="楷体_GB2312" w:hAnsi="楷体_GB2312" w:eastAsia="楷体_GB2312"/>
          <w:b/>
          <w:sz w:val="32"/>
        </w:rPr>
        <w:t>（三）一般公共预算财政拨款支出决算具体情况</w:t>
      </w:r>
    </w:p>
    <w:p w14:paraId="00BC15D5">
      <w:pPr>
        <w:spacing w:line="580" w:lineRule="exact"/>
        <w:ind w:firstLine="640"/>
        <w:jc w:val="both"/>
      </w:pPr>
      <w:r>
        <w:rPr>
          <w:rFonts w:ascii="仿宋_GB2312" w:hAnsi="仿宋_GB2312" w:eastAsia="仿宋_GB2312"/>
          <w:b w:val="0"/>
          <w:sz w:val="32"/>
        </w:rPr>
        <w:t>1.一般公共服务支出(类)政府办公厅（室）及相关机构事务(款)信访事务(项):支出决算数为0.00万元，比上年决算减少137.72万元，下降100.00%,主要原因是：本年功能科目调整，人员经费上年在信访事务列支，本年调整至行政运行，导致经费减少；减少信访疑难资金。</w:t>
      </w:r>
    </w:p>
    <w:p w14:paraId="605D1C22">
      <w:pPr>
        <w:spacing w:line="580" w:lineRule="exact"/>
        <w:ind w:firstLine="640"/>
        <w:jc w:val="both"/>
      </w:pPr>
      <w:r>
        <w:rPr>
          <w:rFonts w:ascii="仿宋_GB2312" w:hAnsi="仿宋_GB2312" w:eastAsia="仿宋_GB2312"/>
          <w:b w:val="0"/>
          <w:sz w:val="32"/>
        </w:rPr>
        <w:t>2.一般公共服务支出(类)信访事务(款)行政运行(项):支出决算数为91.89万元，比上年决算增加91.89万元，增长100.00%,主要原因是：本年功能科目调整，人员经费上年在信访事务列支，本年调整至行政运行，导致经费增加。</w:t>
      </w:r>
    </w:p>
    <w:p w14:paraId="37A232E4">
      <w:pPr>
        <w:spacing w:line="580" w:lineRule="exact"/>
        <w:ind w:firstLine="640"/>
        <w:jc w:val="both"/>
      </w:pPr>
      <w:r>
        <w:rPr>
          <w:rFonts w:ascii="仿宋_GB2312" w:hAnsi="仿宋_GB2312" w:eastAsia="仿宋_GB2312"/>
          <w:b w:val="0"/>
          <w:sz w:val="32"/>
        </w:rPr>
        <w:t>3.一般公共服务支出(类)信访事务(款)信访业务(项):支出决算数为12.90万元，比上年决算增加12.90万元，增长100.00%,主要原因是：本年度此科目增加劳务费及办公费。</w:t>
      </w:r>
    </w:p>
    <w:p w14:paraId="366F6B2A">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4.社会保障和就业支出(类)行政事业单位养老支出(款)行政单位离退休(项):支出决算数为4.00万元，比上年决算增加2.60万元，增长185.71%,主要原因是：本年增加退休人员基础绩效奖，退休费支出增加。</w:t>
      </w:r>
    </w:p>
    <w:p w14:paraId="5F189777">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9.64万元，比上年决算减少1.41万元，下降12.76%,主要原因是：本年在职人员减少，养老保险缴费较上年减少。</w:t>
      </w:r>
    </w:p>
    <w:p w14:paraId="4C01A9E2">
      <w:pPr>
        <w:spacing w:line="580" w:lineRule="exact"/>
        <w:ind w:firstLine="640"/>
        <w:jc w:val="both"/>
      </w:pPr>
      <w:r>
        <w:rPr>
          <w:rFonts w:ascii="仿宋_GB2312" w:hAnsi="仿宋_GB2312" w:eastAsia="仿宋_GB2312"/>
          <w:b w:val="0"/>
          <w:sz w:val="32"/>
        </w:rPr>
        <w:t>6.卫生健康支出(类)行政事业单位医疗(款)行政单位医疗(项):支出决算数为4.72万元，比上年决算减少3.69万元，下降43.88%,主要原因是：本年在职人员减少，医疗保险缴费较上年减少。</w:t>
      </w:r>
    </w:p>
    <w:p w14:paraId="1F6F5743">
      <w:pPr>
        <w:spacing w:line="580" w:lineRule="exact"/>
        <w:ind w:firstLine="640"/>
        <w:jc w:val="both"/>
      </w:pPr>
      <w:r>
        <w:rPr>
          <w:rFonts w:ascii="仿宋_GB2312" w:hAnsi="仿宋_GB2312" w:eastAsia="仿宋_GB2312"/>
          <w:b w:val="0"/>
          <w:sz w:val="32"/>
        </w:rPr>
        <w:t>7.卫生健康支出(类)行政事业单位医疗(款)公务员医疗补助(项):支出决算数为0.16万元，比上年决算减少0.35万元，下降68.63%,主要原因是：因退休人员医疗保险制度改革，退休人员医疗不再由单位缴纳，导致经费较上年减少。</w:t>
      </w:r>
    </w:p>
    <w:p w14:paraId="267DF1B4">
      <w:pPr>
        <w:spacing w:line="580" w:lineRule="exact"/>
        <w:ind w:firstLine="640"/>
        <w:jc w:val="both"/>
      </w:pPr>
      <w:r>
        <w:rPr>
          <w:rFonts w:ascii="仿宋_GB2312" w:hAnsi="仿宋_GB2312" w:eastAsia="仿宋_GB2312"/>
          <w:b w:val="0"/>
          <w:sz w:val="32"/>
        </w:rPr>
        <w:t>8.住房保障支出(类)住房改革支出(款)住房公积金(项):支出决算数为7.95万元，比上年决算减少0.70万元，下降8.09%,主要原因是：本年在职人员减少，住房公积金缴费较上年减少。</w:t>
      </w:r>
    </w:p>
    <w:p w14:paraId="5A171FF5">
      <w:pPr>
        <w:spacing w:line="640" w:lineRule="exact"/>
        <w:ind w:firstLine="640"/>
        <w:jc w:val="both"/>
        <w:outlineLvl w:val="2"/>
      </w:pPr>
      <w:r>
        <w:rPr>
          <w:rFonts w:ascii="黑体" w:hAnsi="黑体" w:eastAsia="黑体"/>
          <w:sz w:val="32"/>
        </w:rPr>
        <w:t>六、一般公共预算财政拨款基本支出决算情况说明</w:t>
      </w:r>
    </w:p>
    <w:p w14:paraId="071534D7">
      <w:pPr>
        <w:spacing w:line="580" w:lineRule="exact"/>
        <w:ind w:firstLine="640"/>
        <w:jc w:val="both"/>
      </w:pPr>
      <w:r>
        <w:rPr>
          <w:rFonts w:ascii="仿宋_GB2312" w:hAnsi="仿宋_GB2312" w:eastAsia="仿宋_GB2312"/>
          <w:b w:val="0"/>
          <w:sz w:val="32"/>
        </w:rPr>
        <w:t>2024年度一般公共预算财政拨款基本支出131.25万元，其中：</w:t>
      </w:r>
      <w:r>
        <w:rPr>
          <w:rFonts w:ascii="仿宋_GB2312" w:hAnsi="仿宋_GB2312" w:eastAsia="仿宋_GB2312"/>
          <w:b/>
          <w:sz w:val="32"/>
        </w:rPr>
        <w:t>人员经费109.48万元，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包括：基本工资、津贴补贴、奖金、机关事业单位基本养老保险缴费、职业年金缴费、职工基本医疗保险缴费、公务员医疗补助缴费、其他社会保障缴费、住房公积金、退休费、生活补助、奖励金。</w:t>
      </w:r>
    </w:p>
    <w:p w14:paraId="0A4380DA">
      <w:pPr>
        <w:spacing w:line="580" w:lineRule="exact"/>
        <w:ind w:firstLine="640"/>
        <w:jc w:val="both"/>
      </w:pPr>
      <w:r>
        <w:rPr>
          <w:rFonts w:ascii="仿宋_GB2312" w:hAnsi="仿宋_GB2312" w:eastAsia="仿宋_GB2312"/>
          <w:b/>
          <w:sz w:val="32"/>
        </w:rPr>
        <w:t>公用经费21.77万元，</w:t>
      </w:r>
      <w:r>
        <w:rPr>
          <w:rFonts w:ascii="仿宋_GB2312" w:hAnsi="仿宋_GB2312" w:eastAsia="仿宋_GB2312"/>
          <w:b w:val="0"/>
          <w:sz w:val="32"/>
        </w:rPr>
        <w:t>包括：办公费、水费、电费、邮电费、差旅费、劳务费、工会经费、福利费、公务用车运行维护费、其他商品和服务支出。</w:t>
      </w:r>
    </w:p>
    <w:p w14:paraId="7F93F07D">
      <w:pPr>
        <w:spacing w:line="640" w:lineRule="exact"/>
        <w:ind w:firstLine="640"/>
        <w:jc w:val="both"/>
        <w:outlineLvl w:val="2"/>
      </w:pPr>
      <w:r>
        <w:rPr>
          <w:rFonts w:ascii="黑体" w:hAnsi="黑体" w:eastAsia="黑体"/>
          <w:sz w:val="32"/>
        </w:rPr>
        <w:t>七、政府性基金预算财政拨款收入支出决算情况说明</w:t>
      </w:r>
    </w:p>
    <w:p w14:paraId="70427F2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8827951">
      <w:pPr>
        <w:spacing w:line="640" w:lineRule="exact"/>
        <w:ind w:firstLine="640"/>
        <w:jc w:val="both"/>
        <w:outlineLvl w:val="2"/>
      </w:pPr>
      <w:r>
        <w:rPr>
          <w:rFonts w:ascii="黑体" w:hAnsi="黑体" w:eastAsia="黑体"/>
          <w:sz w:val="32"/>
        </w:rPr>
        <w:t>八、国有资本经营预算财政拨款收入支出决算情况说明</w:t>
      </w:r>
    </w:p>
    <w:p w14:paraId="44A31DF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F1706D">
      <w:pPr>
        <w:spacing w:line="640" w:lineRule="exact"/>
        <w:ind w:firstLine="640"/>
        <w:jc w:val="both"/>
        <w:outlineLvl w:val="2"/>
      </w:pPr>
      <w:r>
        <w:rPr>
          <w:rFonts w:ascii="黑体" w:hAnsi="黑体" w:eastAsia="黑体"/>
          <w:sz w:val="32"/>
        </w:rPr>
        <w:t>九、财政拨款“三公”经费支出决算情况说明</w:t>
      </w:r>
    </w:p>
    <w:p w14:paraId="53D35365">
      <w:pPr>
        <w:spacing w:line="580" w:lineRule="exact"/>
        <w:ind w:firstLine="640"/>
        <w:jc w:val="both"/>
      </w:pPr>
      <w:r>
        <w:rPr>
          <w:rFonts w:ascii="仿宋_GB2312" w:hAnsi="仿宋_GB2312" w:eastAsia="仿宋_GB2312"/>
          <w:b/>
          <w:sz w:val="32"/>
        </w:rPr>
        <w:t>2024年度财政拨款“三公”经费支出0.80万元，</w:t>
      </w:r>
      <w:r>
        <w:rPr>
          <w:rFonts w:ascii="仿宋_GB2312" w:hAnsi="仿宋_GB2312" w:eastAsia="仿宋_GB2312"/>
          <w:b w:val="0"/>
          <w:sz w:val="32"/>
        </w:rPr>
        <w:t>比上年减少0.61万元，下降43.26%，主要原因是：本年度厉行节约，用车次数减少，燃油费减少，导致公务用车运行维护费减少。其中：因公出国（境）费支出0.00万元，占0.00%，比上年增加0.00万元，增长0.00%，主要原因是：2023年与2024年均未安排因公出国（境）费支出。公务用车购置及运行维护费支出0.80万元，占100.00%，比上年减少0.61万元，下降43.26%，主要原因是：本年度厉行节约，用车次数减少，燃油费减少，导致公务用车运行维护费减少。公务接待费支出0.00万元，占0.00%，比上年增加0.00万元，增长0.00%，主要原因是：2023年与2024年均未安排公务接待费支出。</w:t>
      </w:r>
    </w:p>
    <w:p w14:paraId="13ADC374">
      <w:pPr>
        <w:spacing w:line="580" w:lineRule="exact"/>
        <w:ind w:firstLine="640"/>
        <w:jc w:val="both"/>
      </w:pPr>
      <w:r>
        <w:rPr>
          <w:rFonts w:ascii="仿宋_GB2312" w:hAnsi="仿宋_GB2312" w:eastAsia="仿宋_GB2312"/>
          <w:b/>
          <w:sz w:val="32"/>
        </w:rPr>
        <w:t>具体情况如下：</w:t>
      </w:r>
    </w:p>
    <w:p w14:paraId="7EBBDDA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3FA25B">
      <w:pPr>
        <w:spacing w:line="580" w:lineRule="exact"/>
        <w:ind w:firstLine="640"/>
        <w:jc w:val="both"/>
      </w:pPr>
      <w:r>
        <w:rPr>
          <w:rFonts w:ascii="仿宋_GB2312" w:hAnsi="仿宋_GB2312" w:eastAsia="仿宋_GB2312"/>
          <w:b w:val="0"/>
          <w:sz w:val="32"/>
        </w:rPr>
        <w:t>公务用车购置及运行维护费0.80万元，其中：公务用车购置费0.00万元，公务用车运行维护费0.80万元。公务用车运行维护费开支内容包括车辆保险费，车辆燃油费。公务用车购置数0辆，公务用车保有量1辆。国有资产占用情况中固定资产车辆1辆，与公务用车保有量差异原因是：本单位固定资产车辆与公务用车保有量一致无差异。</w:t>
      </w:r>
    </w:p>
    <w:p w14:paraId="56681D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42113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0.80万元，决算数0.80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0.80万元，决算数0.80万元，预决算差异率0.00%，主要原因是：严格按照预算执行，预决算无差异。公务接待费全年预算数0.00万元，决算数0.00万元，预决算差异率0.00%，主要原因是：本单位无公务接待费。</w:t>
      </w:r>
    </w:p>
    <w:p w14:paraId="0F350A44">
      <w:pPr>
        <w:spacing w:line="640" w:lineRule="exact"/>
        <w:ind w:firstLine="640"/>
        <w:jc w:val="both"/>
        <w:outlineLvl w:val="2"/>
      </w:pPr>
      <w:r>
        <w:rPr>
          <w:rFonts w:ascii="黑体" w:hAnsi="黑体" w:eastAsia="黑体"/>
          <w:sz w:val="32"/>
        </w:rPr>
        <w:t>十、其他重要事项的情况说明</w:t>
      </w:r>
    </w:p>
    <w:p w14:paraId="231F5B54">
      <w:pPr>
        <w:spacing w:line="640" w:lineRule="exact"/>
        <w:ind w:firstLine="640"/>
        <w:jc w:val="both"/>
        <w:outlineLvl w:val="3"/>
      </w:pPr>
      <w:r>
        <w:rPr>
          <w:rFonts w:ascii="楷体_GB2312" w:hAnsi="楷体_GB2312" w:eastAsia="楷体_GB2312"/>
          <w:b/>
          <w:sz w:val="32"/>
        </w:rPr>
        <w:t>（一）机关运行经费及公用经费支出情况</w:t>
      </w:r>
    </w:p>
    <w:p w14:paraId="653B9D4E">
      <w:pPr>
        <w:spacing w:line="580" w:lineRule="exact"/>
        <w:ind w:firstLine="640"/>
        <w:jc w:val="both"/>
      </w:pPr>
      <w:r>
        <w:rPr>
          <w:rFonts w:ascii="仿宋_GB2312" w:hAnsi="仿宋_GB2312" w:eastAsia="仿宋_GB2312"/>
          <w:b w:val="0"/>
          <w:sz w:val="32"/>
        </w:rPr>
        <w:t>2024年度霍城县信访局（行政单位和参照公务员法管理事业单位）机关运行经费支出21.77万元，比上年增加13.61万元，增长166.79%，主要原因是：本年业务量增加，办公费用增加。</w:t>
      </w:r>
    </w:p>
    <w:p w14:paraId="266CDBB6">
      <w:pPr>
        <w:spacing w:line="640" w:lineRule="exact"/>
        <w:ind w:firstLine="640"/>
        <w:jc w:val="both"/>
        <w:outlineLvl w:val="3"/>
      </w:pPr>
      <w:r>
        <w:rPr>
          <w:rFonts w:ascii="楷体_GB2312" w:hAnsi="楷体_GB2312" w:eastAsia="楷体_GB2312"/>
          <w:b/>
          <w:sz w:val="32"/>
        </w:rPr>
        <w:t>（二）政府采购情况</w:t>
      </w:r>
    </w:p>
    <w:p w14:paraId="1A4CA64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EE514FC">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B746ED3">
      <w:pPr>
        <w:spacing w:line="640" w:lineRule="exact"/>
        <w:ind w:firstLine="640"/>
        <w:jc w:val="both"/>
        <w:outlineLvl w:val="3"/>
      </w:pPr>
      <w:r>
        <w:rPr>
          <w:rFonts w:ascii="楷体_GB2312" w:hAnsi="楷体_GB2312" w:eastAsia="楷体_GB2312"/>
          <w:b/>
          <w:sz w:val="32"/>
        </w:rPr>
        <w:t>（三）国有资产占用情况说明</w:t>
      </w:r>
    </w:p>
    <w:p w14:paraId="395E5150">
      <w:pPr>
        <w:spacing w:line="580" w:lineRule="exact"/>
        <w:ind w:firstLine="640"/>
        <w:jc w:val="both"/>
      </w:pPr>
      <w:r>
        <w:rPr>
          <w:rFonts w:ascii="仿宋_GB2312" w:hAnsi="仿宋_GB2312" w:eastAsia="仿宋_GB2312"/>
          <w:b w:val="0"/>
          <w:sz w:val="32"/>
        </w:rPr>
        <w:t>截至2024年12月31日，房屋0.00平方米，价值0.00万元。车辆1辆，价值8.45万元，其中：副部（省）级及以上领导用车0辆、主要负责人用车0辆、机要通信用车0辆、应急保障用车0辆、执法执勤用车0辆、特种专业技术用车0辆、离退休干部服务用车0辆、其他用车1辆，其他用车主要是：单位公务用车。单价100万元（含）以上设备（不含车辆）0台（套）。</w:t>
      </w:r>
    </w:p>
    <w:p w14:paraId="612A8BE2">
      <w:pPr>
        <w:spacing w:line="640" w:lineRule="exact"/>
        <w:ind w:firstLine="640"/>
        <w:jc w:val="both"/>
        <w:outlineLvl w:val="2"/>
      </w:pPr>
      <w:r>
        <w:rPr>
          <w:rFonts w:ascii="黑体" w:hAnsi="黑体" w:eastAsia="黑体"/>
          <w:sz w:val="32"/>
        </w:rPr>
        <w:t>十一、预算绩效的情况说明</w:t>
      </w:r>
    </w:p>
    <w:p w14:paraId="58F1E03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131.24万元，实际执行总额131.24万元；预算绩效评价项目1个，全年预算数5.00万元，全年执行数5.00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积极响应关于加强财政预算管理、提升资金使用效益的号召，深入实施预算绩效管理体系，通过一系列创新举措与实践探索，取得了令人瞩目的成效。首先成本控制显著优化；实施预算绩效管理以来，</w:t>
      </w:r>
      <w:r>
        <w:rPr>
          <w:rFonts w:hint="eastAsia" w:ascii="仿宋_GB2312" w:hAnsi="仿宋_GB2312" w:eastAsia="仿宋_GB2312"/>
          <w:b w:val="0"/>
          <w:sz w:val="32"/>
          <w:lang w:eastAsia="zh-CN"/>
        </w:rPr>
        <w:t>本单位</w:t>
      </w:r>
      <w:r>
        <w:rPr>
          <w:rFonts w:ascii="仿宋_GB2312" w:hAnsi="仿宋_GB2312" w:eastAsia="仿宋_GB2312"/>
          <w:b w:val="0"/>
          <w:sz w:val="32"/>
        </w:rPr>
        <w:t>建立了严格的成本控制机制，通过精细化预算编制、项目可行性论证及执行过程中的动态监控，有效遏制了不必要的开支，实现了成本支出的合理压缩。其次绩效目标达成度高，明确的绩效指标和严格的考核机制，使得各部门和个人都围绕既定目标展开工作，绩效目标达成度显著提升。通过定期评估与反馈，及时调整策略，确保目标不偏离，最终实现了多个重点项目的超额完成，为单位发展注入了强劲动力。最后管理流程标准化；预算绩效管理推动了管理流程的全面标准化，从预算编制、审批、执行到监督、评价、反馈，每一个环节都建立了规范的操作流程和责任体系。这种标准化的管理模式不仅提高了工作效率，还增强了管理的规范性和透明度，为提升管理水平奠定了坚实基础。综上所述，单位预算绩效管理的实施，不仅带来了成本控制、资源配置、目标达成等多方面的显著提升，还促进了管理流程的优化、风险防控的加强、透明度与公信力的提升，以及激励机制与责任落实的完善。更重要的是，它为我们建立了一个持续改进的机制，为单位的长期健康发展奠定了坚实基础。发现的问题及原因：一是绩效指标设置不够明确我局部分绩效指标设置存在不够精简、指标数据无法统计和指标值设置过低等问题，部分项目绩效指标值设定为定性的指标，指标设置的科学性、合理性有待进一步提高。二是固定资产账务管理不够细致、严谨抽查发现，我局固定资产账务管理普遍存在入账不及时、漏入、入账信息、金额不准确或资产台账未登记到具体使用人等问题。下一步改进措施：一是强化部门绩效管理体系建设，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是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具体附整体支出绩效自评表，项目支出绩效自评表和评价报告。</w:t>
      </w:r>
    </w:p>
    <w:p w14:paraId="64F94FB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6EFD5BC">
        <w:tblPrEx>
          <w:tblCellMar>
            <w:top w:w="0" w:type="dxa"/>
            <w:left w:w="108" w:type="dxa"/>
            <w:bottom w:w="0" w:type="dxa"/>
            <w:right w:w="108" w:type="dxa"/>
          </w:tblCellMar>
        </w:tblPrEx>
        <w:tc>
          <w:tcPr>
            <w:tcW w:w="8840" w:type="dxa"/>
            <w:gridSpan w:val="8"/>
            <w:vAlign w:val="center"/>
          </w:tcPr>
          <w:p w14:paraId="1F11D0F9">
            <w:pPr>
              <w:jc w:val="center"/>
            </w:pPr>
            <w:r>
              <w:rPr>
                <w:rFonts w:ascii="宋体" w:hAnsi="宋体" w:eastAsia="宋体"/>
                <w:sz w:val="24"/>
              </w:rPr>
              <w:t>单位整体支出绩效自评表</w:t>
            </w:r>
          </w:p>
        </w:tc>
      </w:tr>
      <w:tr w14:paraId="69E04CF2">
        <w:tblPrEx>
          <w:tblCellMar>
            <w:top w:w="0" w:type="dxa"/>
            <w:left w:w="108" w:type="dxa"/>
            <w:bottom w:w="0" w:type="dxa"/>
            <w:right w:w="108" w:type="dxa"/>
          </w:tblCellMar>
        </w:tblPrEx>
        <w:tc>
          <w:tcPr>
            <w:tcW w:w="8840" w:type="dxa"/>
            <w:gridSpan w:val="8"/>
            <w:vAlign w:val="center"/>
          </w:tcPr>
          <w:p w14:paraId="1765071E">
            <w:pPr>
              <w:jc w:val="center"/>
            </w:pPr>
            <w:r>
              <w:rPr>
                <w:rFonts w:ascii="宋体" w:hAnsi="宋体" w:eastAsia="宋体"/>
                <w:sz w:val="24"/>
              </w:rPr>
              <w:t>（2024年度）</w:t>
            </w:r>
          </w:p>
        </w:tc>
      </w:tr>
      <w:tr w14:paraId="140115F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A652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68E29">
            <w:pPr>
              <w:jc w:val="center"/>
            </w:pPr>
            <w:r>
              <w:rPr>
                <w:rFonts w:ascii="宋体" w:hAnsi="宋体" w:eastAsia="宋体"/>
                <w:sz w:val="16"/>
              </w:rPr>
              <w:t>霍城县信访局</w:t>
            </w:r>
          </w:p>
        </w:tc>
      </w:tr>
      <w:tr w14:paraId="62B385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1112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BD5F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AC37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46DB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1848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557B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A088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83180">
            <w:pPr>
              <w:jc w:val="center"/>
            </w:pPr>
            <w:r>
              <w:rPr>
                <w:rFonts w:ascii="宋体" w:hAnsi="宋体" w:eastAsia="宋体"/>
                <w:sz w:val="16"/>
              </w:rPr>
              <w:t>得分</w:t>
            </w:r>
          </w:p>
        </w:tc>
      </w:tr>
      <w:tr w14:paraId="7336CD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534E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D354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6F06F">
            <w:pPr>
              <w:jc w:val="center"/>
            </w:pPr>
            <w:r>
              <w:rPr>
                <w:rFonts w:ascii="宋体" w:hAnsi="宋体" w:eastAsia="宋体"/>
                <w:sz w:val="16"/>
              </w:rPr>
              <w:t>137.89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93853">
            <w:pPr>
              <w:jc w:val="center"/>
            </w:pPr>
            <w:r>
              <w:rPr>
                <w:rFonts w:ascii="宋体" w:hAnsi="宋体" w:eastAsia="宋体"/>
                <w:sz w:val="16"/>
              </w:rPr>
              <w:t>131.24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538B5">
            <w:pPr>
              <w:jc w:val="center"/>
            </w:pPr>
            <w:r>
              <w:rPr>
                <w:rFonts w:ascii="宋体" w:hAnsi="宋体" w:eastAsia="宋体"/>
                <w:sz w:val="16"/>
              </w:rPr>
              <w:t>131.24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F71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96F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C7244">
            <w:pPr>
              <w:jc w:val="center"/>
            </w:pPr>
            <w:r>
              <w:rPr>
                <w:rFonts w:ascii="宋体" w:hAnsi="宋体" w:eastAsia="宋体"/>
                <w:sz w:val="16"/>
              </w:rPr>
              <w:t>9</w:t>
            </w:r>
          </w:p>
        </w:tc>
      </w:tr>
      <w:tr w14:paraId="069C79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70CE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FBB9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D1969">
            <w:pPr>
              <w:jc w:val="center"/>
            </w:pPr>
            <w:r>
              <w:rPr>
                <w:rFonts w:ascii="宋体" w:hAnsi="宋体" w:eastAsia="宋体"/>
                <w:sz w:val="16"/>
              </w:rPr>
              <w:t>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7DA75">
            <w:pPr>
              <w:jc w:val="center"/>
            </w:pPr>
            <w:r>
              <w:rPr>
                <w:rFonts w:ascii="宋体" w:hAnsi="宋体" w:eastAsia="宋体"/>
                <w:sz w:val="16"/>
              </w:rPr>
              <w:t>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F3B64">
            <w:pPr>
              <w:jc w:val="center"/>
            </w:pPr>
            <w:r>
              <w:rPr>
                <w:rFonts w:ascii="宋体" w:hAnsi="宋体" w:eastAsia="宋体"/>
                <w:sz w:val="16"/>
              </w:rPr>
              <w:t>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A7C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21D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3525A">
            <w:pPr>
              <w:jc w:val="center"/>
            </w:pPr>
            <w:r>
              <w:rPr>
                <w:rFonts w:ascii="宋体" w:hAnsi="宋体" w:eastAsia="宋体"/>
                <w:sz w:val="16"/>
              </w:rPr>
              <w:t>-</w:t>
            </w:r>
          </w:p>
        </w:tc>
      </w:tr>
      <w:tr w14:paraId="6D6D73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DCE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E72D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94CFB">
            <w:pPr>
              <w:jc w:val="center"/>
            </w:pPr>
            <w:r>
              <w:rPr>
                <w:rFonts w:ascii="宋体" w:hAnsi="宋体" w:eastAsia="宋体"/>
                <w:sz w:val="16"/>
              </w:rPr>
              <w:t>132.99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1CE19">
            <w:pPr>
              <w:jc w:val="center"/>
            </w:pPr>
            <w:r>
              <w:rPr>
                <w:rFonts w:ascii="宋体" w:hAnsi="宋体" w:eastAsia="宋体"/>
                <w:sz w:val="16"/>
              </w:rPr>
              <w:t>126.34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6EF3D">
            <w:pPr>
              <w:jc w:val="center"/>
            </w:pPr>
            <w:r>
              <w:rPr>
                <w:rFonts w:ascii="宋体" w:hAnsi="宋体" w:eastAsia="宋体"/>
                <w:sz w:val="16"/>
              </w:rPr>
              <w:t>126.34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C9E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A81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FDF5F">
            <w:pPr>
              <w:jc w:val="center"/>
            </w:pPr>
            <w:r>
              <w:rPr>
                <w:rFonts w:ascii="宋体" w:hAnsi="宋体" w:eastAsia="宋体"/>
                <w:sz w:val="16"/>
              </w:rPr>
              <w:t>-</w:t>
            </w:r>
          </w:p>
        </w:tc>
      </w:tr>
      <w:tr w14:paraId="1B67F5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98C5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5F2F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A1B4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D583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65F8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9FEB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FAC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6F4DF">
            <w:pPr>
              <w:jc w:val="center"/>
            </w:pPr>
            <w:r>
              <w:rPr>
                <w:rFonts w:ascii="宋体" w:hAnsi="宋体" w:eastAsia="宋体"/>
                <w:sz w:val="16"/>
              </w:rPr>
              <w:t>-</w:t>
            </w:r>
          </w:p>
        </w:tc>
      </w:tr>
      <w:tr w14:paraId="3A2FFE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0017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B54A0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8AA219">
            <w:pPr>
              <w:jc w:val="center"/>
            </w:pPr>
            <w:r>
              <w:rPr>
                <w:rFonts w:ascii="宋体" w:hAnsi="宋体" w:eastAsia="宋体"/>
                <w:sz w:val="16"/>
              </w:rPr>
              <w:t>实际完成情况</w:t>
            </w:r>
          </w:p>
        </w:tc>
      </w:tr>
      <w:tr w14:paraId="51318C7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A7472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678EBB">
            <w:pPr>
              <w:jc w:val="both"/>
            </w:pPr>
            <w:r>
              <w:rPr>
                <w:rFonts w:ascii="宋体" w:hAnsi="宋体" w:eastAsia="宋体"/>
                <w:sz w:val="16"/>
              </w:rPr>
              <w:t>2024年信访工作要坚持以习近平新时代中国特色社会主义思想为指导，全面学习贯彻党的二十大精神，深入贯彻落实习近平总书记关于加强和改进人民信访工作的重要思想和第九次全国信访工作会议精神，牢记为民解难、为党分忧的政治责任，加强信访问题源头治理，坚持和发展新时代新疆特色“枫桥经验”，深入开展信访问题源头治理三年攻坚行动、“全国信访工作示范县”创建活动、“大督查大接访大调研”活动，不断夯实信访工作基础；推进化解信访积案常态化，巩固提升专项工作常态长效，解决好重点领域信访问题，及时就地解决群众初次信访事项，切实把问题解决在初始阶段，不断提高一次性化解率和群众满意率；全面开展信访工作法治化建设落实年，推进条例普法宣传制度化、常态化。</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2D8DB4">
            <w:pPr>
              <w:jc w:val="both"/>
            </w:pPr>
            <w:r>
              <w:rPr>
                <w:rFonts w:ascii="宋体" w:hAnsi="宋体" w:eastAsia="宋体"/>
                <w:sz w:val="16"/>
              </w:rPr>
              <w:t>1、聚焦党的二十大，以“事要解决”为核心，信访基础业务“四率”力争达到“100%”；推进集中治理重复信访、化解信访积案专项工作，实现上级交办重复信访事项上</w:t>
            </w:r>
            <w:bookmarkStart w:id="0" w:name="_GoBack"/>
            <w:bookmarkEnd w:id="0"/>
            <w:r>
              <w:rPr>
                <w:rFonts w:ascii="宋体" w:hAnsi="宋体" w:eastAsia="宋体"/>
                <w:sz w:val="16"/>
              </w:rPr>
              <w:t>半年全部化解；紧盯重点领域开展大排查大化解，信访突出问题整治成效显著；2、保障部门单位人员发放工资福利支出及运转支出；3、实现“三个不发生”和“北京一个不去”的目标。做好信访业务保障工作。有效解决群众合理诉求，提升群众满意度，增强了政府公信力，维护了社会和谐</w:t>
            </w:r>
            <w:r>
              <w:rPr>
                <w:rFonts w:hint="eastAsia" w:ascii="宋体" w:hAnsi="宋体"/>
                <w:sz w:val="16"/>
                <w:lang w:eastAsia="zh-CN"/>
              </w:rPr>
              <w:t>稳定</w:t>
            </w:r>
            <w:r>
              <w:rPr>
                <w:rFonts w:ascii="宋体" w:hAnsi="宋体" w:eastAsia="宋体"/>
                <w:sz w:val="16"/>
              </w:rPr>
              <w:t>，</w:t>
            </w:r>
            <w:r>
              <w:rPr>
                <w:rFonts w:hint="eastAsia" w:ascii="宋体" w:hAnsi="宋体"/>
                <w:sz w:val="16"/>
                <w:lang w:eastAsia="zh-CN"/>
              </w:rPr>
              <w:t>促进社会公平正义</w:t>
            </w:r>
            <w:r>
              <w:rPr>
                <w:rFonts w:ascii="宋体" w:hAnsi="宋体" w:eastAsia="宋体"/>
                <w:sz w:val="16"/>
              </w:rPr>
              <w:t>。通过及时化解矛盾纠纷，避免了可能引起的群体性事件和个人极端事件。</w:t>
            </w:r>
          </w:p>
        </w:tc>
      </w:tr>
      <w:tr w14:paraId="3E43E7C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0013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7FD5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BCD8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EC3E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30F0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A4BB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BFD0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3A2FF">
            <w:pPr>
              <w:jc w:val="center"/>
            </w:pPr>
            <w:r>
              <w:rPr>
                <w:rFonts w:ascii="宋体" w:hAnsi="宋体" w:eastAsia="宋体"/>
                <w:sz w:val="16"/>
              </w:rPr>
              <w:t>得分</w:t>
            </w:r>
          </w:p>
        </w:tc>
      </w:tr>
      <w:tr w14:paraId="5F25E24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9F45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3502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79B6B">
            <w:pPr>
              <w:jc w:val="center"/>
            </w:pPr>
            <w:r>
              <w:rPr>
                <w:rFonts w:ascii="宋体" w:hAnsi="宋体" w:eastAsia="宋体"/>
                <w:sz w:val="16"/>
              </w:rPr>
              <w:t>信访事项化解率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0C4FC">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315F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2E645">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166B8">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98F7D">
            <w:pPr>
              <w:jc w:val="center"/>
            </w:pPr>
            <w:r>
              <w:rPr>
                <w:rFonts w:ascii="宋体" w:hAnsi="宋体" w:eastAsia="宋体"/>
                <w:sz w:val="16"/>
              </w:rPr>
              <w:t>30</w:t>
            </w:r>
          </w:p>
        </w:tc>
      </w:tr>
      <w:tr w14:paraId="63DD3C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BA58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FB87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EDDAD">
            <w:pPr>
              <w:jc w:val="center"/>
            </w:pPr>
            <w:r>
              <w:rPr>
                <w:rFonts w:ascii="宋体" w:hAnsi="宋体" w:eastAsia="宋体"/>
                <w:sz w:val="16"/>
              </w:rPr>
              <w:t>信访案件及时受理率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64B9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5DEB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272DC">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DEFC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D62D1">
            <w:pPr>
              <w:jc w:val="center"/>
            </w:pPr>
            <w:r>
              <w:rPr>
                <w:rFonts w:ascii="宋体" w:hAnsi="宋体" w:eastAsia="宋体"/>
                <w:sz w:val="16"/>
              </w:rPr>
              <w:t>30</w:t>
            </w:r>
          </w:p>
        </w:tc>
      </w:tr>
      <w:tr w14:paraId="68E605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1BA0A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1EF6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272FB">
            <w:pPr>
              <w:jc w:val="center"/>
            </w:pPr>
            <w:r>
              <w:rPr>
                <w:rFonts w:ascii="宋体" w:hAnsi="宋体" w:eastAsia="宋体"/>
                <w:sz w:val="16"/>
              </w:rPr>
              <w:t>乡镇及社区信访接待场所覆盖率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C3B35">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3A81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AEFE4">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EDFF9">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77C2B">
            <w:pPr>
              <w:jc w:val="center"/>
            </w:pPr>
            <w:r>
              <w:rPr>
                <w:rFonts w:ascii="宋体" w:hAnsi="宋体" w:eastAsia="宋体"/>
                <w:sz w:val="16"/>
              </w:rPr>
              <w:t>30</w:t>
            </w:r>
          </w:p>
        </w:tc>
      </w:tr>
    </w:tbl>
    <w:p w14:paraId="09F4828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6E57D98">
        <w:tblPrEx>
          <w:tblCellMar>
            <w:top w:w="0" w:type="dxa"/>
            <w:left w:w="108" w:type="dxa"/>
            <w:bottom w:w="0" w:type="dxa"/>
            <w:right w:w="108" w:type="dxa"/>
          </w:tblCellMar>
        </w:tblPrEx>
        <w:tc>
          <w:tcPr>
            <w:tcW w:w="8848" w:type="dxa"/>
            <w:gridSpan w:val="14"/>
            <w:vAlign w:val="center"/>
          </w:tcPr>
          <w:p w14:paraId="04AED1B0">
            <w:pPr>
              <w:jc w:val="center"/>
            </w:pPr>
            <w:r>
              <w:rPr>
                <w:rFonts w:ascii="宋体" w:hAnsi="宋体" w:eastAsia="宋体"/>
                <w:sz w:val="24"/>
              </w:rPr>
              <w:t>项目支出绩效自评表</w:t>
            </w:r>
          </w:p>
        </w:tc>
      </w:tr>
      <w:tr w14:paraId="6604BEF6">
        <w:tblPrEx>
          <w:tblCellMar>
            <w:top w:w="0" w:type="dxa"/>
            <w:left w:w="108" w:type="dxa"/>
            <w:bottom w:w="0" w:type="dxa"/>
            <w:right w:w="108" w:type="dxa"/>
          </w:tblCellMar>
        </w:tblPrEx>
        <w:tc>
          <w:tcPr>
            <w:tcW w:w="8848" w:type="dxa"/>
            <w:gridSpan w:val="14"/>
            <w:vAlign w:val="center"/>
          </w:tcPr>
          <w:p w14:paraId="0BAAD053">
            <w:pPr>
              <w:jc w:val="center"/>
            </w:pPr>
            <w:r>
              <w:rPr>
                <w:rFonts w:ascii="宋体" w:hAnsi="宋体" w:eastAsia="宋体"/>
                <w:sz w:val="24"/>
              </w:rPr>
              <w:t>(2024年度)</w:t>
            </w:r>
          </w:p>
        </w:tc>
      </w:tr>
      <w:tr w14:paraId="1B41CB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FA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06BF3C">
            <w:pPr>
              <w:jc w:val="center"/>
            </w:pPr>
            <w:r>
              <w:rPr>
                <w:rFonts w:ascii="宋体" w:hAnsi="宋体" w:eastAsia="宋体"/>
                <w:sz w:val="16"/>
              </w:rPr>
              <w:t>信访业务项目</w:t>
            </w:r>
          </w:p>
        </w:tc>
      </w:tr>
      <w:tr w14:paraId="261D9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29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6AEC7">
            <w:pPr>
              <w:jc w:val="center"/>
            </w:pPr>
            <w:r>
              <w:rPr>
                <w:rFonts w:ascii="宋体" w:hAnsi="宋体" w:eastAsia="宋体"/>
                <w:sz w:val="16"/>
              </w:rPr>
              <w:t>霍城县信访局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BE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45220">
            <w:pPr>
              <w:jc w:val="center"/>
            </w:pPr>
            <w:r>
              <w:rPr>
                <w:rFonts w:ascii="宋体" w:hAnsi="宋体" w:eastAsia="宋体"/>
                <w:sz w:val="16"/>
              </w:rPr>
              <w:t>霍城县信访局</w:t>
            </w:r>
          </w:p>
        </w:tc>
      </w:tr>
      <w:tr w14:paraId="40D7D5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4406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E97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A5B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46F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0681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094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FC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30BC">
            <w:pPr>
              <w:jc w:val="center"/>
            </w:pPr>
            <w:r>
              <w:rPr>
                <w:rFonts w:ascii="宋体" w:hAnsi="宋体" w:eastAsia="宋体"/>
                <w:sz w:val="16"/>
              </w:rPr>
              <w:t>得分</w:t>
            </w:r>
          </w:p>
        </w:tc>
      </w:tr>
      <w:tr w14:paraId="097C5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41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F80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49AD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5BC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E7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2AF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025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FACF">
            <w:pPr>
              <w:jc w:val="center"/>
            </w:pPr>
            <w:r>
              <w:rPr>
                <w:rFonts w:ascii="宋体" w:hAnsi="宋体" w:eastAsia="宋体"/>
                <w:sz w:val="16"/>
              </w:rPr>
              <w:t>10.00</w:t>
            </w:r>
          </w:p>
        </w:tc>
      </w:tr>
      <w:tr w14:paraId="3D9F5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392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A9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EE8F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DAB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B9E8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E26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47E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B18B">
            <w:pPr>
              <w:jc w:val="center"/>
            </w:pPr>
            <w:r>
              <w:rPr>
                <w:rFonts w:ascii="宋体" w:hAnsi="宋体" w:eastAsia="宋体"/>
                <w:sz w:val="16"/>
              </w:rPr>
              <w:t>—</w:t>
            </w:r>
          </w:p>
        </w:tc>
      </w:tr>
      <w:tr w14:paraId="18B84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63E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331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5E2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10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4E7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10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21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B3F1">
            <w:pPr>
              <w:jc w:val="center"/>
            </w:pPr>
            <w:r>
              <w:rPr>
                <w:rFonts w:ascii="宋体" w:hAnsi="宋体" w:eastAsia="宋体"/>
                <w:sz w:val="16"/>
              </w:rPr>
              <w:t>—</w:t>
            </w:r>
          </w:p>
        </w:tc>
      </w:tr>
      <w:tr w14:paraId="270115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CB5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2A5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85559">
            <w:pPr>
              <w:jc w:val="center"/>
            </w:pPr>
            <w:r>
              <w:rPr>
                <w:rFonts w:ascii="宋体" w:hAnsi="宋体" w:eastAsia="宋体"/>
                <w:sz w:val="16"/>
              </w:rPr>
              <w:t>实际完成情况</w:t>
            </w:r>
          </w:p>
        </w:tc>
      </w:tr>
      <w:tr w14:paraId="68E08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0F0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F11D1">
            <w:pPr>
              <w:jc w:val="both"/>
            </w:pPr>
            <w:r>
              <w:rPr>
                <w:rFonts w:ascii="宋体" w:hAnsi="宋体" w:eastAsia="宋体"/>
                <w:sz w:val="16"/>
              </w:rPr>
              <w:t>聚焦党的二十大，以“事要解决”为核心，信访基础业务“四率”力争达到“100%”；推进集中治理重复信访、化解信访积案专项工作，实现上级交办重复信访事项上半年全部化解；紧盯重点领域开展大排查大化解，信访突出问题整治成效显著，坚决实现“三个不发生”和“北京一个不去”的目标。其中信访保障工作差旅费专用1万元；网络安全及通讯费2.2万元；公益性岗位人员工资差额部分1.8万元。通过做好信访保障工作达到为民解难、为党分忧的政治责任，畅通和规范群众诉求表达、把信访制度优势转化为解决信访问题、化解突出矛盾的社会治理效能，更好地维护群众合法权益，更好地促进社会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33170E">
            <w:pPr>
              <w:jc w:val="both"/>
            </w:pPr>
            <w:r>
              <w:rPr>
                <w:rFonts w:ascii="宋体" w:hAnsi="宋体" w:eastAsia="宋体"/>
                <w:sz w:val="16"/>
              </w:rPr>
              <w:t>完成了公益性岗位人数1个发放12次工资1.8万元，保障办公人员3人参与信访保障工作1万元，网络安全及通讯费2.2万元，为及时化解社会矛盾，将矛盾纠纷解决在基层、萌芽状态，避免矛盾激化和升级，减少群体性事件和越级访上访的发生，维护社会秩序，增强群众对政府的信任，让群众感受到政府对他</w:t>
            </w:r>
            <w:r>
              <w:rPr>
                <w:rFonts w:hint="eastAsia" w:ascii="宋体" w:hAnsi="宋体"/>
                <w:sz w:val="16"/>
                <w:lang w:eastAsia="zh-CN"/>
              </w:rPr>
              <w:t>们的</w:t>
            </w:r>
            <w:r>
              <w:rPr>
                <w:rFonts w:ascii="宋体" w:hAnsi="宋体" w:eastAsia="宋体"/>
                <w:sz w:val="16"/>
              </w:rPr>
              <w:t>关心和重视，从而提高政府的公信力，促进社会关系的和谐。</w:t>
            </w:r>
          </w:p>
        </w:tc>
      </w:tr>
      <w:tr w14:paraId="69D231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3D9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57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FD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39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AF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A0E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AF9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AD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193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B0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B4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1D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D7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CBB5">
            <w:pPr>
              <w:jc w:val="center"/>
            </w:pPr>
            <w:r>
              <w:rPr>
                <w:rFonts w:ascii="宋体" w:hAnsi="宋体" w:eastAsia="宋体"/>
                <w:sz w:val="16"/>
              </w:rPr>
              <w:t>偏差原因分析及改进措施</w:t>
            </w:r>
          </w:p>
        </w:tc>
      </w:tr>
      <w:tr w14:paraId="53CF1A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12F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867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A4F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38F0">
            <w:pPr>
              <w:jc w:val="center"/>
            </w:pPr>
            <w:r>
              <w:rPr>
                <w:rFonts w:ascii="宋体" w:hAnsi="宋体" w:eastAsia="宋体"/>
                <w:sz w:val="16"/>
              </w:rPr>
              <w:t>缴纳通讯费次数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66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CDB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18D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1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3D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25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A39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8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A2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864C">
            <w:pPr>
              <w:jc w:val="center"/>
            </w:pPr>
          </w:p>
        </w:tc>
      </w:tr>
      <w:tr w14:paraId="24375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A37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6B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6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B2F9">
            <w:pPr>
              <w:jc w:val="center"/>
            </w:pPr>
            <w:r>
              <w:rPr>
                <w:rFonts w:ascii="宋体" w:hAnsi="宋体" w:eastAsia="宋体"/>
                <w:sz w:val="16"/>
              </w:rPr>
              <w:t>公益性岗位人员人数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8C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1BE0">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D2F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3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FF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CF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914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C3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34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9E88">
            <w:pPr>
              <w:jc w:val="center"/>
            </w:pPr>
          </w:p>
        </w:tc>
      </w:tr>
      <w:tr w14:paraId="2ABA0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62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AB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9B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83AC">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FD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79E4">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EB6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5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CC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9C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78C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9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E3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B56C">
            <w:pPr>
              <w:jc w:val="center"/>
            </w:pPr>
          </w:p>
        </w:tc>
      </w:tr>
      <w:tr w14:paraId="102DC2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E3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C2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6FF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6723">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49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3F9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671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0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54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3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90B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2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37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D4C7">
            <w:pPr>
              <w:jc w:val="center"/>
            </w:pPr>
          </w:p>
        </w:tc>
      </w:tr>
      <w:tr w14:paraId="21249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53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18B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F52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964A">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88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68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2B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B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3B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7B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4D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2D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F0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B4EF">
            <w:pPr>
              <w:jc w:val="center"/>
            </w:pPr>
          </w:p>
        </w:tc>
      </w:tr>
      <w:tr w14:paraId="679EE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5F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37B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23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3D17">
            <w:pPr>
              <w:jc w:val="center"/>
            </w:pPr>
            <w:r>
              <w:rPr>
                <w:rFonts w:ascii="宋体" w:hAnsi="宋体" w:eastAsia="宋体"/>
                <w:sz w:val="16"/>
              </w:rPr>
              <w:t>网上信访事项办结率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46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03CA">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948C">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C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B7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B52F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A52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CA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ED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C675">
            <w:pPr>
              <w:jc w:val="center"/>
            </w:pPr>
          </w:p>
        </w:tc>
      </w:tr>
      <w:tr w14:paraId="343AD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BB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9FA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A3C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9F6E">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CA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5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3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4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AD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68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C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4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CB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AB90">
            <w:pPr>
              <w:jc w:val="center"/>
            </w:pPr>
          </w:p>
        </w:tc>
      </w:tr>
      <w:tr w14:paraId="260BD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F3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06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66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E55F">
            <w:pPr>
              <w:jc w:val="center"/>
            </w:pPr>
            <w:r>
              <w:rPr>
                <w:rFonts w:ascii="宋体" w:hAnsi="宋体" w:eastAsia="宋体"/>
                <w:sz w:val="16"/>
              </w:rPr>
              <w:t>公益性岗位人员工作差额补贴发放及时率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CA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0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7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C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AC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26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F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A4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92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6CB3">
            <w:pPr>
              <w:jc w:val="center"/>
            </w:pPr>
          </w:p>
        </w:tc>
      </w:tr>
      <w:tr w14:paraId="4400D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5F6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F86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68B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0B03">
            <w:pPr>
              <w:jc w:val="center"/>
            </w:pPr>
            <w:r>
              <w:rPr>
                <w:rFonts w:ascii="宋体" w:hAnsi="宋体" w:eastAsia="宋体"/>
                <w:sz w:val="16"/>
              </w:rPr>
              <w:t>人均运转支出标准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7E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575E">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E391">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1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EA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1C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7A1F">
            <w:pPr>
              <w:jc w:val="center"/>
            </w:pPr>
            <w:r>
              <w:rPr>
                <w:rFonts w:ascii="宋体" w:hAnsi="宋体" w:eastAsia="宋体"/>
                <w:sz w:val="16"/>
              </w:rPr>
              <w:t>5000元/人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7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D1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1844">
            <w:pPr>
              <w:jc w:val="center"/>
            </w:pPr>
          </w:p>
        </w:tc>
      </w:tr>
      <w:tr w14:paraId="1B650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E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C4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44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F871">
            <w:pPr>
              <w:jc w:val="center"/>
            </w:pPr>
            <w:r>
              <w:rPr>
                <w:rFonts w:ascii="宋体" w:hAnsi="宋体" w:eastAsia="宋体"/>
                <w:sz w:val="16"/>
              </w:rPr>
              <w:t>每次缴纳通讯费支出标准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B4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32D5">
            <w:pPr>
              <w:jc w:val="center"/>
            </w:pPr>
            <w:r>
              <w:rPr>
                <w:rFonts w:ascii="宋体" w:hAnsi="宋体" w:eastAsia="宋体"/>
                <w:sz w:val="16"/>
              </w:rPr>
              <w:t>=1833元/月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474E">
            <w:pPr>
              <w:jc w:val="center"/>
            </w:pPr>
            <w:r>
              <w:rPr>
                <w:rFonts w:ascii="宋体" w:hAnsi="宋体" w:eastAsia="宋体"/>
                <w:sz w:val="16"/>
              </w:rPr>
              <w:t>1833元/月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71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F63C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27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01BC">
            <w:pPr>
              <w:jc w:val="center"/>
            </w:pPr>
            <w:r>
              <w:rPr>
                <w:rFonts w:ascii="宋体" w:hAnsi="宋体" w:eastAsia="宋体"/>
                <w:sz w:val="16"/>
              </w:rPr>
              <w:t>1833元/月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6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17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7398">
            <w:pPr>
              <w:jc w:val="center"/>
            </w:pPr>
          </w:p>
        </w:tc>
      </w:tr>
      <w:tr w14:paraId="16A03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9F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3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A1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1C3B">
            <w:pPr>
              <w:jc w:val="center"/>
            </w:pPr>
            <w:r>
              <w:rPr>
                <w:rFonts w:ascii="宋体" w:hAnsi="宋体" w:eastAsia="宋体"/>
                <w:sz w:val="16"/>
              </w:rPr>
              <w:t>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EF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3CE6">
            <w:pPr>
              <w:jc w:val="center"/>
            </w:pPr>
            <w:r>
              <w:rPr>
                <w:rFonts w:ascii="宋体" w:hAnsi="宋体" w:eastAsia="宋体"/>
                <w:sz w:val="16"/>
              </w:rPr>
              <w:t>=1500元/月/人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12D9">
            <w:pPr>
              <w:jc w:val="center"/>
            </w:pPr>
            <w:r>
              <w:rPr>
                <w:rFonts w:ascii="宋体" w:hAnsi="宋体" w:eastAsia="宋体"/>
                <w:sz w:val="16"/>
              </w:rPr>
              <w:t>1500元/月/人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8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E2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CA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F3AA">
            <w:pPr>
              <w:jc w:val="center"/>
            </w:pPr>
            <w:r>
              <w:rPr>
                <w:rFonts w:ascii="宋体" w:hAnsi="宋体" w:eastAsia="宋体"/>
                <w:sz w:val="16"/>
              </w:rPr>
              <w:t>1500元/月/人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0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95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6BFF">
            <w:pPr>
              <w:jc w:val="center"/>
            </w:pPr>
          </w:p>
        </w:tc>
      </w:tr>
      <w:tr w14:paraId="57A0A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BB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5A5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2D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5630">
            <w:pPr>
              <w:jc w:val="center"/>
            </w:pPr>
            <w:r>
              <w:rPr>
                <w:rFonts w:ascii="宋体" w:hAnsi="宋体" w:eastAsia="宋体"/>
                <w:sz w:val="16"/>
              </w:rPr>
              <w:t>提高各部门履职能力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8C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A4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2C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1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C4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95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079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DE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C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35AB">
            <w:pPr>
              <w:jc w:val="center"/>
            </w:pPr>
          </w:p>
        </w:tc>
      </w:tr>
      <w:tr w14:paraId="38B35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E4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FE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62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438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48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0E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20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FC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54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AAA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DE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43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27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D535">
            <w:pPr>
              <w:jc w:val="center"/>
            </w:pPr>
          </w:p>
        </w:tc>
      </w:tr>
      <w:tr w14:paraId="61FC718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3BEB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40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05A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E32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47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9FD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8A7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B09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00C4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A26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7FB88"/>
        </w:tc>
      </w:tr>
    </w:tbl>
    <w:p w14:paraId="30E67740">
      <w:r>
        <w:br w:type="page"/>
      </w:r>
    </w:p>
    <w:p w14:paraId="435435FD">
      <w:pPr>
        <w:spacing w:line="640" w:lineRule="exact"/>
        <w:ind w:firstLine="640"/>
        <w:jc w:val="both"/>
        <w:outlineLvl w:val="2"/>
      </w:pPr>
      <w:r>
        <w:rPr>
          <w:rFonts w:ascii="黑体" w:hAnsi="黑体" w:eastAsia="黑体"/>
          <w:sz w:val="32"/>
        </w:rPr>
        <w:t>十二、其他需说明的事项</w:t>
      </w:r>
    </w:p>
    <w:p w14:paraId="31CB40CA">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A9CBEB6">
      <w:r>
        <w:br w:type="page"/>
      </w:r>
    </w:p>
    <w:p w14:paraId="54B3A84C">
      <w:pPr>
        <w:spacing w:line="240" w:lineRule="auto"/>
        <w:jc w:val="center"/>
        <w:outlineLvl w:val="1"/>
      </w:pPr>
      <w:r>
        <w:rPr>
          <w:rFonts w:ascii="黑体" w:hAnsi="黑体" w:eastAsia="黑体"/>
          <w:sz w:val="32"/>
        </w:rPr>
        <w:t>第三部分 专业名词解释</w:t>
      </w:r>
    </w:p>
    <w:p w14:paraId="481761E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C836F9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701E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24350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498DD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79846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9C878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C96A6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9F6B4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88D22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2EDA7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21B6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71208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023E1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F6A35E2">
      <w:r>
        <w:br w:type="page"/>
      </w:r>
    </w:p>
    <w:p w14:paraId="45C84652">
      <w:pPr>
        <w:spacing w:line="240" w:lineRule="auto"/>
        <w:jc w:val="center"/>
        <w:outlineLvl w:val="1"/>
      </w:pPr>
      <w:r>
        <w:rPr>
          <w:rFonts w:ascii="黑体" w:hAnsi="黑体" w:eastAsia="黑体"/>
          <w:sz w:val="32"/>
        </w:rPr>
        <w:t>第四部分 部门决算报表（见附表）</w:t>
      </w:r>
    </w:p>
    <w:p w14:paraId="7BB3543B">
      <w:pPr>
        <w:spacing w:line="240" w:lineRule="auto"/>
        <w:ind w:firstLine="640"/>
        <w:jc w:val="both"/>
      </w:pPr>
      <w:r>
        <w:rPr>
          <w:rFonts w:ascii="仿宋_GB2312" w:hAnsi="仿宋_GB2312" w:eastAsia="仿宋_GB2312"/>
          <w:b w:val="0"/>
          <w:sz w:val="32"/>
        </w:rPr>
        <w:t>一、《收入支出决算总表》</w:t>
      </w:r>
    </w:p>
    <w:p w14:paraId="2FAD2DD9">
      <w:pPr>
        <w:spacing w:line="240" w:lineRule="auto"/>
        <w:ind w:firstLine="640"/>
        <w:jc w:val="both"/>
      </w:pPr>
      <w:r>
        <w:rPr>
          <w:rFonts w:ascii="仿宋_GB2312" w:hAnsi="仿宋_GB2312" w:eastAsia="仿宋_GB2312"/>
          <w:b w:val="0"/>
          <w:sz w:val="32"/>
        </w:rPr>
        <w:t>二、《收入决算表》</w:t>
      </w:r>
    </w:p>
    <w:p w14:paraId="494C2EDB">
      <w:pPr>
        <w:spacing w:line="240" w:lineRule="auto"/>
        <w:ind w:firstLine="640"/>
        <w:jc w:val="both"/>
      </w:pPr>
      <w:r>
        <w:rPr>
          <w:rFonts w:ascii="仿宋_GB2312" w:hAnsi="仿宋_GB2312" w:eastAsia="仿宋_GB2312"/>
          <w:b w:val="0"/>
          <w:sz w:val="32"/>
        </w:rPr>
        <w:t>三、《支出决算表》</w:t>
      </w:r>
    </w:p>
    <w:p w14:paraId="3E1D34A1">
      <w:pPr>
        <w:spacing w:line="240" w:lineRule="auto"/>
        <w:ind w:firstLine="640"/>
        <w:jc w:val="both"/>
      </w:pPr>
      <w:r>
        <w:rPr>
          <w:rFonts w:ascii="仿宋_GB2312" w:hAnsi="仿宋_GB2312" w:eastAsia="仿宋_GB2312"/>
          <w:b w:val="0"/>
          <w:sz w:val="32"/>
        </w:rPr>
        <w:t>四、《财政拨款收入支出决算总表》</w:t>
      </w:r>
    </w:p>
    <w:p w14:paraId="79B6A327">
      <w:pPr>
        <w:spacing w:line="240" w:lineRule="auto"/>
        <w:ind w:firstLine="640"/>
        <w:jc w:val="both"/>
      </w:pPr>
      <w:r>
        <w:rPr>
          <w:rFonts w:ascii="仿宋_GB2312" w:hAnsi="仿宋_GB2312" w:eastAsia="仿宋_GB2312"/>
          <w:b w:val="0"/>
          <w:sz w:val="32"/>
        </w:rPr>
        <w:t>五、《一般公共预算财政拨款支出决算表》</w:t>
      </w:r>
    </w:p>
    <w:p w14:paraId="5BB28A16">
      <w:pPr>
        <w:spacing w:line="240" w:lineRule="auto"/>
        <w:ind w:firstLine="640"/>
        <w:jc w:val="both"/>
      </w:pPr>
      <w:r>
        <w:rPr>
          <w:rFonts w:ascii="仿宋_GB2312" w:hAnsi="仿宋_GB2312" w:eastAsia="仿宋_GB2312"/>
          <w:b w:val="0"/>
          <w:sz w:val="32"/>
        </w:rPr>
        <w:t>六、《一般公共预算财政拨款基本支出决算表》</w:t>
      </w:r>
    </w:p>
    <w:p w14:paraId="6C96B696">
      <w:pPr>
        <w:spacing w:line="240" w:lineRule="auto"/>
        <w:ind w:firstLine="640"/>
        <w:jc w:val="both"/>
      </w:pPr>
      <w:r>
        <w:rPr>
          <w:rFonts w:ascii="仿宋_GB2312" w:hAnsi="仿宋_GB2312" w:eastAsia="仿宋_GB2312"/>
          <w:b w:val="0"/>
          <w:sz w:val="32"/>
        </w:rPr>
        <w:t>七、《政府性基金预算财政拨款收入支出决算表》</w:t>
      </w:r>
    </w:p>
    <w:p w14:paraId="3BDE19EC">
      <w:pPr>
        <w:spacing w:line="240" w:lineRule="auto"/>
        <w:ind w:firstLine="640"/>
        <w:jc w:val="both"/>
      </w:pPr>
      <w:r>
        <w:rPr>
          <w:rFonts w:ascii="仿宋_GB2312" w:hAnsi="仿宋_GB2312" w:eastAsia="仿宋_GB2312"/>
          <w:b w:val="0"/>
          <w:sz w:val="32"/>
        </w:rPr>
        <w:t>八、《国有资本经营预算财政拨款收入支出决算表》</w:t>
      </w:r>
    </w:p>
    <w:p w14:paraId="4CA83E02">
      <w:pPr>
        <w:spacing w:line="240" w:lineRule="auto"/>
        <w:ind w:firstLine="640"/>
        <w:jc w:val="both"/>
      </w:pPr>
      <w:r>
        <w:rPr>
          <w:rFonts w:ascii="仿宋_GB2312" w:hAnsi="仿宋_GB2312" w:eastAsia="仿宋_GB2312"/>
          <w:b w:val="0"/>
          <w:sz w:val="32"/>
        </w:rPr>
        <w:t>九、《财政拨款“三公”经费支出决算表》</w:t>
      </w:r>
    </w:p>
    <w:p w14:paraId="56F8ECB7">
      <w:pPr>
        <w:spacing w:line="240" w:lineRule="auto"/>
        <w:ind w:firstLine="640"/>
        <w:jc w:val="both"/>
      </w:pPr>
    </w:p>
    <w:p w14:paraId="63CCFC0A">
      <w:pPr>
        <w:spacing w:line="240" w:lineRule="auto"/>
        <w:ind w:firstLine="640"/>
        <w:jc w:val="both"/>
      </w:pPr>
    </w:p>
    <w:p w14:paraId="31D64905">
      <w:pPr>
        <w:spacing w:line="240" w:lineRule="auto"/>
        <w:ind w:firstLine="640"/>
        <w:jc w:val="both"/>
      </w:pPr>
    </w:p>
    <w:p w14:paraId="5F2FDE6F">
      <w:pPr>
        <w:spacing w:line="240" w:lineRule="auto"/>
        <w:ind w:firstLine="640"/>
        <w:jc w:val="both"/>
      </w:pPr>
    </w:p>
    <w:p w14:paraId="376F3D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1B0B98-54F2-4E2A-890A-E9DDC4EDCB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7DCC59CA-8D56-4B2C-8F33-9AD245E278C0}"/>
  </w:font>
  <w:font w:name="楷体_GB2312">
    <w:panose1 w:val="02010609030101010101"/>
    <w:charset w:val="86"/>
    <w:family w:val="auto"/>
    <w:pitch w:val="default"/>
    <w:sig w:usb0="00000001" w:usb1="080E0000" w:usb2="00000000" w:usb3="00000000" w:csb0="00040000" w:csb1="00000000"/>
    <w:embedRegular r:id="rId3" w:fontKey="{D3B04DEE-69C2-4E17-9E81-E04A7408383E}"/>
  </w:font>
  <w:font w:name="方正小标宋_GBK">
    <w:panose1 w:val="02000000000000000000"/>
    <w:charset w:val="86"/>
    <w:family w:val="script"/>
    <w:pitch w:val="default"/>
    <w:sig w:usb0="A00002BF" w:usb1="38CF7CFA" w:usb2="00082016" w:usb3="00000000" w:csb0="00040001" w:csb1="00000000"/>
    <w:embedRegular r:id="rId4" w:fontKey="{3CC83459-8989-47F1-AA07-E070211C378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C45D6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F76F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5979</Words>
  <Characters>6732</Characters>
  <Lines>0</Lines>
  <Paragraphs>0</Paragraphs>
  <TotalTime>8</TotalTime>
  <ScaleCrop>false</ScaleCrop>
  <LinksUpToDate>false</LinksUpToDate>
  <CharactersWithSpaces>6741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