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霍城县人民政府办公室2024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3A95A79">
      <w:r>
        <w:br w:type="page"/>
      </w:r>
    </w:p>
    <w:p w14:paraId="0450C5BE">
      <w:pPr>
        <w:spacing w:line="640" w:lineRule="exact"/>
        <w:jc w:val="center"/>
        <w:outlineLvl w:val="1"/>
      </w:pPr>
      <w:r>
        <w:rPr>
          <w:rFonts w:ascii="黑体" w:hAnsi="黑体" w:eastAsia="黑体"/>
          <w:sz w:val="32"/>
        </w:rPr>
        <w:t>第一部分 单位概况</w:t>
      </w:r>
    </w:p>
    <w:p w14:paraId="44D79DD7">
      <w:pPr>
        <w:spacing w:line="640" w:lineRule="exact"/>
        <w:ind w:firstLine="640"/>
        <w:jc w:val="both"/>
        <w:outlineLvl w:val="2"/>
      </w:pPr>
      <w:r>
        <w:rPr>
          <w:rFonts w:ascii="黑体" w:hAnsi="黑体" w:eastAsia="黑体"/>
          <w:sz w:val="32"/>
        </w:rPr>
        <w:t>一、主要职能</w:t>
      </w:r>
    </w:p>
    <w:p w14:paraId="10EB8667">
      <w:pPr>
        <w:spacing w:line="580" w:lineRule="exact"/>
        <w:ind w:firstLine="640"/>
        <w:jc w:val="both"/>
      </w:pPr>
      <w:r>
        <w:rPr>
          <w:rFonts w:ascii="仿宋_GB2312" w:hAnsi="仿宋_GB2312" w:eastAsia="仿宋_GB2312"/>
          <w:sz w:val="32"/>
        </w:rPr>
        <w:t>霍城县人民政府办公室负责贯彻落实党中央关于对办公室工作、数据工作、优化营商环境工作、机关事务管理工作的方针政策、决策部署和自治区党委、自治州党委、县委工作要求，把坚持和加强党对办公室工作、数据工作、优化营商环境工作、机关事务管理工作的集中统一领导落实到履行职责过程中。主要职责是。</w:t>
      </w:r>
    </w:p>
    <w:p w14:paraId="499E3BF4">
      <w:pPr>
        <w:spacing w:line="580" w:lineRule="exact"/>
        <w:ind w:firstLine="640"/>
        <w:jc w:val="both"/>
      </w:pPr>
      <w:r>
        <w:rPr>
          <w:rFonts w:ascii="仿宋_GB2312" w:hAnsi="仿宋_GB2312" w:eastAsia="仿宋_GB2312"/>
          <w:sz w:val="32"/>
        </w:rPr>
        <w:t>（一）围绕县委决策部署和县人民政府中心工作，筹备组织县人民政府各类会议，协助县人民政府领导同志组织实施会议决定事项。</w:t>
      </w:r>
    </w:p>
    <w:p w14:paraId="3E9E261D">
      <w:pPr>
        <w:spacing w:line="580" w:lineRule="exact"/>
        <w:ind w:firstLine="640"/>
        <w:jc w:val="both"/>
      </w:pPr>
      <w:r>
        <w:rPr>
          <w:rFonts w:ascii="仿宋_GB2312" w:hAnsi="仿宋_GB2312" w:eastAsia="仿宋_GB2312"/>
          <w:sz w:val="32"/>
        </w:rPr>
        <w:t>（二）协助县人民政府领导同志组织起草或审核以县人民政府、县人民政府办公室名义发布的公文。</w:t>
      </w:r>
    </w:p>
    <w:p w14:paraId="457F1D67">
      <w:pPr>
        <w:spacing w:line="580" w:lineRule="exact"/>
        <w:ind w:firstLine="640"/>
        <w:jc w:val="both"/>
      </w:pPr>
      <w:r>
        <w:rPr>
          <w:rFonts w:ascii="仿宋_GB2312" w:hAnsi="仿宋_GB2312" w:eastAsia="仿宋_GB2312"/>
          <w:sz w:val="32"/>
        </w:rPr>
        <w:t>（三）督促检查党中央、国务院和自治区党委、人民政府以及县委、县人民政府重要文件、重要会议和领导同志重要批示、交办事项贯彻落实情况并跟踪调研，及时向县人民政府领导同志报告。督促检查人大代表议案、建议和政协提案的督办工作。</w:t>
      </w:r>
    </w:p>
    <w:p w14:paraId="228FC4E8">
      <w:pPr>
        <w:spacing w:line="580" w:lineRule="exact"/>
        <w:ind w:firstLine="640"/>
        <w:jc w:val="both"/>
      </w:pPr>
      <w:r>
        <w:rPr>
          <w:rFonts w:ascii="仿宋_GB2312" w:hAnsi="仿宋_GB2312" w:eastAsia="仿宋_GB2312"/>
          <w:sz w:val="32"/>
        </w:rPr>
        <w:t>（四）研究县人民政府各部门、派出机构和各乡镇（中心）人民政府请示县人民政府的事项，提出审核意见，报县人民政府领导同志审定。</w:t>
      </w:r>
    </w:p>
    <w:p w14:paraId="187F8638">
      <w:pPr>
        <w:spacing w:line="580" w:lineRule="exact"/>
        <w:ind w:firstLine="640"/>
        <w:jc w:val="both"/>
      </w:pPr>
      <w:r>
        <w:rPr>
          <w:rFonts w:ascii="仿宋_GB2312" w:hAnsi="仿宋_GB2312" w:eastAsia="仿宋_GB2312"/>
          <w:sz w:val="32"/>
        </w:rPr>
        <w:t>（五）负责县人民政府值班工作，重要事项及时报告并做出应对处理，传达督促县人民政府领导同志的指示批示。</w:t>
      </w:r>
    </w:p>
    <w:p w14:paraId="6DFC308B">
      <w:pPr>
        <w:spacing w:line="580" w:lineRule="exact"/>
        <w:ind w:firstLine="640"/>
        <w:jc w:val="both"/>
      </w:pPr>
      <w:r>
        <w:rPr>
          <w:rFonts w:ascii="仿宋_GB2312" w:hAnsi="仿宋_GB2312" w:eastAsia="仿宋_GB2312"/>
          <w:sz w:val="32"/>
        </w:rPr>
        <w:t>（六）负责全县政府政务信息收集、调研、整理、报送工作，指导协调全县政府系统信息工作；指导监督全县政务公开及政府信息公开工作。</w:t>
      </w:r>
    </w:p>
    <w:p w14:paraId="444FED13">
      <w:pPr>
        <w:spacing w:line="580" w:lineRule="exact"/>
        <w:ind w:firstLine="640"/>
        <w:jc w:val="both"/>
      </w:pPr>
      <w:r>
        <w:rPr>
          <w:rFonts w:ascii="仿宋_GB2312" w:hAnsi="仿宋_GB2312" w:eastAsia="仿宋_GB2312"/>
          <w:sz w:val="32"/>
        </w:rPr>
        <w:t>（七）根据县人民政府的工作重点和县政府领导同志指示批示，组织专题调查研究，及时反映情况，提出建议。</w:t>
      </w:r>
    </w:p>
    <w:p w14:paraId="41420B26">
      <w:pPr>
        <w:spacing w:line="580" w:lineRule="exact"/>
        <w:ind w:firstLine="640"/>
        <w:jc w:val="both"/>
      </w:pPr>
      <w:r>
        <w:rPr>
          <w:rFonts w:ascii="仿宋_GB2312" w:hAnsi="仿宋_GB2312" w:eastAsia="仿宋_GB2312"/>
          <w:sz w:val="32"/>
        </w:rPr>
        <w:t>（八）统筹、协调、组织全县政府系统绩效考评工作。</w:t>
      </w:r>
    </w:p>
    <w:p w14:paraId="6F7CCFCA">
      <w:pPr>
        <w:spacing w:line="580" w:lineRule="exact"/>
        <w:ind w:firstLine="640"/>
        <w:jc w:val="both"/>
      </w:pPr>
      <w:r>
        <w:rPr>
          <w:rFonts w:ascii="仿宋_GB2312" w:hAnsi="仿宋_GB2312" w:eastAsia="仿宋_GB2312"/>
          <w:sz w:val="32"/>
        </w:rPr>
        <w:t>（九）负责全县政府网站、政府系统电子政务外网的统筹规划、运行管理等工作。</w:t>
      </w:r>
    </w:p>
    <w:p w14:paraId="1877F754">
      <w:pPr>
        <w:spacing w:line="580" w:lineRule="exact"/>
        <w:ind w:firstLine="640"/>
        <w:jc w:val="both"/>
      </w:pPr>
      <w:r>
        <w:rPr>
          <w:rFonts w:ascii="仿宋_GB2312" w:hAnsi="仿宋_GB2312" w:eastAsia="仿宋_GB2312"/>
          <w:sz w:val="32"/>
        </w:rPr>
        <w:t>（十）贯彻落实数据要素、政务服务管理相关政策、法规、措施；贯彻落实数字新疆、数字经济、数字社会、数字政府规划和建设；组织落实国家大数据战略。</w:t>
      </w:r>
    </w:p>
    <w:p w14:paraId="3A0E6665">
      <w:pPr>
        <w:spacing w:line="580" w:lineRule="exact"/>
        <w:ind w:firstLine="640"/>
        <w:jc w:val="both"/>
      </w:pPr>
      <w:r>
        <w:rPr>
          <w:rFonts w:ascii="仿宋_GB2312" w:hAnsi="仿宋_GB2312" w:eastAsia="仿宋_GB2312"/>
          <w:sz w:val="32"/>
        </w:rPr>
        <w:t>（十一）组织落实数据要素产权、流通、分配、治理等数据制度，指导数据要素市场建设，引导数据交易场所建设发展。</w:t>
      </w:r>
    </w:p>
    <w:p w14:paraId="702B8ECA">
      <w:pPr>
        <w:spacing w:line="580" w:lineRule="exact"/>
        <w:ind w:firstLine="640"/>
        <w:jc w:val="both"/>
      </w:pPr>
      <w:r>
        <w:rPr>
          <w:rFonts w:ascii="仿宋_GB2312" w:hAnsi="仿宋_GB2312" w:eastAsia="仿宋_GB2312"/>
          <w:sz w:val="32"/>
        </w:rPr>
        <w:t>（十二）统筹数据资源整合共享和开发利用；协调推进数据资源分类管理，组织推动公共数据资源开发利用，推动信息资源跨部门互联互通。</w:t>
      </w:r>
    </w:p>
    <w:p w14:paraId="090EABDB">
      <w:pPr>
        <w:spacing w:line="580" w:lineRule="exact"/>
        <w:ind w:firstLine="640"/>
        <w:jc w:val="both"/>
      </w:pPr>
      <w:r>
        <w:rPr>
          <w:rFonts w:ascii="仿宋_GB2312" w:hAnsi="仿宋_GB2312" w:eastAsia="仿宋_GB2312"/>
          <w:sz w:val="32"/>
        </w:rPr>
        <w:t>（十三）负责组织、协调、指导推进数字政府的改革、建设、管理；负责推动政务服务体系建设，落实政务服务“一网通办”、政府运行“一网协办”、经济社会治理“一网统管”建设；负责政务服务综合管理、业务指导；统筹推进行政审批制度改革。</w:t>
      </w:r>
    </w:p>
    <w:p w14:paraId="3E11573B">
      <w:pPr>
        <w:spacing w:line="580" w:lineRule="exact"/>
        <w:ind w:firstLine="640"/>
        <w:jc w:val="both"/>
      </w:pPr>
      <w:r>
        <w:rPr>
          <w:rFonts w:ascii="仿宋_GB2312" w:hAnsi="仿宋_GB2312" w:eastAsia="仿宋_GB2312"/>
          <w:sz w:val="32"/>
        </w:rPr>
        <w:t>（十四）协调推进数字经济发展，促进数字产业化和产业数字化；推动跨领域跨行业数字化转型，促进数字经济和实体经济深度融合；协调推动数字社会发展；协调推动公共服务和社会治理信息化，协调促进智慧城市建设。</w:t>
      </w:r>
    </w:p>
    <w:p w14:paraId="71B182B7">
      <w:pPr>
        <w:spacing w:line="580" w:lineRule="exact"/>
        <w:ind w:firstLine="640"/>
        <w:jc w:val="both"/>
      </w:pPr>
      <w:r>
        <w:rPr>
          <w:rFonts w:ascii="仿宋_GB2312" w:hAnsi="仿宋_GB2312" w:eastAsia="仿宋_GB2312"/>
          <w:sz w:val="32"/>
        </w:rPr>
        <w:t>（十五）组织拟定霍城县有关数字基础设施布局规划，协调推进数字基础设施布局建设。</w:t>
      </w:r>
    </w:p>
    <w:p w14:paraId="3E009720">
      <w:pPr>
        <w:spacing w:line="580" w:lineRule="exact"/>
        <w:ind w:firstLine="640"/>
        <w:jc w:val="both"/>
      </w:pPr>
      <w:r>
        <w:rPr>
          <w:rFonts w:ascii="仿宋_GB2312" w:hAnsi="仿宋_GB2312" w:eastAsia="仿宋_GB2312"/>
          <w:sz w:val="32"/>
        </w:rPr>
        <w:t>（十六）贯彻落实数据安全相关政策，履行相应数据安全职责；协同县委网络安全和信息化委员会办公室开展网络数据跨境流动安全评估和监管工作。</w:t>
      </w:r>
    </w:p>
    <w:p w14:paraId="3C993BFE">
      <w:pPr>
        <w:spacing w:line="580" w:lineRule="exact"/>
        <w:ind w:firstLine="640"/>
        <w:jc w:val="both"/>
      </w:pPr>
      <w:r>
        <w:rPr>
          <w:rFonts w:ascii="仿宋_GB2312" w:hAnsi="仿宋_GB2312" w:eastAsia="仿宋_GB2312"/>
          <w:sz w:val="32"/>
        </w:rPr>
        <w:t>（十七）负责管理数字政府平台建设运维资金；负责数据资产管理。</w:t>
      </w:r>
    </w:p>
    <w:p w14:paraId="74CE70B0">
      <w:pPr>
        <w:spacing w:line="580" w:lineRule="exact"/>
        <w:ind w:firstLine="640"/>
        <w:jc w:val="both"/>
      </w:pPr>
      <w:r>
        <w:rPr>
          <w:rFonts w:ascii="仿宋_GB2312" w:hAnsi="仿宋_GB2312" w:eastAsia="仿宋_GB2312"/>
          <w:sz w:val="32"/>
        </w:rPr>
        <w:t>（十八）负责机关事务的管理、保障、服务工作；拟订县机关事务管理工作规划、制度并组织实施；监督指导机关事务管理、保障、服务和体制改革工作。</w:t>
      </w:r>
    </w:p>
    <w:p w14:paraId="26026762">
      <w:pPr>
        <w:spacing w:line="580" w:lineRule="exact"/>
        <w:ind w:firstLine="640"/>
        <w:jc w:val="both"/>
      </w:pPr>
      <w:r>
        <w:rPr>
          <w:rFonts w:ascii="仿宋_GB2312" w:hAnsi="仿宋_GB2312" w:eastAsia="仿宋_GB2312"/>
          <w:sz w:val="32"/>
        </w:rPr>
        <w:t>（十九）负责机关周转公房的统一管理。拟订县机关后勤体制改革的政策和办法并组织实施，指导机关后勤管理工作。</w:t>
      </w:r>
    </w:p>
    <w:p w14:paraId="6241A00E">
      <w:pPr>
        <w:spacing w:line="580" w:lineRule="exact"/>
        <w:ind w:firstLine="640"/>
        <w:jc w:val="both"/>
      </w:pPr>
      <w:r>
        <w:rPr>
          <w:rFonts w:ascii="仿宋_GB2312" w:hAnsi="仿宋_GB2312" w:eastAsia="仿宋_GB2312"/>
          <w:sz w:val="32"/>
        </w:rPr>
        <w:t>（二十）负责机关、事业单位、社会团体有关节约能源监督管理工作；会同有关部门制定公共机构节能规划并组织实施；推进、指导、协调、监督各部门的公共机构节能工作。</w:t>
      </w:r>
    </w:p>
    <w:p w14:paraId="5922D906">
      <w:pPr>
        <w:spacing w:line="580" w:lineRule="exact"/>
        <w:ind w:firstLine="640"/>
        <w:jc w:val="both"/>
      </w:pPr>
      <w:r>
        <w:rPr>
          <w:rFonts w:ascii="仿宋_GB2312" w:hAnsi="仿宋_GB2312" w:eastAsia="仿宋_GB2312"/>
          <w:sz w:val="32"/>
        </w:rPr>
        <w:t>（二十一）负责机关、事业单位相关资产管理工作；统一管理全县党政机关办公用房和公务用车；负责拟订县公务接待的范围和标准；承办县重大活动和大型会议接待车辆保障服务工作。</w:t>
      </w:r>
    </w:p>
    <w:p w14:paraId="4CD8CB7C">
      <w:pPr>
        <w:spacing w:line="580" w:lineRule="exact"/>
        <w:ind w:firstLine="640"/>
        <w:jc w:val="both"/>
      </w:pPr>
      <w:r>
        <w:rPr>
          <w:rFonts w:ascii="仿宋_GB2312" w:hAnsi="仿宋_GB2312" w:eastAsia="仿宋_GB2312"/>
          <w:sz w:val="32"/>
        </w:rPr>
        <w:t>（二十二）牵头全县推进优化营商环境工作。贯彻执行国家、自治区和自治州有关优化营商环境的方针政策、法律法规、规章制度等，组织起草职责范围内营商环境地方性法规、地方政府规章草案和规范性文件，协调推进市场化、法治化、国际化营商环境建设。拟订并组织实施霍城县营商环境建设工作规划和年度计划，建立完善营商环境建设考核体系和协调配合工作机制，开展营商环境领域制度集成创新，推动营商环境领域重点任务和改革措施落实落地。牵头开展优化营商环境专项整治，协调推动解决营商环境建设中的具体问题。汇总分析涉及营商环境方面的基础性、共性事项，推动建立解决问题的长效机制。组织指导、统筹协调、监督检查各乡镇（中心）、各部门营商环境建设工作。总结营商环境建设典型经验，分析研判破解难题，优化工作流程、工作机制并推广应用。按照自治区营商环境评价指标体系，开展民营企业评价政府服务工作，组织各乡镇（中心）、各部门开展自评自查，抓好评估结果的分析监测和督办落实。建设全生命周期企业服务体系，建立企业首席服务专员、营商环境督查员等制度，建立健全常态化政企沟通机制，推进惠企政策落实；协调解决涉企跨部门跨领域跨系统营商环境方面重大事项；开展企业服务质量评价。</w:t>
      </w:r>
    </w:p>
    <w:p w14:paraId="11AD1BAC">
      <w:pPr>
        <w:spacing w:line="580" w:lineRule="exact"/>
        <w:ind w:firstLine="640"/>
        <w:jc w:val="both"/>
      </w:pPr>
      <w:r>
        <w:rPr>
          <w:rFonts w:ascii="仿宋_GB2312" w:hAnsi="仿宋_GB2312" w:eastAsia="仿宋_GB2312"/>
          <w:sz w:val="32"/>
        </w:rPr>
        <w:t>（二十三）完成县委、县人民政府交办的其他任务。</w:t>
      </w:r>
    </w:p>
    <w:p w14:paraId="126A40AB">
      <w:pPr>
        <w:spacing w:line="640" w:lineRule="exact"/>
        <w:ind w:firstLine="640"/>
        <w:jc w:val="both"/>
        <w:outlineLvl w:val="2"/>
      </w:pPr>
      <w:r>
        <w:rPr>
          <w:rFonts w:ascii="黑体" w:hAnsi="黑体" w:eastAsia="黑体"/>
          <w:sz w:val="32"/>
        </w:rPr>
        <w:t>二、机构设置及人员情况</w:t>
      </w:r>
    </w:p>
    <w:p w14:paraId="57646DFE">
      <w:pPr>
        <w:spacing w:line="580" w:lineRule="exact"/>
        <w:ind w:firstLine="640"/>
        <w:jc w:val="both"/>
      </w:pPr>
      <w:r>
        <w:rPr>
          <w:rFonts w:ascii="仿宋_GB2312" w:hAnsi="仿宋_GB2312" w:eastAsia="仿宋_GB2312"/>
          <w:sz w:val="32"/>
        </w:rPr>
        <w:t>霍城县人民政府办公室2024年度，实有人数84人，其中：在职人员59人，增加14人；离休人员0人，增加0人；退休人员25人,减少1人。</w:t>
      </w:r>
    </w:p>
    <w:p w14:paraId="46FCAFDC">
      <w:pPr>
        <w:spacing w:line="580" w:lineRule="exact"/>
        <w:ind w:firstLine="640"/>
        <w:jc w:val="both"/>
      </w:pPr>
      <w:r>
        <w:rPr>
          <w:rFonts w:ascii="仿宋_GB2312" w:hAnsi="仿宋_GB2312" w:eastAsia="仿宋_GB2312"/>
          <w:sz w:val="32"/>
        </w:rPr>
        <w:t>霍城县人民政府办公室无下属预算单位，下设8个科室，分别是：政府办公室、</w:t>
      </w:r>
      <w:r>
        <w:rPr>
          <w:rFonts w:hint="eastAsia" w:ascii="仿宋_GB2312" w:hAnsi="仿宋_GB2312" w:eastAsia="仿宋_GB2312"/>
          <w:sz w:val="32"/>
          <w:lang w:eastAsia="zh-CN"/>
        </w:rPr>
        <w:t>电子政务</w:t>
      </w:r>
      <w:r>
        <w:rPr>
          <w:rFonts w:ascii="仿宋_GB2312" w:hAnsi="仿宋_GB2312" w:eastAsia="仿宋_GB2312"/>
          <w:sz w:val="32"/>
        </w:rPr>
        <w:t>办公室、</w:t>
      </w:r>
      <w:r>
        <w:rPr>
          <w:rFonts w:hint="eastAsia" w:ascii="仿宋_GB2312" w:hAnsi="仿宋_GB2312" w:eastAsia="仿宋_GB2312"/>
          <w:sz w:val="32"/>
          <w:lang w:eastAsia="zh-CN"/>
        </w:rPr>
        <w:t>“放管服”</w:t>
      </w:r>
      <w:r>
        <w:rPr>
          <w:rFonts w:ascii="仿宋_GB2312" w:hAnsi="仿宋_GB2312" w:eastAsia="仿宋_GB2312"/>
          <w:sz w:val="32"/>
        </w:rPr>
        <w:t>办公室、采购中心、政务服务中心、人工影响天气保障中心、机关事务办公室、接待处。</w:t>
      </w:r>
    </w:p>
    <w:p w14:paraId="03F0C849">
      <w:r>
        <w:br w:type="page"/>
      </w:r>
    </w:p>
    <w:p w14:paraId="0C8B2E67">
      <w:pPr>
        <w:spacing w:line="240" w:lineRule="auto"/>
        <w:jc w:val="center"/>
        <w:outlineLvl w:val="1"/>
      </w:pPr>
      <w:r>
        <w:rPr>
          <w:rFonts w:ascii="黑体" w:hAnsi="黑体" w:eastAsia="黑体"/>
          <w:sz w:val="32"/>
        </w:rPr>
        <w:t>第二部分 部门决算情况说明</w:t>
      </w:r>
    </w:p>
    <w:p w14:paraId="6DF51FEA">
      <w:pPr>
        <w:spacing w:line="640" w:lineRule="exact"/>
        <w:ind w:firstLine="640"/>
        <w:jc w:val="both"/>
        <w:outlineLvl w:val="2"/>
      </w:pPr>
      <w:r>
        <w:rPr>
          <w:rFonts w:ascii="黑体" w:hAnsi="黑体" w:eastAsia="黑体"/>
          <w:sz w:val="32"/>
        </w:rPr>
        <w:t>一、收入支出决算总体情况说明</w:t>
      </w:r>
    </w:p>
    <w:p w14:paraId="0F6323F2">
      <w:pPr>
        <w:spacing w:line="580" w:lineRule="exact"/>
        <w:ind w:firstLine="640"/>
        <w:jc w:val="both"/>
      </w:pPr>
      <w:r>
        <w:rPr>
          <w:rFonts w:ascii="仿宋_GB2312" w:hAnsi="仿宋_GB2312" w:eastAsia="仿宋_GB2312"/>
          <w:b/>
          <w:sz w:val="32"/>
        </w:rPr>
        <w:t>2024年度收入总计1,172.84万元，</w:t>
      </w:r>
      <w:r>
        <w:rPr>
          <w:rFonts w:ascii="仿宋_GB2312" w:hAnsi="仿宋_GB2312" w:eastAsia="仿宋_GB2312"/>
          <w:b w:val="0"/>
          <w:sz w:val="32"/>
        </w:rPr>
        <w:t>其中：本年收入合计1,168.08万元，使用非财政拨款结余（含专用结余）0.00万元，年初结转和结余4.76万元。</w:t>
      </w:r>
    </w:p>
    <w:p w14:paraId="32FC6B57">
      <w:pPr>
        <w:spacing w:line="580" w:lineRule="exact"/>
        <w:ind w:firstLine="640"/>
        <w:jc w:val="both"/>
      </w:pPr>
      <w:r>
        <w:rPr>
          <w:rFonts w:ascii="仿宋_GB2312" w:hAnsi="仿宋_GB2312" w:eastAsia="仿宋_GB2312"/>
          <w:b/>
          <w:sz w:val="32"/>
        </w:rPr>
        <w:t>2024年度支出总计1,172.84万元，</w:t>
      </w:r>
      <w:r>
        <w:rPr>
          <w:rFonts w:ascii="仿宋_GB2312" w:hAnsi="仿宋_GB2312" w:eastAsia="仿宋_GB2312"/>
          <w:b w:val="0"/>
          <w:sz w:val="32"/>
        </w:rPr>
        <w:t>其中：本年支出合计1,167.89万元，结余分配0.00万元，年末结转和结余4.95万元。</w:t>
      </w:r>
    </w:p>
    <w:p w14:paraId="2076A88C">
      <w:pPr>
        <w:spacing w:line="580" w:lineRule="exact"/>
        <w:ind w:firstLine="640"/>
        <w:jc w:val="both"/>
      </w:pPr>
      <w:r>
        <w:rPr>
          <w:rFonts w:ascii="仿宋_GB2312" w:hAnsi="仿宋_GB2312" w:eastAsia="仿宋_GB2312"/>
          <w:b w:val="0"/>
          <w:sz w:val="32"/>
        </w:rPr>
        <w:t>收入支出总体与上年相比，增加142.81万元，增长13.86%，主要原因是：本年机构改革，机关事务、接待处划转政府办，在职人员增加，相关人员经费增加，增加2023年经济工作表彰奖励金、下半年办公费，法律顾问服务费项目、政府网站技术服务项目资金。</w:t>
      </w:r>
    </w:p>
    <w:p w14:paraId="31FF4868">
      <w:pPr>
        <w:spacing w:line="640" w:lineRule="exact"/>
        <w:ind w:firstLine="640"/>
        <w:jc w:val="both"/>
        <w:outlineLvl w:val="2"/>
      </w:pPr>
      <w:r>
        <w:rPr>
          <w:rFonts w:ascii="黑体" w:hAnsi="黑体" w:eastAsia="黑体"/>
          <w:sz w:val="32"/>
        </w:rPr>
        <w:t>二、收入决算情况说明</w:t>
      </w:r>
    </w:p>
    <w:p w14:paraId="6035F3ED">
      <w:pPr>
        <w:spacing w:line="580" w:lineRule="exact"/>
        <w:ind w:firstLine="640"/>
        <w:jc w:val="both"/>
      </w:pPr>
      <w:r>
        <w:rPr>
          <w:rFonts w:ascii="仿宋_GB2312" w:hAnsi="仿宋_GB2312" w:eastAsia="仿宋_GB2312"/>
          <w:b/>
          <w:sz w:val="32"/>
        </w:rPr>
        <w:t>本年收入1,168.08万元，</w:t>
      </w:r>
      <w:r>
        <w:rPr>
          <w:rFonts w:ascii="仿宋_GB2312" w:hAnsi="仿宋_GB2312" w:eastAsia="仿宋_GB2312"/>
          <w:b w:val="0"/>
          <w:sz w:val="32"/>
        </w:rPr>
        <w:t>其中：财政拨款收入1,063.08万元，占91.01%；上级补助收入0.00万元，占0.00%；事业收入0.00万元，占0.00%；经营收入0.00万元，占0.00%；附属单位上缴收入0.00万元，占0.00%；其他收入105.00万元，占8.99%。</w:t>
      </w:r>
    </w:p>
    <w:p w14:paraId="6F4D7EF6">
      <w:pPr>
        <w:spacing w:line="640" w:lineRule="exact"/>
        <w:ind w:firstLine="640"/>
        <w:jc w:val="both"/>
        <w:outlineLvl w:val="2"/>
      </w:pPr>
      <w:r>
        <w:rPr>
          <w:rFonts w:ascii="黑体" w:hAnsi="黑体" w:eastAsia="黑体"/>
          <w:sz w:val="32"/>
        </w:rPr>
        <w:t>三、支出决算情况说明</w:t>
      </w:r>
    </w:p>
    <w:p w14:paraId="1F114684">
      <w:pPr>
        <w:spacing w:line="580" w:lineRule="exact"/>
        <w:ind w:firstLine="640"/>
        <w:jc w:val="both"/>
      </w:pPr>
      <w:r>
        <w:rPr>
          <w:rFonts w:ascii="仿宋_GB2312" w:hAnsi="仿宋_GB2312" w:eastAsia="仿宋_GB2312"/>
          <w:b/>
          <w:sz w:val="32"/>
        </w:rPr>
        <w:t>本年支出1,167.89万元，</w:t>
      </w:r>
      <w:r>
        <w:rPr>
          <w:rFonts w:ascii="仿宋_GB2312" w:hAnsi="仿宋_GB2312" w:eastAsia="仿宋_GB2312"/>
          <w:b w:val="0"/>
          <w:sz w:val="32"/>
        </w:rPr>
        <w:t>其中：基本支出1,167.89万元，占100.00%；项目支出0.00万元，占0.00%；上缴上级支出0.00万元，占0.00%；经营支出0.00万元，占0.00%；对附属单位补助支出0.00万元，占0.00%。</w:t>
      </w:r>
    </w:p>
    <w:p w14:paraId="3A06CFBB">
      <w:pPr>
        <w:spacing w:line="640" w:lineRule="exact"/>
        <w:ind w:firstLine="640"/>
        <w:jc w:val="both"/>
        <w:outlineLvl w:val="2"/>
      </w:pPr>
      <w:r>
        <w:rPr>
          <w:rFonts w:ascii="黑体" w:hAnsi="黑体" w:eastAsia="黑体"/>
          <w:sz w:val="32"/>
        </w:rPr>
        <w:t>四、财政拨款收入支出决算总体情况说明</w:t>
      </w:r>
    </w:p>
    <w:p w14:paraId="29216EB6">
      <w:pPr>
        <w:spacing w:line="580" w:lineRule="exact"/>
        <w:ind w:firstLine="640"/>
        <w:jc w:val="both"/>
      </w:pPr>
      <w:r>
        <w:rPr>
          <w:rFonts w:ascii="仿宋_GB2312" w:hAnsi="仿宋_GB2312" w:eastAsia="仿宋_GB2312"/>
          <w:b/>
          <w:sz w:val="32"/>
        </w:rPr>
        <w:t>2024年度财政拨款收入总计1,063.08万元，</w:t>
      </w:r>
      <w:r>
        <w:rPr>
          <w:rFonts w:ascii="仿宋_GB2312" w:hAnsi="仿宋_GB2312" w:eastAsia="仿宋_GB2312"/>
          <w:b w:val="0"/>
          <w:sz w:val="32"/>
        </w:rPr>
        <w:t>其中：年初财政拨款结转和结余0.00万元，本年财政拨款收入1,063.08万元。</w:t>
      </w:r>
      <w:r>
        <w:rPr>
          <w:rFonts w:ascii="仿宋_GB2312" w:hAnsi="仿宋_GB2312" w:eastAsia="仿宋_GB2312"/>
          <w:b/>
          <w:sz w:val="32"/>
        </w:rPr>
        <w:t>财政拨款支出总计1,063.08万元，</w:t>
      </w:r>
      <w:r>
        <w:rPr>
          <w:rFonts w:ascii="仿宋_GB2312" w:hAnsi="仿宋_GB2312" w:eastAsia="仿宋_GB2312"/>
          <w:b w:val="0"/>
          <w:sz w:val="32"/>
        </w:rPr>
        <w:t>其中：年末财政拨款结转和结余0.00万元，本年财政拨款支出1,063.08万元。</w:t>
      </w:r>
    </w:p>
    <w:p w14:paraId="70C6CE0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增加98.08万元，增长10.16%，主要原因是：本年机构改革，机关事务、接待处划转政府办，在职人员增加，相关人员经费增加，增加政府网站技术服务费等项目；支付</w:t>
      </w:r>
      <w:r>
        <w:rPr>
          <w:rFonts w:hint="eastAsia" w:ascii="仿宋_GB2312" w:hAnsi="仿宋_GB2312" w:eastAsia="仿宋_GB2312"/>
          <w:b w:val="0"/>
          <w:sz w:val="32"/>
          <w:lang w:eastAsia="zh-CN"/>
        </w:rPr>
        <w:t>YQ</w:t>
      </w:r>
      <w:r>
        <w:rPr>
          <w:rFonts w:ascii="仿宋_GB2312" w:hAnsi="仿宋_GB2312" w:eastAsia="仿宋_GB2312"/>
          <w:b w:val="0"/>
          <w:sz w:val="32"/>
        </w:rPr>
        <w:t>期间的住宿费用，相应支出增加。</w:t>
      </w:r>
      <w:r>
        <w:rPr>
          <w:rFonts w:ascii="仿宋_GB2312" w:hAnsi="仿宋_GB2312" w:eastAsia="仿宋_GB2312"/>
          <w:b/>
          <w:sz w:val="32"/>
        </w:rPr>
        <w:t>与年初预算相比，</w:t>
      </w:r>
      <w:r>
        <w:rPr>
          <w:rFonts w:ascii="仿宋_GB2312" w:hAnsi="仿宋_GB2312" w:eastAsia="仿宋_GB2312"/>
          <w:b w:val="0"/>
          <w:sz w:val="32"/>
        </w:rPr>
        <w:t>年初预算数869.03万元，决算数1,063.08万元，预决算差异率22.33%，主要原因是：本年机构改革，机关事务、接待处划转政府办，在职人员增加，年中追加人员经费及人员工资、社保、公积金基数调增部分资金，导致预决算存在差异。</w:t>
      </w:r>
    </w:p>
    <w:p w14:paraId="0B71C401">
      <w:pPr>
        <w:spacing w:line="640" w:lineRule="exact"/>
        <w:ind w:firstLine="640"/>
        <w:jc w:val="both"/>
        <w:outlineLvl w:val="2"/>
      </w:pPr>
      <w:r>
        <w:rPr>
          <w:rFonts w:ascii="黑体" w:hAnsi="黑体" w:eastAsia="黑体"/>
          <w:sz w:val="32"/>
        </w:rPr>
        <w:t>五、一般公共预算财政拨款支出决算情况说明</w:t>
      </w:r>
    </w:p>
    <w:p w14:paraId="1C45F7B5">
      <w:pPr>
        <w:spacing w:line="640" w:lineRule="exact"/>
        <w:ind w:firstLine="640"/>
        <w:jc w:val="both"/>
        <w:outlineLvl w:val="3"/>
      </w:pPr>
      <w:r>
        <w:rPr>
          <w:rFonts w:ascii="楷体_GB2312" w:hAnsi="楷体_GB2312" w:eastAsia="楷体_GB2312"/>
          <w:b/>
          <w:sz w:val="32"/>
        </w:rPr>
        <w:t>（一）一般公共预算财政拨款支出决算总体情况</w:t>
      </w:r>
    </w:p>
    <w:p w14:paraId="371E4320">
      <w:pPr>
        <w:spacing w:line="580" w:lineRule="exact"/>
        <w:ind w:firstLine="640"/>
        <w:jc w:val="both"/>
      </w:pPr>
      <w:r>
        <w:rPr>
          <w:rFonts w:ascii="仿宋_GB2312" w:hAnsi="仿宋_GB2312" w:eastAsia="仿宋_GB2312"/>
          <w:b/>
          <w:sz w:val="32"/>
        </w:rPr>
        <w:t>2024年度一般公共预算财政拨款支出1,063.08万元，</w:t>
      </w:r>
      <w:r>
        <w:rPr>
          <w:rFonts w:ascii="仿宋_GB2312" w:hAnsi="仿宋_GB2312" w:eastAsia="仿宋_GB2312"/>
          <w:b w:val="0"/>
          <w:sz w:val="32"/>
        </w:rPr>
        <w:t>占本年支出合计的91.03%。</w:t>
      </w:r>
      <w:r>
        <w:rPr>
          <w:rFonts w:ascii="仿宋_GB2312" w:hAnsi="仿宋_GB2312" w:eastAsia="仿宋_GB2312"/>
          <w:b/>
          <w:sz w:val="32"/>
        </w:rPr>
        <w:t>与上年相比，</w:t>
      </w:r>
      <w:r>
        <w:rPr>
          <w:rFonts w:ascii="仿宋_GB2312" w:hAnsi="仿宋_GB2312" w:eastAsia="仿宋_GB2312"/>
          <w:b w:val="0"/>
          <w:sz w:val="32"/>
        </w:rPr>
        <w:t>增加98.08万元，增长10.16%，主要原因是：本年机构改革，机关事务、接待处划转政府办，在职人员增加，相关人员经费增加，增加政府网站技术服务费等项目；支付</w:t>
      </w:r>
      <w:r>
        <w:rPr>
          <w:rFonts w:hint="eastAsia" w:ascii="仿宋_GB2312" w:hAnsi="仿宋_GB2312" w:eastAsia="仿宋_GB2312"/>
          <w:b w:val="0"/>
          <w:sz w:val="32"/>
          <w:lang w:eastAsia="zh-CN"/>
        </w:rPr>
        <w:t>YQ</w:t>
      </w:r>
      <w:r>
        <w:rPr>
          <w:rFonts w:ascii="仿宋_GB2312" w:hAnsi="仿宋_GB2312" w:eastAsia="仿宋_GB2312"/>
          <w:b w:val="0"/>
          <w:sz w:val="32"/>
        </w:rPr>
        <w:t>期间的住宿费用，相应支出增加。</w:t>
      </w:r>
      <w:r>
        <w:rPr>
          <w:rFonts w:ascii="仿宋_GB2312" w:hAnsi="仿宋_GB2312" w:eastAsia="仿宋_GB2312"/>
          <w:b/>
          <w:sz w:val="32"/>
        </w:rPr>
        <w:t>与年初预算相比,</w:t>
      </w:r>
      <w:r>
        <w:rPr>
          <w:rFonts w:ascii="仿宋_GB2312" w:hAnsi="仿宋_GB2312" w:eastAsia="仿宋_GB2312"/>
          <w:b w:val="0"/>
          <w:sz w:val="32"/>
        </w:rPr>
        <w:t>年初预算数869.03万元，决算数1,063.08万元，预决算差异率22.33%，主要原因是：本年机构改革，机关事务、接待处划转政府办，在职人员增加，年中追加人员经费及人员工资、社保、公积金基数调增部分资金，导致预决算存在差异。</w:t>
      </w:r>
    </w:p>
    <w:p w14:paraId="7FD0328E">
      <w:pPr>
        <w:spacing w:line="640" w:lineRule="exact"/>
        <w:ind w:firstLine="640"/>
        <w:jc w:val="both"/>
        <w:outlineLvl w:val="3"/>
      </w:pPr>
      <w:r>
        <w:rPr>
          <w:rFonts w:ascii="楷体_GB2312" w:hAnsi="楷体_GB2312" w:eastAsia="楷体_GB2312"/>
          <w:b/>
          <w:sz w:val="32"/>
        </w:rPr>
        <w:t>（二）一般公共预算财政拨款支出决算结构情况</w:t>
      </w:r>
    </w:p>
    <w:p w14:paraId="7C840B00">
      <w:pPr>
        <w:spacing w:line="580" w:lineRule="exact"/>
        <w:ind w:firstLine="640"/>
        <w:jc w:val="both"/>
      </w:pPr>
      <w:r>
        <w:rPr>
          <w:rFonts w:ascii="仿宋_GB2312" w:hAnsi="仿宋_GB2312" w:eastAsia="仿宋_GB2312"/>
          <w:b w:val="0"/>
          <w:sz w:val="32"/>
        </w:rPr>
        <w:t>1.一般公共服务支出(类)738.56万元,占69.47%。</w:t>
      </w:r>
    </w:p>
    <w:p w14:paraId="42479A0E">
      <w:pPr>
        <w:spacing w:line="580" w:lineRule="exact"/>
        <w:ind w:firstLine="640"/>
        <w:jc w:val="both"/>
      </w:pPr>
      <w:r>
        <w:rPr>
          <w:rFonts w:ascii="仿宋_GB2312" w:hAnsi="仿宋_GB2312" w:eastAsia="仿宋_GB2312"/>
          <w:b w:val="0"/>
          <w:sz w:val="32"/>
        </w:rPr>
        <w:t>2.科学技术支出(类)73.93万元,占6.95%。</w:t>
      </w:r>
    </w:p>
    <w:p w14:paraId="38FC30FF">
      <w:pPr>
        <w:spacing w:line="580" w:lineRule="exact"/>
        <w:ind w:firstLine="640"/>
        <w:jc w:val="both"/>
      </w:pPr>
      <w:r>
        <w:rPr>
          <w:rFonts w:ascii="仿宋_GB2312" w:hAnsi="仿宋_GB2312" w:eastAsia="仿宋_GB2312"/>
          <w:b w:val="0"/>
          <w:sz w:val="32"/>
        </w:rPr>
        <w:t>3.社会保障和就业支出(类)104.82万元,占9.86%。</w:t>
      </w:r>
    </w:p>
    <w:p w14:paraId="493EE837">
      <w:pPr>
        <w:spacing w:line="580" w:lineRule="exact"/>
        <w:ind w:firstLine="640"/>
        <w:jc w:val="both"/>
      </w:pPr>
      <w:r>
        <w:rPr>
          <w:rFonts w:ascii="仿宋_GB2312" w:hAnsi="仿宋_GB2312" w:eastAsia="仿宋_GB2312"/>
          <w:b w:val="0"/>
          <w:sz w:val="32"/>
        </w:rPr>
        <w:t>4.卫生健康支出(类)81.61万元,占7.68%。</w:t>
      </w:r>
    </w:p>
    <w:p w14:paraId="29656FC5">
      <w:pPr>
        <w:spacing w:line="580" w:lineRule="exact"/>
        <w:ind w:firstLine="640"/>
        <w:jc w:val="both"/>
      </w:pPr>
      <w:r>
        <w:rPr>
          <w:rFonts w:ascii="仿宋_GB2312" w:hAnsi="仿宋_GB2312" w:eastAsia="仿宋_GB2312"/>
          <w:b w:val="0"/>
          <w:sz w:val="32"/>
        </w:rPr>
        <w:t>5.住房保障支出(类)64.16万元,占6.04%。</w:t>
      </w:r>
    </w:p>
    <w:p w14:paraId="0B29F0E7">
      <w:pPr>
        <w:spacing w:line="640" w:lineRule="exact"/>
        <w:ind w:firstLine="640"/>
        <w:jc w:val="both"/>
        <w:outlineLvl w:val="3"/>
      </w:pPr>
      <w:r>
        <w:rPr>
          <w:rFonts w:ascii="楷体_GB2312" w:hAnsi="楷体_GB2312" w:eastAsia="楷体_GB2312"/>
          <w:b/>
          <w:sz w:val="32"/>
        </w:rPr>
        <w:t>（三）一般公共预算财政拨款支出决算具体情况</w:t>
      </w:r>
    </w:p>
    <w:p w14:paraId="6A4CEDB5">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434.95万元，比上年决算增加25.83万元，增长6.31%,主要原因是：本年机构改革，机关事务、接待处划转政府办，在职人员增加，在职人员工资调增，导致相关人员经费较上年有所增加。</w:t>
      </w:r>
    </w:p>
    <w:p w14:paraId="5FA812C5">
      <w:pPr>
        <w:spacing w:line="580" w:lineRule="exact"/>
        <w:ind w:firstLine="640"/>
        <w:jc w:val="both"/>
      </w:pPr>
      <w:r>
        <w:rPr>
          <w:rFonts w:ascii="仿宋_GB2312" w:hAnsi="仿宋_GB2312" w:eastAsia="仿宋_GB2312"/>
          <w:b w:val="0"/>
          <w:sz w:val="32"/>
        </w:rPr>
        <w:t>2.一般公共服务支出(类)政府办公厅（室）及相关机构事务(款)事业运行(项):支出决算数为303.62万元，比上年决算减少24.91万元，下降7.58%,主要原因是：本年事业在职人员调入调出，人员职级不同，工资基数不同，导致人员经费较上年减少。</w:t>
      </w:r>
    </w:p>
    <w:p w14:paraId="4719706F">
      <w:pPr>
        <w:spacing w:line="580" w:lineRule="exact"/>
        <w:ind w:firstLine="640"/>
        <w:jc w:val="both"/>
      </w:pPr>
      <w:r>
        <w:rPr>
          <w:rFonts w:ascii="仿宋_GB2312" w:hAnsi="仿宋_GB2312" w:eastAsia="仿宋_GB2312"/>
          <w:b w:val="0"/>
          <w:sz w:val="32"/>
        </w:rPr>
        <w:t>3.一般公共服务支出(类)政府办公厅（室）及相关机构事务(款)其他政府办公厅（室）及相关机构事务支出(项):支出决算数为0.00万元，比上年决算减少25.00万元，下降100.00%,主要原因是：本年功能科目调整，法律顾问服务费支出上年度在此科目列支，本年度调整至其他科技条件与服务支出，导致经费减少。</w:t>
      </w:r>
    </w:p>
    <w:p w14:paraId="3E5FCE15">
      <w:pPr>
        <w:spacing w:line="580" w:lineRule="exact"/>
        <w:ind w:firstLine="640"/>
        <w:jc w:val="both"/>
      </w:pPr>
      <w:r>
        <w:rPr>
          <w:rFonts w:ascii="仿宋_GB2312" w:hAnsi="仿宋_GB2312" w:eastAsia="仿宋_GB2312"/>
          <w:b w:val="0"/>
          <w:sz w:val="32"/>
        </w:rPr>
        <w:t>4.科学技术支出(类)科技条件与服务(款)科技条件专项(项):支出决算数为21.00万元，比上年决算增加21.00万元，增长100.00%,主要原因是：本年增加政府网站技术服务费项目资金。</w:t>
      </w:r>
    </w:p>
    <w:p w14:paraId="38188192">
      <w:pPr>
        <w:spacing w:line="580" w:lineRule="exact"/>
        <w:ind w:firstLine="640"/>
        <w:jc w:val="both"/>
      </w:pPr>
      <w:r>
        <w:rPr>
          <w:rFonts w:ascii="仿宋_GB2312" w:hAnsi="仿宋_GB2312" w:eastAsia="仿宋_GB2312"/>
          <w:b w:val="0"/>
          <w:sz w:val="32"/>
        </w:rPr>
        <w:t>5.科学技术支出(类)科技条件与服务(款)其他科技条件与服务支出(项):支出决算数为52.93万元，比上年决算增加52.93万元，增长100.00%,主要原因是：本年支出功能科目调整，法律顾问服务费上年度在其他政府办公厅（室）及相关机构事务支出，本年调整至此科目，导致经费增加。</w:t>
      </w:r>
    </w:p>
    <w:p w14:paraId="73DB90A4">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6.社会保障和就业支出(类)行政事业单位养老支出(款)行政单位离退休(项):支出决算数为17.67万元，比上年决算增加13.00万元，增长278.37%,主要原因是：本年增加退休人员基础绩效奖，退休费支出增加。</w:t>
      </w:r>
    </w:p>
    <w:p w14:paraId="6662A794">
      <w:pPr>
        <w:spacing w:line="580" w:lineRule="exact"/>
        <w:ind w:firstLine="640"/>
        <w:jc w:val="both"/>
      </w:pPr>
      <w:r>
        <w:rPr>
          <w:rFonts w:ascii="仿宋_GB2312" w:hAnsi="仿宋_GB2312" w:eastAsia="仿宋_GB2312"/>
          <w:b w:val="0"/>
          <w:sz w:val="32"/>
        </w:rPr>
        <w:t>7.社会保障和就业支出(类)行政事业单位养老支出(款)事业单位离退休(项):支出决算数为0.78万元，比上年决算增加0.52万元，增长200.00%,主要原因是：本年增加退休人员基础绩效奖，退休费支出增加。</w:t>
      </w:r>
    </w:p>
    <w:p w14:paraId="0F0219BE">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77.70万元，比上年决算增加7.35万元，增长10.45%,主要原因是：本年机构改革，机关事务、接待处划转政府办，在职人员增加，在职人员工资调增，养老保险缴费较上年增加。</w:t>
      </w:r>
    </w:p>
    <w:p w14:paraId="00F4D07B">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9.社会保障和就业支出(类)行政事业单位养老支出(款)机关事业单位职业年金缴费支出(项):支出决算数为8.66万元，比上年决算增加8.66万元，增长100.00%,主要原因是：本年新增调出人员，职业年金缴费支出增加。</w:t>
      </w:r>
    </w:p>
    <w:p w14:paraId="22F9F64A">
      <w:pPr>
        <w:spacing w:line="580" w:lineRule="exact"/>
        <w:ind w:firstLine="640"/>
        <w:jc w:val="both"/>
      </w:pPr>
      <w:r>
        <w:rPr>
          <w:rFonts w:ascii="仿宋_GB2312" w:hAnsi="仿宋_GB2312" w:eastAsia="仿宋_GB2312"/>
          <w:b w:val="0"/>
          <w:sz w:val="32"/>
        </w:rPr>
        <w:t>10.社会保障和就业支出(类)抚恤(款)死亡抚恤(项):支出决算数为0.00万元，比上年决算减少18.61万元，下降100.00%,主要原因是：本年无新增死亡人员，死亡抚恤支出较上年减少。</w:t>
      </w:r>
    </w:p>
    <w:p w14:paraId="53F5958E">
      <w:pPr>
        <w:spacing w:line="580" w:lineRule="exact"/>
        <w:ind w:firstLine="640"/>
        <w:jc w:val="both"/>
      </w:pPr>
      <w:r>
        <w:rPr>
          <w:rFonts w:ascii="仿宋_GB2312" w:hAnsi="仿宋_GB2312" w:eastAsia="仿宋_GB2312"/>
          <w:b w:val="0"/>
          <w:sz w:val="32"/>
        </w:rPr>
        <w:t>11.卫生健康支出(类)公共卫生(款)突发公共卫生事件应急处置(项):支出决算数为41.65万元，比上年决算增加41.65万元，增长100.00%,主要原因是：本年支付</w:t>
      </w:r>
      <w:r>
        <w:rPr>
          <w:rFonts w:hint="eastAsia" w:ascii="仿宋_GB2312" w:hAnsi="仿宋_GB2312" w:eastAsia="仿宋_GB2312"/>
          <w:b w:val="0"/>
          <w:sz w:val="32"/>
          <w:lang w:eastAsia="zh-CN"/>
        </w:rPr>
        <w:t>YQ</w:t>
      </w:r>
      <w:r>
        <w:rPr>
          <w:rFonts w:ascii="仿宋_GB2312" w:hAnsi="仿宋_GB2312" w:eastAsia="仿宋_GB2312"/>
          <w:b w:val="0"/>
          <w:sz w:val="32"/>
        </w:rPr>
        <w:t>期间的住宿费用，相应支出增加。</w:t>
      </w:r>
    </w:p>
    <w:p w14:paraId="0B70CDE4">
      <w:pPr>
        <w:spacing w:line="580" w:lineRule="exact"/>
        <w:ind w:firstLine="640"/>
        <w:jc w:val="both"/>
      </w:pPr>
      <w:r>
        <w:rPr>
          <w:rFonts w:ascii="仿宋_GB2312" w:hAnsi="仿宋_GB2312" w:eastAsia="仿宋_GB2312"/>
          <w:b w:val="0"/>
          <w:sz w:val="32"/>
        </w:rPr>
        <w:t>12.卫生健康支出(类)行政事业单位医疗(款)行政单位医疗(项):支出决算数为19.91万元，比上年决算减少12.58万元，下降38.72%,主要原因是：因退休人员医疗保险制度改革，退休人员基本医疗不再由单位缴纳，导致经费较上年减少。</w:t>
      </w:r>
    </w:p>
    <w:p w14:paraId="38B68C16">
      <w:pPr>
        <w:spacing w:line="580" w:lineRule="exact"/>
        <w:ind w:firstLine="640"/>
        <w:jc w:val="both"/>
      </w:pPr>
      <w:r>
        <w:rPr>
          <w:rFonts w:ascii="仿宋_GB2312" w:hAnsi="仿宋_GB2312" w:eastAsia="仿宋_GB2312"/>
          <w:b w:val="0"/>
          <w:sz w:val="32"/>
        </w:rPr>
        <w:t>13.卫生健康支出(类)行政事业单位医疗(款)事业单位医疗(项):支出决算数为19.63万元，比上年决算增加3.10万元，增长18.75%,主要原因是：本年在职人员工资基数调增，医疗缴费基数上涨，相应支出增加。</w:t>
      </w:r>
    </w:p>
    <w:p w14:paraId="1E13D490">
      <w:pPr>
        <w:spacing w:line="580" w:lineRule="exact"/>
        <w:ind w:firstLine="640"/>
        <w:jc w:val="both"/>
      </w:pPr>
      <w:r>
        <w:rPr>
          <w:rFonts w:ascii="仿宋_GB2312" w:hAnsi="仿宋_GB2312" w:eastAsia="仿宋_GB2312"/>
          <w:b w:val="0"/>
          <w:sz w:val="32"/>
        </w:rPr>
        <w:t>14.卫生健康支出(类)行政事业单位医疗(款)公务员医疗补助(项):支出决算数为0.41万元，比上年决算减少1.25万元，下降75.30%,主要原因是：本年事业在职人员调入调出，人员职级不同，缴费基数不同，导致公务员医疗补助较上年减少。</w:t>
      </w:r>
    </w:p>
    <w:p w14:paraId="079305EF">
      <w:pPr>
        <w:spacing w:line="580" w:lineRule="exact"/>
        <w:ind w:firstLine="640"/>
        <w:jc w:val="both"/>
      </w:pPr>
      <w:r>
        <w:rPr>
          <w:rFonts w:ascii="仿宋_GB2312" w:hAnsi="仿宋_GB2312" w:eastAsia="仿宋_GB2312"/>
          <w:b w:val="0"/>
          <w:sz w:val="32"/>
        </w:rPr>
        <w:t>15.住房保障支出(类)住房改革支出(款)住房公积金(项):支出决算数为64.16万元，比上年决算增加6.37万元，增长11.02%,主要原因是：本年机构改革，机关事务、接待处划转政府办，在职人员增加，在职人员工资调增，公积金缴费基数上涨，相应支出增加。</w:t>
      </w:r>
    </w:p>
    <w:p w14:paraId="3A480177">
      <w:pPr>
        <w:spacing w:line="640" w:lineRule="exact"/>
        <w:ind w:firstLine="640"/>
        <w:jc w:val="both"/>
        <w:outlineLvl w:val="2"/>
      </w:pPr>
      <w:r>
        <w:rPr>
          <w:rFonts w:ascii="黑体" w:hAnsi="黑体" w:eastAsia="黑体"/>
          <w:sz w:val="32"/>
        </w:rPr>
        <w:t>六、一般公共预算财政拨款基本支出决算情况说明</w:t>
      </w:r>
    </w:p>
    <w:p w14:paraId="7C5D7968">
      <w:pPr>
        <w:spacing w:line="580" w:lineRule="exact"/>
        <w:ind w:firstLine="640"/>
        <w:jc w:val="both"/>
      </w:pPr>
      <w:r>
        <w:rPr>
          <w:rFonts w:ascii="仿宋_GB2312" w:hAnsi="仿宋_GB2312" w:eastAsia="仿宋_GB2312"/>
          <w:b w:val="0"/>
          <w:sz w:val="32"/>
        </w:rPr>
        <w:t>2024年度一般公共预算财政拨款基本支出1,063.08万元，其中：</w:t>
      </w:r>
      <w:r>
        <w:rPr>
          <w:rFonts w:ascii="仿宋_GB2312" w:hAnsi="仿宋_GB2312" w:eastAsia="仿宋_GB2312"/>
          <w:b/>
          <w:sz w:val="32"/>
        </w:rPr>
        <w:t>人员经费836.05万元，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奖励金。</w:t>
      </w:r>
    </w:p>
    <w:p w14:paraId="1E4D6194">
      <w:pPr>
        <w:spacing w:line="580" w:lineRule="exact"/>
        <w:ind w:firstLine="640"/>
        <w:jc w:val="both"/>
      </w:pPr>
      <w:r>
        <w:rPr>
          <w:rFonts w:ascii="仿宋_GB2312" w:hAnsi="仿宋_GB2312" w:eastAsia="仿宋_GB2312"/>
          <w:b/>
          <w:sz w:val="32"/>
        </w:rPr>
        <w:t>公用经费227.03万元，</w:t>
      </w:r>
      <w:r>
        <w:rPr>
          <w:rFonts w:ascii="仿宋_GB2312" w:hAnsi="仿宋_GB2312" w:eastAsia="仿宋_GB2312"/>
          <w:b w:val="0"/>
          <w:sz w:val="32"/>
        </w:rPr>
        <w:t>包括：办公费、水费、电费、邮电费、取暖费、物业管理费、差旅费、维修（护）费、租赁费、会议费、劳务费、委托业务费、工会经费、福利费、公务用车运行维护费、其他商品和服务支出、办公设备购置、专用设备购置、信息网络及软件购置更新、无形资产购置。</w:t>
      </w:r>
    </w:p>
    <w:p w14:paraId="5A02FB8E">
      <w:pPr>
        <w:spacing w:line="640" w:lineRule="exact"/>
        <w:ind w:firstLine="640"/>
        <w:jc w:val="both"/>
        <w:outlineLvl w:val="2"/>
      </w:pPr>
      <w:r>
        <w:rPr>
          <w:rFonts w:ascii="黑体" w:hAnsi="黑体" w:eastAsia="黑体"/>
          <w:sz w:val="32"/>
        </w:rPr>
        <w:t>七、政府性基金预算财政拨款收入支出决算情况说明</w:t>
      </w:r>
    </w:p>
    <w:p w14:paraId="7DCE016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112C900">
      <w:pPr>
        <w:spacing w:line="640" w:lineRule="exact"/>
        <w:ind w:firstLine="640"/>
        <w:jc w:val="both"/>
        <w:outlineLvl w:val="2"/>
      </w:pPr>
      <w:r>
        <w:rPr>
          <w:rFonts w:ascii="黑体" w:hAnsi="黑体" w:eastAsia="黑体"/>
          <w:sz w:val="32"/>
        </w:rPr>
        <w:t>八、国有资本经营预算财政拨款收入支出决算情况说明</w:t>
      </w:r>
    </w:p>
    <w:p w14:paraId="45A0DA7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CCBF4C1">
      <w:pPr>
        <w:spacing w:line="640" w:lineRule="exact"/>
        <w:ind w:firstLine="640"/>
        <w:jc w:val="both"/>
        <w:outlineLvl w:val="2"/>
      </w:pPr>
      <w:r>
        <w:rPr>
          <w:rFonts w:ascii="黑体" w:hAnsi="黑体" w:eastAsia="黑体"/>
          <w:sz w:val="32"/>
        </w:rPr>
        <w:t>九、财政拨款“三公”经费支出决算情况说明</w:t>
      </w:r>
    </w:p>
    <w:p w14:paraId="0D5A79E0">
      <w:pPr>
        <w:spacing w:line="580" w:lineRule="exact"/>
        <w:ind w:firstLine="640"/>
        <w:jc w:val="both"/>
      </w:pPr>
      <w:r>
        <w:rPr>
          <w:rFonts w:ascii="仿宋_GB2312" w:hAnsi="仿宋_GB2312" w:eastAsia="仿宋_GB2312"/>
          <w:b/>
          <w:sz w:val="32"/>
        </w:rPr>
        <w:t>2024年度财政拨款“三公”经费支出31.58万元，</w:t>
      </w:r>
      <w:r>
        <w:rPr>
          <w:rFonts w:ascii="仿宋_GB2312" w:hAnsi="仿宋_GB2312" w:eastAsia="仿宋_GB2312"/>
          <w:b w:val="0"/>
          <w:sz w:val="32"/>
        </w:rPr>
        <w:t>比上年减少20.49万元，下降39.35%，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31.58万元，占100.00%，比上年减少20.49万元，下降39.35%，主要原因是：严格落实中央八项规定精神，厉行节约，减少公务用车运行维护费。公务接待费支出0.00万元，占0.00%，比上年增加0.00万元，增长0.00%，主要原因是：2023年与2024年均未安排公务接待费支出。</w:t>
      </w:r>
    </w:p>
    <w:p w14:paraId="78E6E415">
      <w:pPr>
        <w:spacing w:line="580" w:lineRule="exact"/>
        <w:ind w:firstLine="640"/>
        <w:jc w:val="both"/>
      </w:pPr>
      <w:r>
        <w:rPr>
          <w:rFonts w:ascii="仿宋_GB2312" w:hAnsi="仿宋_GB2312" w:eastAsia="仿宋_GB2312"/>
          <w:b/>
          <w:sz w:val="32"/>
        </w:rPr>
        <w:t>具体情况如下：</w:t>
      </w:r>
    </w:p>
    <w:p w14:paraId="3045056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B66D276">
      <w:pPr>
        <w:spacing w:line="580" w:lineRule="exact"/>
        <w:ind w:firstLine="640"/>
        <w:jc w:val="both"/>
      </w:pPr>
      <w:r>
        <w:rPr>
          <w:rFonts w:ascii="仿宋_GB2312" w:hAnsi="仿宋_GB2312" w:eastAsia="仿宋_GB2312"/>
          <w:b w:val="0"/>
          <w:sz w:val="32"/>
        </w:rPr>
        <w:t>公务用车购置及运行维护费31.58万元，其中：公务用车购置费0.00万元，公务用车运行维护费31.58万元。公务用车运行维护费开支内容包括车辆加油费、维修费、保险费、审车费、过路费。公务用车购置数0辆，公务用车保有量9辆。国有资产占用情况中固定资产车辆9辆，与公务用车保有量差异原因是：本单位固定资产车辆与公务用车保有量一致无差异。</w:t>
      </w:r>
    </w:p>
    <w:p w14:paraId="173F39B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965707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31.58万元，决算数31.58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31.58万元，决算数31.58万元，预决算差异率0.00%，主要原因是：严格按照预算执行，预决算无差异。公务接待费全年预算数0.00万元，决算数0.00万元，预决算差异率0.00%，主要原因是：本单位无公务接待费。</w:t>
      </w:r>
    </w:p>
    <w:p w14:paraId="6876A6C5">
      <w:pPr>
        <w:spacing w:line="640" w:lineRule="exact"/>
        <w:ind w:firstLine="640"/>
        <w:jc w:val="both"/>
        <w:outlineLvl w:val="2"/>
      </w:pPr>
      <w:r>
        <w:rPr>
          <w:rFonts w:ascii="黑体" w:hAnsi="黑体" w:eastAsia="黑体"/>
          <w:sz w:val="32"/>
        </w:rPr>
        <w:t>十、其他重要事项的情况说明</w:t>
      </w:r>
    </w:p>
    <w:p w14:paraId="23FB7EEF">
      <w:pPr>
        <w:spacing w:line="640" w:lineRule="exact"/>
        <w:ind w:firstLine="640"/>
        <w:jc w:val="both"/>
        <w:outlineLvl w:val="3"/>
      </w:pPr>
      <w:r>
        <w:rPr>
          <w:rFonts w:ascii="楷体_GB2312" w:hAnsi="楷体_GB2312" w:eastAsia="楷体_GB2312"/>
          <w:b/>
          <w:sz w:val="32"/>
        </w:rPr>
        <w:t>（一）机关运行经费及公用经费支出情况</w:t>
      </w:r>
    </w:p>
    <w:p w14:paraId="2930DD45">
      <w:pPr>
        <w:spacing w:line="580" w:lineRule="exact"/>
        <w:ind w:firstLine="640"/>
        <w:jc w:val="both"/>
      </w:pPr>
      <w:r>
        <w:rPr>
          <w:rFonts w:ascii="仿宋_GB2312" w:hAnsi="仿宋_GB2312" w:eastAsia="仿宋_GB2312"/>
          <w:b w:val="0"/>
          <w:sz w:val="32"/>
        </w:rPr>
        <w:t>2024年度霍城县人民政府办公室（行政单位和参照公务员法管理事业单位）机关运行经费支出227.03万元，比上年增加52.19万元，增长29.85%，主要原因是：本年机构改革，机关事务、接待处划转政府办，在职人员增加，办公经费增加，增加邮电费等，导致机关运行经费增加。</w:t>
      </w:r>
    </w:p>
    <w:p w14:paraId="0F139424">
      <w:pPr>
        <w:spacing w:line="640" w:lineRule="exact"/>
        <w:ind w:firstLine="640"/>
        <w:jc w:val="both"/>
        <w:outlineLvl w:val="3"/>
      </w:pPr>
      <w:r>
        <w:rPr>
          <w:rFonts w:ascii="楷体_GB2312" w:hAnsi="楷体_GB2312" w:eastAsia="楷体_GB2312"/>
          <w:b/>
          <w:sz w:val="32"/>
        </w:rPr>
        <w:t>（二）政府采购情况</w:t>
      </w:r>
    </w:p>
    <w:p w14:paraId="537F9E5C">
      <w:pPr>
        <w:spacing w:line="580" w:lineRule="exact"/>
        <w:ind w:firstLine="640"/>
        <w:jc w:val="both"/>
      </w:pPr>
      <w:r>
        <w:rPr>
          <w:rFonts w:ascii="仿宋_GB2312" w:hAnsi="仿宋_GB2312" w:eastAsia="仿宋_GB2312"/>
          <w:b w:val="0"/>
          <w:sz w:val="32"/>
        </w:rPr>
        <w:t>2024年度政府采购支出总额105.71万元，其中：政府采购货物支出88.88万元、政府采购工程支出0.00万元、政府采购服务支出16.83万元。</w:t>
      </w:r>
    </w:p>
    <w:p w14:paraId="20CEA52E">
      <w:pPr>
        <w:spacing w:line="580" w:lineRule="exact"/>
        <w:ind w:firstLine="640"/>
        <w:jc w:val="both"/>
      </w:pPr>
      <w:r>
        <w:rPr>
          <w:rFonts w:ascii="仿宋_GB2312" w:hAnsi="仿宋_GB2312" w:eastAsia="仿宋_GB2312"/>
          <w:b w:val="0"/>
          <w:sz w:val="32"/>
        </w:rPr>
        <w:t>授予中小企业合同金额18.70万元，占政府采购支出总额的17.69%，其中：授予小微企业合同金额2.77万元，占政府采购支出总额的2.62%。</w:t>
      </w:r>
    </w:p>
    <w:p w14:paraId="6C0F4831">
      <w:pPr>
        <w:spacing w:line="640" w:lineRule="exact"/>
        <w:ind w:firstLine="640"/>
        <w:jc w:val="both"/>
        <w:outlineLvl w:val="3"/>
      </w:pPr>
      <w:r>
        <w:rPr>
          <w:rFonts w:ascii="楷体_GB2312" w:hAnsi="楷体_GB2312" w:eastAsia="楷体_GB2312"/>
          <w:b/>
          <w:sz w:val="32"/>
        </w:rPr>
        <w:t>（三）国有资产占用情况说明</w:t>
      </w:r>
    </w:p>
    <w:p w14:paraId="7EA848BE">
      <w:pPr>
        <w:spacing w:line="580" w:lineRule="exact"/>
        <w:ind w:firstLine="640"/>
        <w:jc w:val="both"/>
      </w:pPr>
      <w:r>
        <w:rPr>
          <w:rFonts w:ascii="仿宋_GB2312" w:hAnsi="仿宋_GB2312" w:eastAsia="仿宋_GB2312"/>
          <w:b w:val="0"/>
          <w:sz w:val="32"/>
        </w:rPr>
        <w:t>截至2024年12月31日，房屋0.00平方米，价值0.00万元。车辆9辆，价值229.78万元，其中：副部（省）级及以上领导用车0辆、主要负责人用车0辆、机要通信用车0辆、应急保障用车0辆、执法执勤用车0辆、特种专业技术用车0辆、离退休干部服务用车0辆、其他用车9辆，其他用车主要是：一般公务用车。单价100万元（含）以上设备（不含车辆）0台（套）。</w:t>
      </w:r>
    </w:p>
    <w:p w14:paraId="1F9ADAC2">
      <w:pPr>
        <w:spacing w:line="640" w:lineRule="exact"/>
        <w:ind w:firstLine="640"/>
        <w:jc w:val="both"/>
        <w:outlineLvl w:val="2"/>
      </w:pPr>
      <w:r>
        <w:rPr>
          <w:rFonts w:ascii="黑体" w:hAnsi="黑体" w:eastAsia="黑体"/>
          <w:sz w:val="32"/>
        </w:rPr>
        <w:t>十一、预算绩效的情况说明</w:t>
      </w:r>
    </w:p>
    <w:p w14:paraId="6BA8ABB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1,172.83万元，实际执行总额1,167.88万元；预算绩效评价项目3个，全年预算数145.75万元，全年执行数145.75万元。预算绩效管理取得的成效：一是在制定各类资金管理办法时，明确绩效结果应用要求，规范绩效因素使用方式。将重点绩效评价结果反馈被评价部门，及时督促整改；二是将绩效管理融入预算编制、执行、监督全过程。强化绩效目标管理，不断提高绩效目标的科学性、规范性。组织开展绩效运行监控，加强监控结果应用。发现的问题及原因：一是绩效监控工作质量还有待提高。由于单位缺乏绩效综合知识专业人员和财务人员对绩效管理相关工作经验不足、业务水平较低导致该项工作总体质量不高，未能充分发挥绩效管理的导向作用；二是对绩效监控工作重视程度还有待进一步提高。因绩效管理工作是政策性较强的工作，绩效监控工作是其中的重要内容，做好绩效监控工作需要单位领导的高度重视和对预算绩效监控工作政策的深入了解，这些方面还是做得不够到位；三是缺乏科学的考核指标，没有能够体现出岗位特征的考核指标体系。下一步改进措施：一是加大该绩效管理工作的宣传力度，强化自觉学习意识，熟悉掌握相关政策，提高监控工作人员综合素质。着重学习宣传上级下发的相关文件和制度要求，让单位领导及工作人员了解该项工作的重要性和必要性，掌握工作方法；二是提升单位领导对绩效管理工作的重视程度。向预算领导建议成立该项工作的领导小组、设置专职办公室，进行明确的职责分工，有利于提升工作质量。具体附整体支出绩效自评表，项目支出绩效自评表和评价报告。</w:t>
      </w:r>
    </w:p>
    <w:p w14:paraId="22A31F38">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66110BC">
        <w:tblPrEx>
          <w:tblCellMar>
            <w:top w:w="0" w:type="dxa"/>
            <w:left w:w="108" w:type="dxa"/>
            <w:bottom w:w="0" w:type="dxa"/>
            <w:right w:w="108" w:type="dxa"/>
          </w:tblCellMar>
        </w:tblPrEx>
        <w:tc>
          <w:tcPr>
            <w:tcW w:w="8840" w:type="dxa"/>
            <w:gridSpan w:val="8"/>
            <w:vAlign w:val="center"/>
          </w:tcPr>
          <w:p w14:paraId="35F6C03D">
            <w:pPr>
              <w:jc w:val="center"/>
            </w:pPr>
            <w:r>
              <w:rPr>
                <w:rFonts w:ascii="宋体" w:hAnsi="宋体" w:eastAsia="宋体"/>
                <w:sz w:val="24"/>
              </w:rPr>
              <w:t>单位整体支出绩效自评表</w:t>
            </w:r>
          </w:p>
        </w:tc>
      </w:tr>
      <w:tr w14:paraId="3780DF29">
        <w:tblPrEx>
          <w:tblCellMar>
            <w:top w:w="0" w:type="dxa"/>
            <w:left w:w="108" w:type="dxa"/>
            <w:bottom w:w="0" w:type="dxa"/>
            <w:right w:w="108" w:type="dxa"/>
          </w:tblCellMar>
        </w:tblPrEx>
        <w:tc>
          <w:tcPr>
            <w:tcW w:w="8840" w:type="dxa"/>
            <w:gridSpan w:val="8"/>
            <w:vAlign w:val="center"/>
          </w:tcPr>
          <w:p w14:paraId="00031A49">
            <w:pPr>
              <w:jc w:val="center"/>
            </w:pPr>
            <w:r>
              <w:rPr>
                <w:rFonts w:ascii="宋体" w:hAnsi="宋体" w:eastAsia="宋体"/>
                <w:sz w:val="24"/>
              </w:rPr>
              <w:t>（2024年度）</w:t>
            </w:r>
          </w:p>
        </w:tc>
      </w:tr>
      <w:tr w14:paraId="65ECBB5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E85C8D">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4C2FB0">
            <w:pPr>
              <w:jc w:val="center"/>
            </w:pPr>
            <w:r>
              <w:rPr>
                <w:rFonts w:ascii="宋体" w:hAnsi="宋体" w:eastAsia="宋体"/>
                <w:sz w:val="16"/>
              </w:rPr>
              <w:t>霍城县人民政府办公室</w:t>
            </w:r>
          </w:p>
        </w:tc>
      </w:tr>
      <w:tr w14:paraId="7C44EB8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932F0C">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70C1D6">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2BC24A">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8EBD7B">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632F5E">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3DF9A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02BFDA">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60AFEC">
            <w:pPr>
              <w:jc w:val="center"/>
            </w:pPr>
            <w:r>
              <w:rPr>
                <w:rFonts w:ascii="宋体" w:hAnsi="宋体" w:eastAsia="宋体"/>
                <w:sz w:val="16"/>
              </w:rPr>
              <w:t>得分</w:t>
            </w:r>
          </w:p>
        </w:tc>
      </w:tr>
      <w:tr w14:paraId="028BF08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1E500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FD1504">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7CC5C4">
            <w:pPr>
              <w:jc w:val="center"/>
            </w:pPr>
            <w:r>
              <w:rPr>
                <w:rFonts w:ascii="宋体" w:hAnsi="宋体" w:eastAsia="宋体"/>
                <w:sz w:val="16"/>
              </w:rPr>
              <w:t>873.78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0CD515">
            <w:pPr>
              <w:jc w:val="center"/>
            </w:pPr>
            <w:r>
              <w:rPr>
                <w:rFonts w:ascii="宋体" w:hAnsi="宋体" w:eastAsia="宋体"/>
                <w:sz w:val="16"/>
              </w:rPr>
              <w:t>1,172.83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9CBFE6">
            <w:pPr>
              <w:jc w:val="center"/>
            </w:pPr>
            <w:r>
              <w:rPr>
                <w:rFonts w:ascii="宋体" w:hAnsi="宋体" w:eastAsia="宋体"/>
                <w:sz w:val="16"/>
              </w:rPr>
              <w:t>1,167.88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50826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10FEA5">
            <w:pPr>
              <w:jc w:val="center"/>
            </w:pPr>
            <w:r>
              <w:rPr>
                <w:rFonts w:ascii="宋体" w:hAnsi="宋体" w:eastAsia="宋体"/>
                <w:sz w:val="16"/>
              </w:rPr>
              <w:t>99.58%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09F32D">
            <w:pPr>
              <w:jc w:val="center"/>
            </w:pPr>
            <w:r>
              <w:rPr>
                <w:rFonts w:ascii="宋体" w:hAnsi="宋体" w:eastAsia="宋体"/>
                <w:sz w:val="16"/>
              </w:rPr>
              <w:t>9.96</w:t>
            </w:r>
          </w:p>
        </w:tc>
      </w:tr>
      <w:tr w14:paraId="63616A5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77E7C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96D093">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5CFFC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E6E45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C65CB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FB5D4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EB382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C47B79">
            <w:pPr>
              <w:jc w:val="center"/>
            </w:pPr>
            <w:r>
              <w:rPr>
                <w:rFonts w:ascii="宋体" w:hAnsi="宋体" w:eastAsia="宋体"/>
                <w:sz w:val="16"/>
              </w:rPr>
              <w:t>-</w:t>
            </w:r>
          </w:p>
        </w:tc>
      </w:tr>
      <w:tr w14:paraId="4984175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338CF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2E1F7D">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BADBC4">
            <w:pPr>
              <w:jc w:val="center"/>
            </w:pPr>
            <w:r>
              <w:rPr>
                <w:rFonts w:ascii="宋体" w:hAnsi="宋体" w:eastAsia="宋体"/>
                <w:sz w:val="16"/>
              </w:rPr>
              <w:t>869.02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48E3AD">
            <w:pPr>
              <w:jc w:val="center"/>
            </w:pPr>
            <w:r>
              <w:rPr>
                <w:rFonts w:ascii="宋体" w:hAnsi="宋体" w:eastAsia="宋体"/>
                <w:sz w:val="16"/>
              </w:rPr>
              <w:t>1,063.07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909093">
            <w:pPr>
              <w:jc w:val="center"/>
            </w:pPr>
            <w:r>
              <w:rPr>
                <w:rFonts w:ascii="宋体" w:hAnsi="宋体" w:eastAsia="宋体"/>
                <w:sz w:val="16"/>
              </w:rPr>
              <w:t>1,063.07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AAF45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AC974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9CDA6B">
            <w:pPr>
              <w:jc w:val="center"/>
            </w:pPr>
            <w:r>
              <w:rPr>
                <w:rFonts w:ascii="宋体" w:hAnsi="宋体" w:eastAsia="宋体"/>
                <w:sz w:val="16"/>
              </w:rPr>
              <w:t>-</w:t>
            </w:r>
          </w:p>
        </w:tc>
      </w:tr>
      <w:tr w14:paraId="2C51B3B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9837F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9EA8E9">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8484BF">
            <w:pPr>
              <w:jc w:val="center"/>
            </w:pPr>
            <w:r>
              <w:rPr>
                <w:rFonts w:ascii="宋体" w:hAnsi="宋体" w:eastAsia="宋体"/>
                <w:sz w:val="16"/>
              </w:rPr>
              <w:t>4.76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76C233">
            <w:pPr>
              <w:jc w:val="center"/>
            </w:pPr>
            <w:r>
              <w:rPr>
                <w:rFonts w:ascii="宋体" w:hAnsi="宋体" w:eastAsia="宋体"/>
                <w:sz w:val="16"/>
              </w:rPr>
              <w:t>109.76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E3AB79">
            <w:pPr>
              <w:jc w:val="center"/>
            </w:pPr>
            <w:r>
              <w:rPr>
                <w:rFonts w:ascii="宋体" w:hAnsi="宋体" w:eastAsia="宋体"/>
                <w:sz w:val="16"/>
              </w:rPr>
              <w:t>104.81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92443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631F8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EE39DF">
            <w:pPr>
              <w:jc w:val="center"/>
            </w:pPr>
            <w:r>
              <w:rPr>
                <w:rFonts w:ascii="宋体" w:hAnsi="宋体" w:eastAsia="宋体"/>
                <w:sz w:val="16"/>
              </w:rPr>
              <w:t>-</w:t>
            </w:r>
          </w:p>
        </w:tc>
      </w:tr>
      <w:tr w14:paraId="444FB62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CC61E6">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53E0197">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EE8EE6">
            <w:pPr>
              <w:jc w:val="center"/>
            </w:pPr>
            <w:r>
              <w:rPr>
                <w:rFonts w:ascii="宋体" w:hAnsi="宋体" w:eastAsia="宋体"/>
                <w:sz w:val="16"/>
              </w:rPr>
              <w:t>实际完成情况</w:t>
            </w:r>
          </w:p>
        </w:tc>
      </w:tr>
      <w:tr w14:paraId="059DBC4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11BE06"/>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12502D9">
            <w:pPr>
              <w:jc w:val="both"/>
            </w:pPr>
            <w:r>
              <w:rPr>
                <w:rFonts w:ascii="宋体" w:hAnsi="宋体" w:eastAsia="宋体"/>
                <w:sz w:val="16"/>
              </w:rPr>
              <w:t>2024年霍城县人民政府办公室紧密围绕自治区自治州</w:t>
            </w:r>
            <w:r>
              <w:rPr>
                <w:rFonts w:hint="eastAsia" w:ascii="宋体" w:hAnsi="宋体"/>
                <w:sz w:val="16"/>
                <w:lang w:eastAsia="zh-CN"/>
              </w:rPr>
              <w:t>党委、政府</w:t>
            </w:r>
            <w:r>
              <w:rPr>
                <w:rFonts w:ascii="宋体" w:hAnsi="宋体" w:eastAsia="宋体"/>
                <w:sz w:val="16"/>
              </w:rPr>
              <w:t>和县委县人民政府工作要求，牢牢扭住社会稳定和长治久安总目标，立足新发展阶段、贯彻新发展理念、构建新发展格局，坚持稳字当头、稳中求进，更好统筹经济社会发展，统筹发展和安全，建设法治、高效、服务、廉洁的政府，奋力开创各项工作新局面。霍城县人民政府办公室：负责县人民政府会议的会务工作，协助县人民政府领导同志组织实施会议决定事项；协助县人民政府领导同志组织起草或审核以县人民政府、县人民政府办公室名义发布的公文；研究县人民政府各部门和各乡镇（中心）人民政府请示县人民政府的事项，提出审核意见，报县人民政府领导同志审定；督促检查县人民政府公文、会议决定事项及县人民政府领导同志指示的贯彻落实情况并跟踪调研，及时向县人民政府领导同志报告；负责人大代表建议意见和政协提案的督办工作；负责县人民政府值班工作，及时向县人民政府领导同志报告重要情况，协助处理各部门和乡镇（中心）人民政府向县人民政府反映的重要问题，传达和督促落实县人民政府领导同志的指示；根据县人民政府的工作重点和县人民政府领导同</w:t>
            </w:r>
            <w:r>
              <w:rPr>
                <w:rFonts w:hint="eastAsia" w:ascii="宋体" w:hAnsi="宋体"/>
                <w:sz w:val="16"/>
                <w:lang w:eastAsia="zh-CN"/>
              </w:rPr>
              <w:t>志的</w:t>
            </w:r>
            <w:r>
              <w:rPr>
                <w:rFonts w:ascii="宋体" w:hAnsi="宋体" w:eastAsia="宋体"/>
                <w:sz w:val="16"/>
              </w:rPr>
              <w:t>指示，组织专题调查研究，及时反映情况，提出建议；负责指导、监督政务公开及政府信息公开工作；负责推进、指导、协调县人民政府系统电子政务工作；承担县推进政府职能转变和“放管服”改革领导小组办公室及行政审批制度改革工作领导小组办公室的日常工作；政务服务中心推进</w:t>
            </w:r>
            <w:r>
              <w:rPr>
                <w:rFonts w:hint="eastAsia" w:ascii="宋体" w:hAnsi="宋体"/>
                <w:sz w:val="16"/>
                <w:lang w:eastAsia="zh-CN"/>
              </w:rPr>
              <w:t>服务型政府建设</w:t>
            </w:r>
            <w:r>
              <w:rPr>
                <w:rFonts w:ascii="宋体" w:hAnsi="宋体" w:eastAsia="宋体"/>
                <w:sz w:val="16"/>
              </w:rPr>
              <w:t>，规范行政审批行为，提高办事效率，改善投资环境，对审批事项进行协调、督查；对多个部门的审批进行联合审批，对服务窗口和人员进行监督和考核，并接受违纪行为投诉；承办县人民政府和县人民政府领导同志交办的其他事项。</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FA54A6E">
            <w:pPr>
              <w:jc w:val="both"/>
            </w:pPr>
            <w:r>
              <w:rPr>
                <w:rFonts w:ascii="宋体" w:hAnsi="宋体" w:eastAsia="宋体"/>
                <w:sz w:val="16"/>
              </w:rPr>
              <w:t>2024年，在县委、县政府的坚强领导下，政府办公室坚持以习近平新时代中国特色社会主义思想为指导，立足“四最一中枢”职能</w:t>
            </w:r>
            <w:r>
              <w:rPr>
                <w:rFonts w:hint="eastAsia" w:ascii="宋体" w:hAnsi="宋体"/>
                <w:sz w:val="16"/>
                <w:lang w:eastAsia="zh-CN"/>
              </w:rPr>
              <w:t>定位</w:t>
            </w:r>
            <w:r>
              <w:rPr>
                <w:rFonts w:ascii="宋体" w:hAnsi="宋体" w:eastAsia="宋体"/>
                <w:sz w:val="16"/>
              </w:rPr>
              <w:t>，扎实践行“五个坚持”，</w:t>
            </w:r>
            <w:r>
              <w:rPr>
                <w:rFonts w:hint="eastAsia" w:ascii="宋体" w:hAnsi="宋体"/>
                <w:sz w:val="16"/>
                <w:lang w:eastAsia="zh-CN"/>
              </w:rPr>
              <w:t>围绕中心、服务大局</w:t>
            </w:r>
            <w:r>
              <w:rPr>
                <w:rFonts w:ascii="宋体" w:hAnsi="宋体" w:eastAsia="宋体"/>
                <w:sz w:val="16"/>
              </w:rPr>
              <w:t>，敢于担当、勇于作为，推动党的建设质量和服务保障水平实现“双提升”，较好完成了各项工作任务，有力保障了政府工作高效有序运转。一、保障了59名在职干部、3名遗属人员、26名退休干部的工资福利支出及正常运转支出；二、办公室工作</w:t>
            </w:r>
            <w:r>
              <w:rPr>
                <w:rFonts w:hint="eastAsia" w:ascii="宋体" w:hAnsi="宋体"/>
                <w:sz w:val="16"/>
                <w:lang w:eastAsia="zh-CN"/>
              </w:rPr>
              <w:t>凸显</w:t>
            </w:r>
            <w:r>
              <w:rPr>
                <w:rFonts w:ascii="宋体" w:hAnsi="宋体" w:eastAsia="宋体"/>
                <w:sz w:val="16"/>
              </w:rPr>
              <w:t>成效。一是文稿服务求真务实。2024年，累计起草修改、整理讲话稿、工作总结、情况汇报等综合材料100余篇，累计发文295件，办理各级来文1981件，办结率100%；二是会务组织细致严谨。2024年,组织薰衣草旅游季、高峰论坛、重大项目观摩等重大会务20余次，政府党组会议12次，政府常务会议12次，承办各级视频会议、政府领导议事会议等各类会议100余场次，做到了会务组织各项流程无缝衔接、准确到位，实现了“零差错”；三是政务信息提质增效。累计编写上报政务信息189条，被自治区采用42条、自治州采用58条，信息工作在全州较2023年提升6个位次。四是督查督办有力有效。2024年，累计督办领导批示907件，开展实地专项督查8次，办理人大代表建议和政协委员提案142件，答复率、满意率达100％。办理州长信箱100件、12345政务服务热线17004件、“互联网+督查”25件、中国政府网51件、人民网139件，办结率、回复率均达100%；五是营商环境持续优化。营商环境提升“十大行动”深入开展，落实“最多跑一次”改革，开设7×24小时自助便民服务，进驻政务服务事项880项，一体化政务服务平台认领发布事项1162项，实现政务服务“一网、一门、一次”，为企业办件2.85万件，新登记市场主体3546个；六是政务公开全面深化。2024年，发布信息2.7万余条，依申请公开办结率达到100%；七是依法行政深入推进。2024年，召开主任办公会议12次、清理规范性文件6件。三、为提升群众办事集中、快捷、便利服务质量，推行“马上办、网上办、掌上办、自助办”，实现“数据多跑路，群众少跑动”，为保障政务服务中心4111平方米的办公场所，116名办公人员，80个办公窗口，351项为民办事服务项目正常运转。2023年政务服务中心总办件量17.59万件，其中为企业办件4.11万件，为群众办件13.48万件。帮办代办1427件。</w:t>
            </w:r>
          </w:p>
        </w:tc>
      </w:tr>
      <w:tr w14:paraId="2A168A0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6D94AB">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460C3B">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FD2BC3">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5BB30F">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A7E949">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9626B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7749AD">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E1208C">
            <w:pPr>
              <w:jc w:val="center"/>
            </w:pPr>
            <w:r>
              <w:rPr>
                <w:rFonts w:ascii="宋体" w:hAnsi="宋体" w:eastAsia="宋体"/>
                <w:sz w:val="16"/>
              </w:rPr>
              <w:t>得分</w:t>
            </w:r>
          </w:p>
        </w:tc>
      </w:tr>
      <w:tr w14:paraId="0D30EF6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A7EE23">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37FBC9">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66F120">
            <w:pPr>
              <w:jc w:val="center"/>
            </w:pPr>
            <w:r>
              <w:rPr>
                <w:rFonts w:ascii="宋体" w:hAnsi="宋体" w:eastAsia="宋体"/>
                <w:sz w:val="16"/>
              </w:rPr>
              <w:t>12345政务服务热线办理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31C2AD">
            <w:pPr>
              <w:jc w:val="center"/>
            </w:pPr>
            <w:r>
              <w:rPr>
                <w:rFonts w:ascii="宋体" w:hAnsi="宋体" w:eastAsia="宋体"/>
                <w:sz w:val="16"/>
              </w:rPr>
              <w:t>&gt;=5000件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5F2F8E">
            <w:pPr>
              <w:jc w:val="center"/>
            </w:pPr>
            <w:r>
              <w:rPr>
                <w:rFonts w:ascii="宋体" w:hAnsi="宋体" w:eastAsia="宋体"/>
                <w:sz w:val="16"/>
              </w:rPr>
              <w:t>2024年</w:t>
            </w:r>
            <w:r>
              <w:rPr>
                <w:rFonts w:hint="eastAsia" w:ascii="宋体" w:hAnsi="宋体"/>
                <w:sz w:val="16"/>
                <w:lang w:eastAsia="zh-CN"/>
              </w:rPr>
              <w:t>政府工作报告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C7E46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AB4DC2">
            <w:pPr>
              <w:jc w:val="center"/>
            </w:pPr>
            <w:r>
              <w:rPr>
                <w:rFonts w:ascii="宋体" w:hAnsi="宋体" w:eastAsia="宋体"/>
                <w:sz w:val="16"/>
              </w:rPr>
              <w:t>17004件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2B64D5">
            <w:pPr>
              <w:jc w:val="center"/>
            </w:pPr>
            <w:r>
              <w:rPr>
                <w:rFonts w:ascii="宋体" w:hAnsi="宋体" w:eastAsia="宋体"/>
                <w:sz w:val="16"/>
              </w:rPr>
              <w:t>15</w:t>
            </w:r>
          </w:p>
        </w:tc>
      </w:tr>
      <w:tr w14:paraId="2AD1B02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0D44C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506C5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545258">
            <w:pPr>
              <w:jc w:val="center"/>
            </w:pPr>
            <w:r>
              <w:rPr>
                <w:rFonts w:ascii="宋体" w:hAnsi="宋体" w:eastAsia="宋体"/>
                <w:sz w:val="16"/>
              </w:rPr>
              <w:t>起草审核各类公文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417F22">
            <w:pPr>
              <w:jc w:val="center"/>
            </w:pPr>
            <w:r>
              <w:rPr>
                <w:rFonts w:ascii="宋体" w:hAnsi="宋体" w:eastAsia="宋体"/>
                <w:sz w:val="16"/>
              </w:rPr>
              <w:t>&gt;=300件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3B16B3">
            <w:pPr>
              <w:jc w:val="center"/>
            </w:pPr>
            <w:r>
              <w:rPr>
                <w:rFonts w:ascii="宋体" w:hAnsi="宋体" w:eastAsia="宋体"/>
                <w:sz w:val="16"/>
              </w:rPr>
              <w:t>2024年政府办公室工作计划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61849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620E8D">
            <w:pPr>
              <w:jc w:val="center"/>
            </w:pPr>
            <w:r>
              <w:rPr>
                <w:rFonts w:ascii="宋体" w:hAnsi="宋体" w:eastAsia="宋体"/>
                <w:sz w:val="16"/>
              </w:rPr>
              <w:t>295件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4AE0AA">
            <w:pPr>
              <w:jc w:val="center"/>
            </w:pPr>
            <w:r>
              <w:rPr>
                <w:rFonts w:ascii="宋体" w:hAnsi="宋体" w:eastAsia="宋体"/>
                <w:sz w:val="16"/>
              </w:rPr>
              <w:t>14.75</w:t>
            </w:r>
          </w:p>
        </w:tc>
      </w:tr>
      <w:tr w14:paraId="6D85E5D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F2CDC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AC6B2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2D8B5A">
            <w:pPr>
              <w:jc w:val="center"/>
            </w:pPr>
            <w:r>
              <w:rPr>
                <w:rFonts w:ascii="宋体" w:hAnsi="宋体" w:eastAsia="宋体"/>
                <w:sz w:val="16"/>
              </w:rPr>
              <w:t>办理人大、政协提案议案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C1E57E">
            <w:pPr>
              <w:jc w:val="center"/>
            </w:pPr>
            <w:r>
              <w:rPr>
                <w:rFonts w:ascii="宋体" w:hAnsi="宋体" w:eastAsia="宋体"/>
                <w:sz w:val="16"/>
              </w:rPr>
              <w:t>=146件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44A0AE">
            <w:pPr>
              <w:jc w:val="center"/>
            </w:pPr>
            <w:r>
              <w:rPr>
                <w:rFonts w:ascii="宋体" w:hAnsi="宋体" w:eastAsia="宋体"/>
                <w:sz w:val="16"/>
              </w:rPr>
              <w:t>2024年</w:t>
            </w:r>
            <w:r>
              <w:rPr>
                <w:rFonts w:hint="eastAsia" w:ascii="宋体" w:hAnsi="宋体"/>
                <w:sz w:val="16"/>
                <w:lang w:eastAsia="zh-CN"/>
              </w:rPr>
              <w:t>政府工作报告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C34F16">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5B7F78">
            <w:pPr>
              <w:jc w:val="center"/>
            </w:pPr>
            <w:r>
              <w:rPr>
                <w:rFonts w:ascii="宋体" w:hAnsi="宋体" w:eastAsia="宋体"/>
                <w:sz w:val="16"/>
              </w:rPr>
              <w:t>142件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C5C6CE">
            <w:pPr>
              <w:jc w:val="center"/>
            </w:pPr>
            <w:r>
              <w:rPr>
                <w:rFonts w:ascii="宋体" w:hAnsi="宋体" w:eastAsia="宋体"/>
                <w:sz w:val="16"/>
              </w:rPr>
              <w:t>14.59</w:t>
            </w:r>
          </w:p>
        </w:tc>
      </w:tr>
      <w:tr w14:paraId="3430E53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191C5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664F5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3AE553">
            <w:pPr>
              <w:jc w:val="center"/>
            </w:pPr>
            <w:r>
              <w:rPr>
                <w:rFonts w:ascii="宋体" w:hAnsi="宋体" w:eastAsia="宋体"/>
                <w:sz w:val="16"/>
              </w:rPr>
              <w:t>办理上级来文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8E8D94">
            <w:pPr>
              <w:jc w:val="center"/>
            </w:pPr>
            <w:r>
              <w:rPr>
                <w:rFonts w:ascii="宋体" w:hAnsi="宋体" w:eastAsia="宋体"/>
                <w:sz w:val="16"/>
              </w:rPr>
              <w:t>&gt;=1300件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01ED7C">
            <w:pPr>
              <w:jc w:val="center"/>
            </w:pPr>
            <w:r>
              <w:rPr>
                <w:rFonts w:ascii="宋体" w:hAnsi="宋体" w:eastAsia="宋体"/>
                <w:sz w:val="16"/>
              </w:rPr>
              <w:t>2024年政府办公室工作计划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8B1387">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979C69">
            <w:pPr>
              <w:jc w:val="center"/>
            </w:pPr>
            <w:r>
              <w:rPr>
                <w:rFonts w:ascii="宋体" w:hAnsi="宋体" w:eastAsia="宋体"/>
                <w:sz w:val="16"/>
              </w:rPr>
              <w:t>1981件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2E50C5">
            <w:pPr>
              <w:jc w:val="center"/>
            </w:pPr>
            <w:r>
              <w:rPr>
                <w:rFonts w:ascii="宋体" w:hAnsi="宋体" w:eastAsia="宋体"/>
                <w:sz w:val="16"/>
              </w:rPr>
              <w:t>15</w:t>
            </w:r>
          </w:p>
        </w:tc>
      </w:tr>
      <w:tr w14:paraId="0E352D3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448EE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156BE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8054AD">
            <w:pPr>
              <w:jc w:val="center"/>
            </w:pPr>
            <w:r>
              <w:rPr>
                <w:rFonts w:ascii="宋体" w:hAnsi="宋体" w:eastAsia="宋体"/>
                <w:sz w:val="16"/>
              </w:rPr>
              <w:t>政府党组会议、常务会议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EE5E08">
            <w:pPr>
              <w:jc w:val="center"/>
            </w:pPr>
            <w:r>
              <w:rPr>
                <w:rFonts w:ascii="宋体" w:hAnsi="宋体" w:eastAsia="宋体"/>
                <w:sz w:val="16"/>
              </w:rPr>
              <w:t>&gt;=15次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02F61C">
            <w:pPr>
              <w:jc w:val="center"/>
            </w:pPr>
            <w:r>
              <w:rPr>
                <w:rFonts w:ascii="宋体" w:hAnsi="宋体" w:eastAsia="宋体"/>
                <w:sz w:val="16"/>
              </w:rPr>
              <w:t>2024年政府办公室工作计划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F8CA66">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675C11">
            <w:pPr>
              <w:jc w:val="center"/>
            </w:pPr>
            <w:r>
              <w:rPr>
                <w:rFonts w:ascii="宋体" w:hAnsi="宋体" w:eastAsia="宋体"/>
                <w:sz w:val="16"/>
              </w:rPr>
              <w:t>24次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550287">
            <w:pPr>
              <w:jc w:val="center"/>
            </w:pPr>
            <w:r>
              <w:rPr>
                <w:rFonts w:ascii="宋体" w:hAnsi="宋体" w:eastAsia="宋体"/>
                <w:sz w:val="16"/>
              </w:rPr>
              <w:t>15</w:t>
            </w:r>
          </w:p>
        </w:tc>
      </w:tr>
      <w:tr w14:paraId="12BCA10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87ADE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0C5C1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BE0147">
            <w:pPr>
              <w:jc w:val="center"/>
            </w:pPr>
            <w:r>
              <w:rPr>
                <w:rFonts w:ascii="宋体" w:hAnsi="宋体" w:eastAsia="宋体"/>
                <w:sz w:val="16"/>
              </w:rPr>
              <w:t>政务服务大厅总办件量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0C2F52">
            <w:pPr>
              <w:jc w:val="center"/>
            </w:pPr>
            <w:r>
              <w:rPr>
                <w:rFonts w:ascii="宋体" w:hAnsi="宋体" w:eastAsia="宋体"/>
                <w:sz w:val="16"/>
              </w:rPr>
              <w:t>&gt;=150000件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B4D905">
            <w:pPr>
              <w:jc w:val="center"/>
            </w:pPr>
            <w:r>
              <w:rPr>
                <w:rFonts w:ascii="宋体" w:hAnsi="宋体" w:eastAsia="宋体"/>
                <w:sz w:val="16"/>
              </w:rPr>
              <w:t>2024年</w:t>
            </w:r>
            <w:r>
              <w:rPr>
                <w:rFonts w:hint="eastAsia" w:ascii="宋体" w:hAnsi="宋体"/>
                <w:sz w:val="16"/>
                <w:lang w:eastAsia="zh-CN"/>
              </w:rPr>
              <w:t>政府工作报告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F961AA">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1B713C">
            <w:pPr>
              <w:jc w:val="center"/>
            </w:pPr>
            <w:r>
              <w:rPr>
                <w:rFonts w:ascii="宋体" w:hAnsi="宋体" w:eastAsia="宋体"/>
                <w:sz w:val="16"/>
              </w:rPr>
              <w:t>175000件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0798FC">
            <w:pPr>
              <w:jc w:val="center"/>
            </w:pPr>
            <w:r>
              <w:rPr>
                <w:rFonts w:ascii="宋体" w:hAnsi="宋体" w:eastAsia="宋体"/>
                <w:sz w:val="16"/>
              </w:rPr>
              <w:t>15</w:t>
            </w:r>
          </w:p>
        </w:tc>
      </w:tr>
    </w:tbl>
    <w:p w14:paraId="47786D7F">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9"/>
        <w:gridCol w:w="626"/>
        <w:gridCol w:w="696"/>
        <w:gridCol w:w="696"/>
        <w:gridCol w:w="776"/>
        <w:gridCol w:w="631"/>
        <w:gridCol w:w="624"/>
        <w:gridCol w:w="624"/>
        <w:gridCol w:w="624"/>
        <w:gridCol w:w="625"/>
        <w:gridCol w:w="632"/>
      </w:tblGrid>
      <w:tr w14:paraId="1CF7D1F2">
        <w:tblPrEx>
          <w:tblCellMar>
            <w:top w:w="0" w:type="dxa"/>
            <w:left w:w="108" w:type="dxa"/>
            <w:bottom w:w="0" w:type="dxa"/>
            <w:right w:w="108" w:type="dxa"/>
          </w:tblCellMar>
        </w:tblPrEx>
        <w:tc>
          <w:tcPr>
            <w:tcW w:w="8848" w:type="dxa"/>
            <w:gridSpan w:val="14"/>
            <w:vAlign w:val="center"/>
          </w:tcPr>
          <w:p w14:paraId="314841C2">
            <w:pPr>
              <w:jc w:val="center"/>
            </w:pPr>
            <w:r>
              <w:rPr>
                <w:rFonts w:ascii="宋体" w:hAnsi="宋体" w:eastAsia="宋体"/>
                <w:sz w:val="24"/>
              </w:rPr>
              <w:t>项目支出绩效自评表</w:t>
            </w:r>
          </w:p>
        </w:tc>
      </w:tr>
      <w:tr w14:paraId="22B542E8">
        <w:tblPrEx>
          <w:tblCellMar>
            <w:top w:w="0" w:type="dxa"/>
            <w:left w:w="108" w:type="dxa"/>
            <w:bottom w:w="0" w:type="dxa"/>
            <w:right w:w="108" w:type="dxa"/>
          </w:tblCellMar>
        </w:tblPrEx>
        <w:tc>
          <w:tcPr>
            <w:tcW w:w="8848" w:type="dxa"/>
            <w:gridSpan w:val="14"/>
            <w:vAlign w:val="center"/>
          </w:tcPr>
          <w:p w14:paraId="3862CB0E">
            <w:pPr>
              <w:jc w:val="center"/>
            </w:pPr>
            <w:r>
              <w:rPr>
                <w:rFonts w:ascii="宋体" w:hAnsi="宋体" w:eastAsia="宋体"/>
                <w:sz w:val="24"/>
              </w:rPr>
              <w:t>(2024年度)</w:t>
            </w:r>
          </w:p>
        </w:tc>
      </w:tr>
      <w:tr w14:paraId="4162F4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67F2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4D7B09B">
            <w:pPr>
              <w:jc w:val="center"/>
            </w:pPr>
            <w:r>
              <w:rPr>
                <w:rFonts w:ascii="宋体" w:hAnsi="宋体" w:eastAsia="宋体"/>
                <w:sz w:val="16"/>
              </w:rPr>
              <w:t>霍城县人民政府办公室机关办公费项目（自有资金）</w:t>
            </w:r>
          </w:p>
        </w:tc>
      </w:tr>
      <w:tr w14:paraId="1FBAC7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C704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E60A74">
            <w:pPr>
              <w:jc w:val="center"/>
            </w:pPr>
            <w:r>
              <w:rPr>
                <w:rFonts w:ascii="宋体" w:hAnsi="宋体" w:eastAsia="宋体"/>
                <w:sz w:val="16"/>
              </w:rPr>
              <w:t>霍城县人民政府办公室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8A3F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262DD2">
            <w:pPr>
              <w:jc w:val="center"/>
            </w:pPr>
            <w:r>
              <w:rPr>
                <w:rFonts w:ascii="宋体" w:hAnsi="宋体" w:eastAsia="宋体"/>
                <w:sz w:val="16"/>
              </w:rPr>
              <w:t>霍城县人民政府办公室</w:t>
            </w:r>
          </w:p>
        </w:tc>
      </w:tr>
      <w:tr w14:paraId="137C4A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C1067D">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94D8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56A8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8FF7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60B9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BEFF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2977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049FE">
            <w:pPr>
              <w:jc w:val="center"/>
            </w:pPr>
            <w:r>
              <w:rPr>
                <w:rFonts w:ascii="宋体" w:hAnsi="宋体" w:eastAsia="宋体"/>
                <w:sz w:val="16"/>
              </w:rPr>
              <w:t>得分</w:t>
            </w:r>
          </w:p>
        </w:tc>
      </w:tr>
      <w:tr w14:paraId="206C65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F135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7D4D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3AA86">
            <w:pPr>
              <w:jc w:val="center"/>
            </w:pPr>
            <w:r>
              <w:rPr>
                <w:rFonts w:ascii="宋体" w:hAnsi="宋体" w:eastAsia="宋体"/>
                <w:sz w:val="16"/>
              </w:rPr>
              <w:t>4.75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B4B15">
            <w:pPr>
              <w:jc w:val="center"/>
            </w:pPr>
            <w:r>
              <w:rPr>
                <w:rFonts w:ascii="宋体" w:hAnsi="宋体" w:eastAsia="宋体"/>
                <w:sz w:val="16"/>
              </w:rPr>
              <w:t>4.75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BC6AD">
            <w:pPr>
              <w:jc w:val="center"/>
            </w:pPr>
            <w:r>
              <w:rPr>
                <w:rFonts w:ascii="宋体" w:hAnsi="宋体" w:eastAsia="宋体"/>
                <w:sz w:val="16"/>
              </w:rPr>
              <w:t>4.75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FFE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5DD8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72A84">
            <w:pPr>
              <w:jc w:val="center"/>
            </w:pPr>
            <w:r>
              <w:rPr>
                <w:rFonts w:ascii="宋体" w:hAnsi="宋体" w:eastAsia="宋体"/>
                <w:sz w:val="16"/>
              </w:rPr>
              <w:t>10.00</w:t>
            </w:r>
          </w:p>
        </w:tc>
      </w:tr>
      <w:tr w14:paraId="75D770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1A4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6969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1D3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141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179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3455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E9C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56F3B">
            <w:pPr>
              <w:jc w:val="center"/>
            </w:pPr>
            <w:r>
              <w:rPr>
                <w:rFonts w:ascii="宋体" w:hAnsi="宋体" w:eastAsia="宋体"/>
                <w:sz w:val="16"/>
              </w:rPr>
              <w:t>—</w:t>
            </w:r>
          </w:p>
        </w:tc>
      </w:tr>
      <w:tr w14:paraId="31C820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CD2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468D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FCA3F">
            <w:pPr>
              <w:jc w:val="center"/>
            </w:pPr>
            <w:r>
              <w:rPr>
                <w:rFonts w:ascii="宋体" w:hAnsi="宋体" w:eastAsia="宋体"/>
                <w:sz w:val="16"/>
              </w:rPr>
              <w:t>4.75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4D36D">
            <w:pPr>
              <w:jc w:val="center"/>
            </w:pPr>
            <w:r>
              <w:rPr>
                <w:rFonts w:ascii="宋体" w:hAnsi="宋体" w:eastAsia="宋体"/>
                <w:sz w:val="16"/>
              </w:rPr>
              <w:t>4.75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C01F9">
            <w:pPr>
              <w:jc w:val="center"/>
            </w:pPr>
            <w:r>
              <w:rPr>
                <w:rFonts w:ascii="宋体" w:hAnsi="宋体" w:eastAsia="宋体"/>
                <w:sz w:val="16"/>
              </w:rPr>
              <w:t>4.75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3BBA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10F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1165A">
            <w:pPr>
              <w:jc w:val="center"/>
            </w:pPr>
            <w:r>
              <w:rPr>
                <w:rFonts w:ascii="宋体" w:hAnsi="宋体" w:eastAsia="宋体"/>
                <w:sz w:val="16"/>
              </w:rPr>
              <w:t>—</w:t>
            </w:r>
          </w:p>
        </w:tc>
      </w:tr>
      <w:tr w14:paraId="1B7567C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6D868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2E046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35DA1E">
            <w:pPr>
              <w:jc w:val="center"/>
            </w:pPr>
            <w:r>
              <w:rPr>
                <w:rFonts w:ascii="宋体" w:hAnsi="宋体" w:eastAsia="宋体"/>
                <w:sz w:val="16"/>
              </w:rPr>
              <w:t>实际完成情况</w:t>
            </w:r>
          </w:p>
        </w:tc>
      </w:tr>
      <w:tr w14:paraId="1AB141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5EC1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381EB8">
            <w:pPr>
              <w:jc w:val="both"/>
            </w:pPr>
            <w:bookmarkStart w:id="0" w:name="_GoBack"/>
            <w:r>
              <w:rPr>
                <w:rFonts w:ascii="宋体" w:hAnsi="宋体" w:eastAsia="宋体"/>
                <w:sz w:val="16"/>
              </w:rPr>
              <w:t>1、</w:t>
            </w:r>
            <w:bookmarkEnd w:id="0"/>
            <w:r>
              <w:rPr>
                <w:rFonts w:ascii="宋体" w:hAnsi="宋体" w:eastAsia="宋体"/>
                <w:sz w:val="16"/>
              </w:rPr>
              <w:t>为保障政府工作正常运行，改善办公室办公环境，粉刷墙面、维修、暖气改造等。2、为推进公共机构节约能源资源工作高质量发展，开创公共机构绿色低碳发展新局面，购置一台生活分类垃圾智能垃圾箱。</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07EDE3">
            <w:pPr>
              <w:jc w:val="both"/>
            </w:pPr>
            <w:r>
              <w:rPr>
                <w:rFonts w:ascii="宋体" w:hAnsi="宋体" w:eastAsia="宋体"/>
                <w:sz w:val="16"/>
              </w:rPr>
              <w:t>1、完成了办公室墙面的粉刷、暖气改造。</w:t>
            </w:r>
            <w:r>
              <w:rPr>
                <w:rFonts w:ascii="宋体" w:hAnsi="宋体" w:eastAsia="宋体"/>
                <w:sz w:val="16"/>
              </w:rPr>
              <w:br w:type="textWrapping"/>
            </w:r>
            <w:r>
              <w:rPr>
                <w:rFonts w:ascii="宋体" w:hAnsi="宋体" w:eastAsia="宋体"/>
                <w:sz w:val="16"/>
              </w:rPr>
              <w:t>2、购置1台生活分类垃圾智能垃圾箱。3、改善了办公室工作环境,提高了工作人员的积极性,工作效率显著提升</w:t>
            </w:r>
            <w:r>
              <w:rPr>
                <w:rFonts w:hint="eastAsia" w:ascii="宋体" w:hAnsi="宋体"/>
                <w:sz w:val="16"/>
                <w:lang w:eastAsia="zh-CN"/>
              </w:rPr>
              <w:t>。</w:t>
            </w:r>
          </w:p>
        </w:tc>
      </w:tr>
      <w:tr w14:paraId="23CC6D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3D78C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47CA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23E6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8989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E9B7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5BDBB">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01CE2">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1847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702F9">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968B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1AC9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2BDB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2B7F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A9F0E">
            <w:pPr>
              <w:jc w:val="center"/>
            </w:pPr>
            <w:r>
              <w:rPr>
                <w:rFonts w:ascii="宋体" w:hAnsi="宋体" w:eastAsia="宋体"/>
                <w:sz w:val="16"/>
              </w:rPr>
              <w:t>偏差原因分析及改进措施</w:t>
            </w:r>
          </w:p>
        </w:tc>
      </w:tr>
      <w:tr w14:paraId="13ACDF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1E222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67C72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8E9E3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7D6A7">
            <w:pPr>
              <w:jc w:val="center"/>
            </w:pPr>
            <w:r>
              <w:rPr>
                <w:rFonts w:ascii="宋体" w:hAnsi="宋体" w:eastAsia="宋体"/>
                <w:sz w:val="16"/>
              </w:rPr>
              <w:t>墙面粉刷、维修面积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DFA5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94A4F">
            <w:pPr>
              <w:jc w:val="center"/>
            </w:pPr>
            <w:r>
              <w:rPr>
                <w:rFonts w:ascii="宋体" w:hAnsi="宋体" w:eastAsia="宋体"/>
                <w:sz w:val="16"/>
              </w:rPr>
              <w:t>&gt;=500平方米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13FB6">
            <w:pPr>
              <w:jc w:val="center"/>
            </w:pPr>
            <w:r>
              <w:rPr>
                <w:rFonts w:ascii="宋体" w:hAnsi="宋体" w:eastAsia="宋体"/>
                <w:sz w:val="16"/>
              </w:rPr>
              <w:t>1406.6平方米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10B08">
            <w:pPr>
              <w:jc w:val="center"/>
            </w:pPr>
            <w:r>
              <w:rPr>
                <w:rFonts w:ascii="宋体" w:hAnsi="宋体" w:eastAsia="宋体"/>
                <w:sz w:val="16"/>
              </w:rPr>
              <w:t>281.32%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DA9C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A42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AC9F5">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F7D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ADA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375A7">
            <w:pPr>
              <w:jc w:val="center"/>
            </w:pPr>
            <w:r>
              <w:rPr>
                <w:rFonts w:ascii="宋体" w:hAnsi="宋体" w:eastAsia="宋体"/>
                <w:sz w:val="16"/>
              </w:rPr>
              <w:t>偏差原因：前期测量遗漏隐蔽区域,如房顶、侧面、不规则表面等，施工中调整粉刷区域增加，造成粉刷维修面积增加。改进措施：今后明确项目实施范围，做到精准评估，减少损耗、有效控制维修粉刷面积的异常增加，提高工程可控性和经济效益。</w:t>
            </w:r>
          </w:p>
        </w:tc>
      </w:tr>
      <w:tr w14:paraId="5EDB64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022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2AB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D302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E7B7B">
            <w:pPr>
              <w:jc w:val="center"/>
            </w:pPr>
            <w:r>
              <w:rPr>
                <w:rFonts w:ascii="宋体" w:hAnsi="宋体" w:eastAsia="宋体"/>
                <w:sz w:val="16"/>
              </w:rPr>
              <w:t>购置生活分类垃圾箱数量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CB99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C539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CDF8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16D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BD8F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DEC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7E8A4">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D676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3B44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1B3B6">
            <w:pPr>
              <w:jc w:val="center"/>
            </w:pPr>
          </w:p>
        </w:tc>
      </w:tr>
      <w:tr w14:paraId="3EC991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E58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216C1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F8229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CDE65">
            <w:pPr>
              <w:jc w:val="center"/>
            </w:pPr>
            <w:r>
              <w:rPr>
                <w:rFonts w:ascii="宋体" w:hAnsi="宋体" w:eastAsia="宋体"/>
                <w:sz w:val="16"/>
              </w:rPr>
              <w:t>生活分类垃圾箱验收合格率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B279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2FC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0DD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16F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B517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34A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B0BA7">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86B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B1F5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42558">
            <w:pPr>
              <w:jc w:val="center"/>
            </w:pPr>
          </w:p>
        </w:tc>
      </w:tr>
      <w:tr w14:paraId="4399A1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1D6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69F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3EC7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37E98">
            <w:pPr>
              <w:jc w:val="center"/>
            </w:pPr>
            <w:r>
              <w:rPr>
                <w:rFonts w:ascii="宋体" w:hAnsi="宋体" w:eastAsia="宋体"/>
                <w:sz w:val="16"/>
              </w:rPr>
              <w:t>墙面粉刷、维修验收合格率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DEF3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8E9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DF8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9E8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EC59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030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EAED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3D6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E024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BDEBA">
            <w:pPr>
              <w:jc w:val="center"/>
            </w:pPr>
          </w:p>
        </w:tc>
      </w:tr>
      <w:tr w14:paraId="3F7521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051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8131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64429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2FD5E">
            <w:pPr>
              <w:jc w:val="center"/>
            </w:pPr>
            <w:r>
              <w:rPr>
                <w:rFonts w:ascii="宋体" w:hAnsi="宋体" w:eastAsia="宋体"/>
                <w:sz w:val="16"/>
              </w:rPr>
              <w:t>采购生活分类垃圾箱完成时间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DF17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21D16">
            <w:pPr>
              <w:jc w:val="center"/>
            </w:pPr>
            <w:r>
              <w:rPr>
                <w:rFonts w:ascii="宋体" w:hAnsi="宋体" w:eastAsia="宋体"/>
                <w:sz w:val="16"/>
              </w:rPr>
              <w:t>2024年10月30日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E5555">
            <w:pPr>
              <w:jc w:val="center"/>
            </w:pPr>
            <w:r>
              <w:rPr>
                <w:rFonts w:ascii="宋体" w:hAnsi="宋体" w:eastAsia="宋体"/>
                <w:sz w:val="16"/>
              </w:rPr>
              <w:t>2024年10月30日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C74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3403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AF9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181D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9E0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CFA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3E534">
            <w:pPr>
              <w:jc w:val="center"/>
            </w:pPr>
          </w:p>
        </w:tc>
      </w:tr>
      <w:tr w14:paraId="28066A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9031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C3C8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9BD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8C6C3">
            <w:pPr>
              <w:jc w:val="center"/>
            </w:pPr>
            <w:r>
              <w:rPr>
                <w:rFonts w:ascii="宋体" w:hAnsi="宋体" w:eastAsia="宋体"/>
                <w:sz w:val="16"/>
              </w:rPr>
              <w:t>墙面粉刷、维修完工及时率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93D2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1F9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711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7B8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C2A7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685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3206F">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C47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6BB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A5FD9">
            <w:pPr>
              <w:jc w:val="center"/>
            </w:pPr>
          </w:p>
        </w:tc>
      </w:tr>
      <w:tr w14:paraId="0E81FE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990F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B7F48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ECB18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F99E8">
            <w:pPr>
              <w:jc w:val="center"/>
            </w:pPr>
            <w:r>
              <w:rPr>
                <w:rFonts w:ascii="宋体" w:hAnsi="宋体" w:eastAsia="宋体"/>
                <w:sz w:val="16"/>
              </w:rPr>
              <w:t>墙面粉刷、维修费用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D37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DE0C4">
            <w:pPr>
              <w:jc w:val="center"/>
            </w:pPr>
            <w:r>
              <w:rPr>
                <w:rFonts w:ascii="宋体" w:hAnsi="宋体" w:eastAsia="宋体"/>
                <w:sz w:val="16"/>
              </w:rPr>
              <w:t>&lt;=3.75万元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01908">
            <w:pPr>
              <w:jc w:val="center"/>
            </w:pPr>
            <w:r>
              <w:rPr>
                <w:rFonts w:ascii="宋体" w:hAnsi="宋体" w:eastAsia="宋体"/>
                <w:sz w:val="16"/>
              </w:rPr>
              <w:t>3.63万元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22F50">
            <w:pPr>
              <w:jc w:val="center"/>
            </w:pPr>
            <w:r>
              <w:rPr>
                <w:rFonts w:ascii="宋体" w:hAnsi="宋体" w:eastAsia="宋体"/>
                <w:sz w:val="16"/>
              </w:rPr>
              <w:t>96.8%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C813C">
            <w:pPr>
              <w:jc w:val="center"/>
            </w:pPr>
            <w:r>
              <w:rPr>
                <w:rFonts w:ascii="宋体" w:hAnsi="宋体" w:eastAsia="宋体"/>
                <w:sz w:val="16"/>
              </w:rPr>
              <w:t>9.68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2D7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559C1">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68F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F4D5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3B833">
            <w:pPr>
              <w:jc w:val="center"/>
            </w:pPr>
            <w:r>
              <w:rPr>
                <w:rFonts w:ascii="宋体" w:hAnsi="宋体" w:eastAsia="宋体"/>
                <w:sz w:val="16"/>
              </w:rPr>
              <w:t>年初预算维修粉刷费用较多，自有资金支付减少，财政支付增加。</w:t>
            </w:r>
          </w:p>
        </w:tc>
      </w:tr>
      <w:tr w14:paraId="48D3AC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B0A6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AD0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5C8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41C7F">
            <w:pPr>
              <w:jc w:val="center"/>
            </w:pPr>
            <w:r>
              <w:rPr>
                <w:rFonts w:ascii="宋体" w:hAnsi="宋体" w:eastAsia="宋体"/>
                <w:sz w:val="16"/>
              </w:rPr>
              <w:t>购置生活分类垃圾箱款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58A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55EFF">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8A88C">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824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F3F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AD0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2C3A8">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79A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0E4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78B1C">
            <w:pPr>
              <w:jc w:val="center"/>
            </w:pPr>
          </w:p>
        </w:tc>
      </w:tr>
      <w:tr w14:paraId="73E68B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DFD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931C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1D16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3B888">
            <w:pPr>
              <w:jc w:val="center"/>
            </w:pPr>
            <w:r>
              <w:rPr>
                <w:rFonts w:ascii="宋体" w:hAnsi="宋体" w:eastAsia="宋体"/>
                <w:sz w:val="16"/>
              </w:rPr>
              <w:t>提升</w:t>
            </w:r>
            <w:r>
              <w:rPr>
                <w:rFonts w:hint="eastAsia" w:ascii="宋体" w:hAnsi="宋体"/>
                <w:sz w:val="16"/>
                <w:lang w:eastAsia="zh-CN"/>
              </w:rPr>
              <w:t>服务型</w:t>
            </w:r>
            <w:r>
              <w:rPr>
                <w:rFonts w:ascii="宋体" w:hAnsi="宋体" w:eastAsia="宋体"/>
                <w:sz w:val="16"/>
              </w:rPr>
              <w:t>政府履职能力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C2C71">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22FB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851B3">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D34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4A855">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0F3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12303">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6E81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7C8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D0567">
            <w:pPr>
              <w:jc w:val="center"/>
            </w:pPr>
          </w:p>
        </w:tc>
      </w:tr>
      <w:tr w14:paraId="6278134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245BF8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32C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74B05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9806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ED32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F9B89">
            <w:pPr>
              <w:jc w:val="center"/>
            </w:pPr>
            <w:r>
              <w:rPr>
                <w:rFonts w:ascii="宋体" w:hAnsi="宋体" w:eastAsia="宋体"/>
                <w:sz w:val="16"/>
              </w:rPr>
              <w:t>99.68分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D51A8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F50B7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2B657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06689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D63399"/>
        </w:tc>
      </w:tr>
    </w:tbl>
    <w:p w14:paraId="23660DE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776"/>
        <w:gridCol w:w="632"/>
        <w:gridCol w:w="632"/>
        <w:gridCol w:w="632"/>
        <w:gridCol w:w="632"/>
        <w:gridCol w:w="632"/>
        <w:gridCol w:w="632"/>
      </w:tblGrid>
      <w:tr w14:paraId="38CBC924">
        <w:tblPrEx>
          <w:tblCellMar>
            <w:top w:w="0" w:type="dxa"/>
            <w:left w:w="108" w:type="dxa"/>
            <w:bottom w:w="0" w:type="dxa"/>
            <w:right w:w="108" w:type="dxa"/>
          </w:tblCellMar>
        </w:tblPrEx>
        <w:tc>
          <w:tcPr>
            <w:tcW w:w="8848" w:type="dxa"/>
            <w:gridSpan w:val="14"/>
            <w:vAlign w:val="center"/>
          </w:tcPr>
          <w:p w14:paraId="20A785F0">
            <w:pPr>
              <w:jc w:val="center"/>
            </w:pPr>
            <w:r>
              <w:rPr>
                <w:rFonts w:ascii="宋体" w:hAnsi="宋体" w:eastAsia="宋体"/>
                <w:sz w:val="24"/>
              </w:rPr>
              <w:t>项目支出绩效自评表</w:t>
            </w:r>
          </w:p>
        </w:tc>
      </w:tr>
      <w:tr w14:paraId="03C2A377">
        <w:tblPrEx>
          <w:tblCellMar>
            <w:top w:w="0" w:type="dxa"/>
            <w:left w:w="108" w:type="dxa"/>
            <w:bottom w:w="0" w:type="dxa"/>
            <w:right w:w="108" w:type="dxa"/>
          </w:tblCellMar>
        </w:tblPrEx>
        <w:tc>
          <w:tcPr>
            <w:tcW w:w="8848" w:type="dxa"/>
            <w:gridSpan w:val="14"/>
            <w:vAlign w:val="center"/>
          </w:tcPr>
          <w:p w14:paraId="1919264A">
            <w:pPr>
              <w:jc w:val="center"/>
            </w:pPr>
            <w:r>
              <w:rPr>
                <w:rFonts w:ascii="宋体" w:hAnsi="宋体" w:eastAsia="宋体"/>
                <w:sz w:val="24"/>
              </w:rPr>
              <w:t>(2024年度)</w:t>
            </w:r>
          </w:p>
        </w:tc>
      </w:tr>
      <w:tr w14:paraId="4103AB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8E96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2B2A9DD">
            <w:pPr>
              <w:jc w:val="center"/>
            </w:pPr>
            <w:r>
              <w:rPr>
                <w:rFonts w:ascii="宋体" w:hAnsi="宋体" w:eastAsia="宋体"/>
                <w:sz w:val="16"/>
              </w:rPr>
              <w:t>霍城县人民政府网站监测及技术服务项目</w:t>
            </w:r>
          </w:p>
        </w:tc>
      </w:tr>
      <w:tr w14:paraId="38F586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CC04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B5D31F">
            <w:pPr>
              <w:jc w:val="center"/>
            </w:pPr>
            <w:r>
              <w:rPr>
                <w:rFonts w:ascii="宋体" w:hAnsi="宋体" w:eastAsia="宋体"/>
                <w:sz w:val="16"/>
              </w:rPr>
              <w:t>霍城县人民政府办公室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24EF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6B9645">
            <w:pPr>
              <w:jc w:val="center"/>
            </w:pPr>
            <w:r>
              <w:rPr>
                <w:rFonts w:ascii="宋体" w:hAnsi="宋体" w:eastAsia="宋体"/>
                <w:sz w:val="16"/>
              </w:rPr>
              <w:t>霍城县人民政府办公室</w:t>
            </w:r>
          </w:p>
        </w:tc>
      </w:tr>
      <w:tr w14:paraId="379424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9F2FA1">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6763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1F09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0546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128D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777E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4091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B2DDC">
            <w:pPr>
              <w:jc w:val="center"/>
            </w:pPr>
            <w:r>
              <w:rPr>
                <w:rFonts w:ascii="宋体" w:hAnsi="宋体" w:eastAsia="宋体"/>
                <w:sz w:val="16"/>
              </w:rPr>
              <w:t>得分</w:t>
            </w:r>
          </w:p>
        </w:tc>
      </w:tr>
      <w:tr w14:paraId="3ECFB0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492F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1632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4732A">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9442B">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AF84E">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B3D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82DC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87E9D">
            <w:pPr>
              <w:jc w:val="center"/>
            </w:pPr>
            <w:r>
              <w:rPr>
                <w:rFonts w:ascii="宋体" w:hAnsi="宋体" w:eastAsia="宋体"/>
                <w:sz w:val="16"/>
              </w:rPr>
              <w:t>10.00</w:t>
            </w:r>
          </w:p>
        </w:tc>
      </w:tr>
      <w:tr w14:paraId="6406A6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AB33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06BD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BABA1">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BCC0D">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17EDA">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C94F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ACF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8A2A1">
            <w:pPr>
              <w:jc w:val="center"/>
            </w:pPr>
            <w:r>
              <w:rPr>
                <w:rFonts w:ascii="宋体" w:hAnsi="宋体" w:eastAsia="宋体"/>
                <w:sz w:val="16"/>
              </w:rPr>
              <w:t>—</w:t>
            </w:r>
          </w:p>
        </w:tc>
      </w:tr>
      <w:tr w14:paraId="5E6229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E31D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6605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909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BB2A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418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2310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2F2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C6885">
            <w:pPr>
              <w:jc w:val="center"/>
            </w:pPr>
            <w:r>
              <w:rPr>
                <w:rFonts w:ascii="宋体" w:hAnsi="宋体" w:eastAsia="宋体"/>
                <w:sz w:val="16"/>
              </w:rPr>
              <w:t>—</w:t>
            </w:r>
          </w:p>
        </w:tc>
      </w:tr>
      <w:tr w14:paraId="080367D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679AF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B230A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F54CED">
            <w:pPr>
              <w:jc w:val="center"/>
            </w:pPr>
            <w:r>
              <w:rPr>
                <w:rFonts w:ascii="宋体" w:hAnsi="宋体" w:eastAsia="宋体"/>
                <w:sz w:val="16"/>
              </w:rPr>
              <w:t>实际完成情况</w:t>
            </w:r>
          </w:p>
        </w:tc>
      </w:tr>
      <w:tr w14:paraId="6975E1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21B91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B322B4">
            <w:pPr>
              <w:jc w:val="both"/>
            </w:pPr>
            <w:r>
              <w:rPr>
                <w:rFonts w:ascii="宋体" w:hAnsi="宋体" w:eastAsia="宋体"/>
                <w:sz w:val="16"/>
              </w:rPr>
              <w:t>有效提高政府网站与政务公开绩效、能提供保障网站平台运行稳定、链接畅通、页面错位修复、应急保障等服务；按照国产化替代工作要求，结合信息化设备需求和使用、报废实际情况，于2024年国产化替代量需达到总量的30%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AD7CB2">
            <w:pPr>
              <w:jc w:val="both"/>
            </w:pPr>
            <w:r>
              <w:rPr>
                <w:rFonts w:ascii="宋体" w:hAnsi="宋体" w:eastAsia="宋体"/>
                <w:sz w:val="16"/>
              </w:rPr>
              <w:t>1、有效保障了政府网站平台运行的稳定、链接畅通、页面错位修复、应急保障等服务；2、对网站栏目、内容页面进行日常小范围调整、维护（非改版），包括网页上小图片设计与替换，网站栏目更名、顺序调整，</w:t>
            </w:r>
            <w:r>
              <w:rPr>
                <w:rFonts w:hint="eastAsia" w:ascii="宋体" w:hAnsi="宋体"/>
                <w:sz w:val="16"/>
                <w:lang w:eastAsia="zh-CN"/>
              </w:rPr>
              <w:t>页面</w:t>
            </w:r>
            <w:r>
              <w:rPr>
                <w:rFonts w:ascii="宋体" w:hAnsi="宋体" w:eastAsia="宋体"/>
                <w:sz w:val="16"/>
              </w:rPr>
              <w:t>布局调整等日常维护；3、在重大活动及节假日期间，可根据实际需求设计制作首页节庆效果图；4、有针对性地进行用户内容采编发、互动交流信件回复、新媒体管理、智能搜索配置、智能问答配置等用户使用远程培训；5、购买国产计算机、打印复印机10万元。</w:t>
            </w:r>
          </w:p>
        </w:tc>
      </w:tr>
      <w:tr w14:paraId="333F1B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34DF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F1CF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6841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49CB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E014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C421B">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6A3D9">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56E2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69F41">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C262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BA55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3920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6366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9F9BB">
            <w:pPr>
              <w:jc w:val="center"/>
            </w:pPr>
            <w:r>
              <w:rPr>
                <w:rFonts w:ascii="宋体" w:hAnsi="宋体" w:eastAsia="宋体"/>
                <w:sz w:val="16"/>
              </w:rPr>
              <w:t>偏差原因分析及改进措施</w:t>
            </w:r>
          </w:p>
        </w:tc>
      </w:tr>
      <w:tr w14:paraId="657B61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15E8D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4C333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0CD28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E9821">
            <w:pPr>
              <w:jc w:val="center"/>
            </w:pPr>
            <w:r>
              <w:rPr>
                <w:rFonts w:ascii="宋体" w:hAnsi="宋体" w:eastAsia="宋体"/>
                <w:sz w:val="16"/>
              </w:rPr>
              <w:t>网站内容安全检测次数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CDF8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082C0">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2C3BC">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4DD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EAF9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484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64151">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B00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5B1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B70C3">
            <w:pPr>
              <w:jc w:val="center"/>
            </w:pPr>
          </w:p>
        </w:tc>
      </w:tr>
      <w:tr w14:paraId="491CE8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4FA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E01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4D8C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E7FEE">
            <w:pPr>
              <w:jc w:val="center"/>
            </w:pPr>
            <w:r>
              <w:rPr>
                <w:rFonts w:ascii="宋体" w:hAnsi="宋体" w:eastAsia="宋体"/>
                <w:sz w:val="16"/>
              </w:rPr>
              <w:t>系统应用单位数量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4A86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30A68">
            <w:pPr>
              <w:jc w:val="center"/>
            </w:pPr>
            <w:r>
              <w:rPr>
                <w:rFonts w:ascii="宋体" w:hAnsi="宋体" w:eastAsia="宋体"/>
                <w:sz w:val="16"/>
              </w:rPr>
              <w:t>&gt;=45个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86358">
            <w:pPr>
              <w:jc w:val="center"/>
            </w:pPr>
            <w:r>
              <w:rPr>
                <w:rFonts w:ascii="宋体" w:hAnsi="宋体" w:eastAsia="宋体"/>
                <w:sz w:val="16"/>
              </w:rPr>
              <w:t>49个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061E3">
            <w:pPr>
              <w:jc w:val="center"/>
            </w:pPr>
            <w:r>
              <w:rPr>
                <w:rFonts w:ascii="宋体" w:hAnsi="宋体" w:eastAsia="宋体"/>
                <w:sz w:val="16"/>
              </w:rPr>
              <w:t>108.89%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6048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810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C505B">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BDE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28B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A47FE">
            <w:pPr>
              <w:jc w:val="center"/>
            </w:pPr>
            <w:r>
              <w:rPr>
                <w:rFonts w:ascii="宋体" w:hAnsi="宋体" w:eastAsia="宋体"/>
                <w:sz w:val="16"/>
              </w:rPr>
              <w:t>机构改革,政府网站使用单位增加。</w:t>
            </w:r>
          </w:p>
        </w:tc>
      </w:tr>
      <w:tr w14:paraId="109E4F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0B5A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14CE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EEEC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393EB">
            <w:pPr>
              <w:jc w:val="center"/>
            </w:pPr>
            <w:r>
              <w:rPr>
                <w:rFonts w:ascii="宋体" w:hAnsi="宋体" w:eastAsia="宋体"/>
                <w:sz w:val="16"/>
              </w:rPr>
              <w:t>购置设备数量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08B0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4BD0A">
            <w:pPr>
              <w:jc w:val="center"/>
            </w:pPr>
            <w:r>
              <w:rPr>
                <w:rFonts w:ascii="宋体" w:hAnsi="宋体" w:eastAsia="宋体"/>
                <w:sz w:val="16"/>
              </w:rPr>
              <w:t>&gt;=11台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E3F96">
            <w:pPr>
              <w:jc w:val="center"/>
            </w:pPr>
            <w:r>
              <w:rPr>
                <w:rFonts w:ascii="宋体" w:hAnsi="宋体" w:eastAsia="宋体"/>
                <w:sz w:val="16"/>
              </w:rPr>
              <w:t>13台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FB6E3">
            <w:pPr>
              <w:jc w:val="center"/>
            </w:pPr>
            <w:r>
              <w:rPr>
                <w:rFonts w:ascii="宋体" w:hAnsi="宋体" w:eastAsia="宋体"/>
                <w:sz w:val="16"/>
              </w:rPr>
              <w:t>118.18%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F521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0DA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E2883">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1C0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128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84D9E">
            <w:pPr>
              <w:jc w:val="center"/>
            </w:pPr>
            <w:r>
              <w:rPr>
                <w:rFonts w:ascii="宋体" w:hAnsi="宋体" w:eastAsia="宋体"/>
                <w:sz w:val="16"/>
              </w:rPr>
              <w:t>年初预算国产电脑价格较高,实际购买时,价格降低,多购买设备2台。</w:t>
            </w:r>
          </w:p>
        </w:tc>
      </w:tr>
      <w:tr w14:paraId="35F9FD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4CA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738A7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2A96A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24423">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1E4E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56E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007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709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3CF6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360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7D34E">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44FA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FA7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A23A7">
            <w:pPr>
              <w:jc w:val="center"/>
            </w:pPr>
          </w:p>
        </w:tc>
      </w:tr>
      <w:tr w14:paraId="7F2BBB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FC2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D8E2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C412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6B580">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E228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29E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4FB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C80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9DB3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E82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CC655">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07E8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8ED8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8B69C">
            <w:pPr>
              <w:jc w:val="center"/>
            </w:pPr>
          </w:p>
        </w:tc>
      </w:tr>
      <w:tr w14:paraId="3A2C0C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0AB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FAC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5B1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5B8D1">
            <w:pPr>
              <w:jc w:val="center"/>
            </w:pPr>
            <w:r>
              <w:rPr>
                <w:rFonts w:ascii="宋体" w:hAnsi="宋体" w:eastAsia="宋体"/>
                <w:sz w:val="16"/>
              </w:rPr>
              <w:t>设备质量合格率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2EA1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1BC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723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8F5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2773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922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E5301">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53E3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D6B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E66B5">
            <w:pPr>
              <w:jc w:val="center"/>
            </w:pPr>
          </w:p>
        </w:tc>
      </w:tr>
      <w:tr w14:paraId="0747A0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416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7F7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3742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4A809">
            <w:pPr>
              <w:jc w:val="center"/>
            </w:pPr>
            <w:r>
              <w:rPr>
                <w:rFonts w:ascii="宋体" w:hAnsi="宋体" w:eastAsia="宋体"/>
                <w:sz w:val="16"/>
              </w:rPr>
              <w:t>系统故障率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36FD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2A281">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E00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012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18DB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5C5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DEA7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B30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F4A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35402">
            <w:pPr>
              <w:jc w:val="center"/>
            </w:pPr>
          </w:p>
        </w:tc>
      </w:tr>
      <w:tr w14:paraId="1BB1CC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A1C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1C72F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89569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0C87E">
            <w:pPr>
              <w:jc w:val="center"/>
            </w:pPr>
            <w:r>
              <w:rPr>
                <w:rFonts w:ascii="宋体" w:hAnsi="宋体" w:eastAsia="宋体"/>
                <w:sz w:val="16"/>
              </w:rPr>
              <w:t>系统运行维护响应时间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D41C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5110B">
            <w:pPr>
              <w:jc w:val="center"/>
            </w:pPr>
            <w:r>
              <w:rPr>
                <w:rFonts w:ascii="宋体" w:hAnsi="宋体" w:eastAsia="宋体"/>
                <w:sz w:val="16"/>
              </w:rPr>
              <w:t>&lt;=1小时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1A9B4">
            <w:pPr>
              <w:jc w:val="center"/>
            </w:pPr>
            <w:r>
              <w:rPr>
                <w:rFonts w:ascii="宋体" w:hAnsi="宋体" w:eastAsia="宋体"/>
                <w:sz w:val="16"/>
              </w:rPr>
              <w:t>1小时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6EB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2E07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F82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F13CF">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C0B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9EA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A2833">
            <w:pPr>
              <w:jc w:val="center"/>
            </w:pPr>
          </w:p>
        </w:tc>
      </w:tr>
      <w:tr w14:paraId="1538EC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C1C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AE0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C15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1FC80">
            <w:pPr>
              <w:jc w:val="center"/>
            </w:pPr>
            <w:r>
              <w:rPr>
                <w:rFonts w:ascii="宋体" w:hAnsi="宋体" w:eastAsia="宋体"/>
                <w:sz w:val="16"/>
              </w:rPr>
              <w:t>系统故障修复处理时间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B22C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BA967">
            <w:pPr>
              <w:jc w:val="center"/>
            </w:pPr>
            <w:r>
              <w:rPr>
                <w:rFonts w:ascii="宋体" w:hAnsi="宋体" w:eastAsia="宋体"/>
                <w:sz w:val="16"/>
              </w:rPr>
              <w:t>&lt;=24小时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A9381">
            <w:pPr>
              <w:jc w:val="center"/>
            </w:pPr>
            <w:r>
              <w:rPr>
                <w:rFonts w:ascii="宋体" w:hAnsi="宋体" w:eastAsia="宋体"/>
                <w:sz w:val="16"/>
              </w:rPr>
              <w:t>24小时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969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123E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730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4630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DE3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640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C1BBD">
            <w:pPr>
              <w:jc w:val="center"/>
            </w:pPr>
          </w:p>
        </w:tc>
      </w:tr>
      <w:tr w14:paraId="191909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687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85E4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DE2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F4F94">
            <w:pPr>
              <w:jc w:val="center"/>
            </w:pPr>
            <w:r>
              <w:rPr>
                <w:rFonts w:ascii="宋体" w:hAnsi="宋体" w:eastAsia="宋体"/>
                <w:sz w:val="16"/>
              </w:rPr>
              <w:t>设备采购完成时间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8E7E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0F9C5">
            <w:pPr>
              <w:jc w:val="center"/>
            </w:pPr>
            <w:r>
              <w:rPr>
                <w:rFonts w:ascii="宋体" w:hAnsi="宋体" w:eastAsia="宋体"/>
                <w:sz w:val="16"/>
              </w:rPr>
              <w:t>=2024年10月30日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F7174">
            <w:pPr>
              <w:jc w:val="center"/>
            </w:pPr>
            <w:r>
              <w:rPr>
                <w:rFonts w:ascii="宋体" w:hAnsi="宋体" w:eastAsia="宋体"/>
                <w:sz w:val="16"/>
              </w:rPr>
              <w:t>2024年10月9日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535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A2BA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D5F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5F3C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7F8E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09B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592C7">
            <w:pPr>
              <w:jc w:val="center"/>
            </w:pPr>
          </w:p>
        </w:tc>
      </w:tr>
      <w:tr w14:paraId="628336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4EB0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70B80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D0421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B9C3F">
            <w:pPr>
              <w:jc w:val="center"/>
            </w:pPr>
            <w:r>
              <w:rPr>
                <w:rFonts w:ascii="宋体" w:hAnsi="宋体" w:eastAsia="宋体"/>
                <w:sz w:val="16"/>
              </w:rPr>
              <w:t>网络内容安全检测费用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1662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7BBCA">
            <w:pPr>
              <w:jc w:val="center"/>
            </w:pPr>
            <w:r>
              <w:rPr>
                <w:rFonts w:ascii="宋体" w:hAnsi="宋体" w:eastAsia="宋体"/>
                <w:sz w:val="16"/>
              </w:rPr>
              <w:t>&lt;=4万元/年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28B2B">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C1DD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6B1A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405B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1A44A">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B54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ABA6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A440A">
            <w:pPr>
              <w:jc w:val="center"/>
            </w:pPr>
            <w:r>
              <w:rPr>
                <w:rFonts w:ascii="宋体" w:hAnsi="宋体" w:eastAsia="宋体"/>
                <w:sz w:val="16"/>
              </w:rPr>
              <w:t>年初预算时,服务</w:t>
            </w:r>
            <w:r>
              <w:rPr>
                <w:rFonts w:hint="eastAsia" w:ascii="宋体" w:hAnsi="宋体"/>
                <w:sz w:val="16"/>
                <w:lang w:eastAsia="zh-CN"/>
              </w:rPr>
              <w:t>协议签订</w:t>
            </w:r>
            <w:r>
              <w:rPr>
                <w:rFonts w:ascii="宋体" w:hAnsi="宋体" w:eastAsia="宋体"/>
                <w:sz w:val="16"/>
              </w:rPr>
              <w:t>1年4万元,年中监测服务内容增加,乙方要求价格不变的情况下,签约2年8万元。</w:t>
            </w:r>
          </w:p>
        </w:tc>
      </w:tr>
      <w:tr w14:paraId="1A4A6A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210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B0B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E15B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D5349">
            <w:pPr>
              <w:jc w:val="center"/>
            </w:pPr>
            <w:r>
              <w:rPr>
                <w:rFonts w:ascii="宋体" w:hAnsi="宋体" w:eastAsia="宋体"/>
                <w:sz w:val="16"/>
              </w:rPr>
              <w:t>设备采购成本控制数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4148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AD35E">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ED742">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38B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6661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5872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90B94">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200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1C6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FC7F1">
            <w:pPr>
              <w:jc w:val="center"/>
            </w:pPr>
          </w:p>
        </w:tc>
      </w:tr>
      <w:tr w14:paraId="593D28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681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89F4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17A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F2BA1">
            <w:pPr>
              <w:jc w:val="center"/>
            </w:pPr>
            <w:r>
              <w:rPr>
                <w:rFonts w:ascii="宋体" w:hAnsi="宋体" w:eastAsia="宋体"/>
                <w:sz w:val="16"/>
              </w:rPr>
              <w:t>设备维修维护费用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5E44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24C5E">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B36D4">
            <w:pPr>
              <w:jc w:val="center"/>
            </w:pPr>
            <w:r>
              <w:rPr>
                <w:rFonts w:ascii="宋体" w:hAnsi="宋体" w:eastAsia="宋体"/>
                <w:sz w:val="16"/>
              </w:rPr>
              <w:t>2.99万元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70C35">
            <w:pPr>
              <w:jc w:val="center"/>
            </w:pPr>
            <w:r>
              <w:rPr>
                <w:rFonts w:ascii="宋体" w:hAnsi="宋体" w:eastAsia="宋体"/>
                <w:sz w:val="16"/>
              </w:rPr>
              <w:t>42.71%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AA3D6">
            <w:pPr>
              <w:jc w:val="center"/>
            </w:pPr>
            <w:r>
              <w:rPr>
                <w:rFonts w:ascii="宋体" w:hAnsi="宋体" w:eastAsia="宋体"/>
                <w:sz w:val="16"/>
              </w:rPr>
              <w:t>2.56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5BDD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7ADB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256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B75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93655">
            <w:pPr>
              <w:jc w:val="center"/>
            </w:pPr>
            <w:r>
              <w:rPr>
                <w:rFonts w:ascii="宋体" w:hAnsi="宋体" w:eastAsia="宋体"/>
                <w:sz w:val="16"/>
              </w:rPr>
              <w:t>监测费用</w:t>
            </w:r>
            <w:r>
              <w:rPr>
                <w:rFonts w:hint="eastAsia" w:ascii="宋体" w:hAnsi="宋体"/>
                <w:sz w:val="16"/>
                <w:lang w:eastAsia="zh-CN"/>
              </w:rPr>
              <w:t>增加</w:t>
            </w:r>
            <w:r>
              <w:rPr>
                <w:rFonts w:ascii="宋体" w:hAnsi="宋体" w:eastAsia="宋体"/>
                <w:sz w:val="16"/>
              </w:rPr>
              <w:t>,设备维修维护费用减少。</w:t>
            </w:r>
          </w:p>
        </w:tc>
      </w:tr>
      <w:tr w14:paraId="1D1BDE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E898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BF79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97C1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A7B6D">
            <w:pPr>
              <w:jc w:val="center"/>
            </w:pPr>
            <w:r>
              <w:rPr>
                <w:rFonts w:ascii="宋体" w:hAnsi="宋体" w:eastAsia="宋体"/>
                <w:sz w:val="16"/>
              </w:rPr>
              <w:t>提高群众办事效率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E7D6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A1EA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1D07C">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FDB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D8DA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AD1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F0921">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A86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802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6B733">
            <w:pPr>
              <w:jc w:val="center"/>
            </w:pPr>
          </w:p>
        </w:tc>
      </w:tr>
      <w:tr w14:paraId="0496DC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E28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097D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DEC9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DD616">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1D4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A6AD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051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D0CC1">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394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575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EA3E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FF2B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D86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E9470">
            <w:pPr>
              <w:jc w:val="center"/>
            </w:pPr>
            <w:r>
              <w:rPr>
                <w:rFonts w:ascii="宋体" w:hAnsi="宋体" w:eastAsia="宋体"/>
                <w:sz w:val="16"/>
              </w:rPr>
              <w:t>政府网站内容效果较好,使用人满意度提高。</w:t>
            </w:r>
          </w:p>
        </w:tc>
      </w:tr>
      <w:tr w14:paraId="208120C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36AC91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1A3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CC94C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8E14F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C4B1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4D45A">
            <w:pPr>
              <w:jc w:val="center"/>
            </w:pPr>
            <w:r>
              <w:rPr>
                <w:rFonts w:ascii="宋体" w:hAnsi="宋体" w:eastAsia="宋体"/>
                <w:sz w:val="16"/>
              </w:rPr>
              <w:t>89.56分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43998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D3580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D2DD0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3C52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295EBE"/>
        </w:tc>
      </w:tr>
    </w:tbl>
    <w:p w14:paraId="4910051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96"/>
        <w:gridCol w:w="776"/>
        <w:gridCol w:w="632"/>
        <w:gridCol w:w="632"/>
        <w:gridCol w:w="632"/>
        <w:gridCol w:w="632"/>
        <w:gridCol w:w="632"/>
        <w:gridCol w:w="632"/>
      </w:tblGrid>
      <w:tr w14:paraId="10E9F4CB">
        <w:tblPrEx>
          <w:tblCellMar>
            <w:top w:w="0" w:type="dxa"/>
            <w:left w:w="108" w:type="dxa"/>
            <w:bottom w:w="0" w:type="dxa"/>
            <w:right w:w="108" w:type="dxa"/>
          </w:tblCellMar>
        </w:tblPrEx>
        <w:tc>
          <w:tcPr>
            <w:tcW w:w="8848" w:type="dxa"/>
            <w:gridSpan w:val="14"/>
            <w:vAlign w:val="center"/>
          </w:tcPr>
          <w:p w14:paraId="4F29B779">
            <w:pPr>
              <w:jc w:val="center"/>
            </w:pPr>
            <w:r>
              <w:rPr>
                <w:rFonts w:ascii="宋体" w:hAnsi="宋体" w:eastAsia="宋体"/>
                <w:sz w:val="24"/>
              </w:rPr>
              <w:t>项目支出绩效自评表</w:t>
            </w:r>
          </w:p>
        </w:tc>
      </w:tr>
      <w:tr w14:paraId="7FD69A96">
        <w:tblPrEx>
          <w:tblCellMar>
            <w:top w:w="0" w:type="dxa"/>
            <w:left w:w="108" w:type="dxa"/>
            <w:bottom w:w="0" w:type="dxa"/>
            <w:right w:w="108" w:type="dxa"/>
          </w:tblCellMar>
        </w:tblPrEx>
        <w:tc>
          <w:tcPr>
            <w:tcW w:w="8848" w:type="dxa"/>
            <w:gridSpan w:val="14"/>
            <w:vAlign w:val="center"/>
          </w:tcPr>
          <w:p w14:paraId="23B8D61B">
            <w:pPr>
              <w:jc w:val="center"/>
            </w:pPr>
            <w:r>
              <w:rPr>
                <w:rFonts w:ascii="宋体" w:hAnsi="宋体" w:eastAsia="宋体"/>
                <w:sz w:val="24"/>
              </w:rPr>
              <w:t>(2024年度)</w:t>
            </w:r>
          </w:p>
        </w:tc>
      </w:tr>
      <w:tr w14:paraId="367C8D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4EC1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E5460E3">
            <w:pPr>
              <w:jc w:val="center"/>
            </w:pPr>
            <w:r>
              <w:rPr>
                <w:rFonts w:ascii="宋体" w:hAnsi="宋体" w:eastAsia="宋体"/>
                <w:sz w:val="16"/>
              </w:rPr>
              <w:t>霍城县法律顾问服务费</w:t>
            </w:r>
          </w:p>
        </w:tc>
      </w:tr>
      <w:tr w14:paraId="5A843B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2956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BCD171">
            <w:pPr>
              <w:jc w:val="center"/>
            </w:pPr>
            <w:r>
              <w:rPr>
                <w:rFonts w:ascii="宋体" w:hAnsi="宋体" w:eastAsia="宋体"/>
                <w:sz w:val="16"/>
              </w:rPr>
              <w:t>霍城县人民政府办公室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3B6B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8EA6E6">
            <w:pPr>
              <w:jc w:val="center"/>
            </w:pPr>
            <w:r>
              <w:rPr>
                <w:rFonts w:ascii="宋体" w:hAnsi="宋体" w:eastAsia="宋体"/>
                <w:sz w:val="16"/>
              </w:rPr>
              <w:t>霍城县人民政府办公室</w:t>
            </w:r>
          </w:p>
        </w:tc>
      </w:tr>
      <w:tr w14:paraId="2B7DF4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CDA9F1">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6AA0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FCDB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AB1B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498E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53BB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0F56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47ED8">
            <w:pPr>
              <w:jc w:val="center"/>
            </w:pPr>
            <w:r>
              <w:rPr>
                <w:rFonts w:ascii="宋体" w:hAnsi="宋体" w:eastAsia="宋体"/>
                <w:sz w:val="16"/>
              </w:rPr>
              <w:t>得分</w:t>
            </w:r>
          </w:p>
        </w:tc>
      </w:tr>
      <w:tr w14:paraId="6EF0A1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AAE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A14F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8621C">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57919">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A2E23">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3C3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4B6B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0CB12">
            <w:pPr>
              <w:jc w:val="center"/>
            </w:pPr>
            <w:r>
              <w:rPr>
                <w:rFonts w:ascii="宋体" w:hAnsi="宋体" w:eastAsia="宋体"/>
                <w:sz w:val="16"/>
              </w:rPr>
              <w:t>10.00</w:t>
            </w:r>
          </w:p>
        </w:tc>
      </w:tr>
      <w:tr w14:paraId="605401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71C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1187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04E8C">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5B635">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B142E">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38FE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4E8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84AE0">
            <w:pPr>
              <w:jc w:val="center"/>
            </w:pPr>
            <w:r>
              <w:rPr>
                <w:rFonts w:ascii="宋体" w:hAnsi="宋体" w:eastAsia="宋体"/>
                <w:sz w:val="16"/>
              </w:rPr>
              <w:t>—</w:t>
            </w:r>
          </w:p>
        </w:tc>
      </w:tr>
      <w:tr w14:paraId="609AB3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2EC8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B251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79699">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41CAA">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9D4A4">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5B07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D9C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B65F6">
            <w:pPr>
              <w:jc w:val="center"/>
            </w:pPr>
            <w:r>
              <w:rPr>
                <w:rFonts w:ascii="宋体" w:hAnsi="宋体" w:eastAsia="宋体"/>
                <w:sz w:val="16"/>
              </w:rPr>
              <w:t>—</w:t>
            </w:r>
          </w:p>
        </w:tc>
      </w:tr>
      <w:tr w14:paraId="242E15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7CD63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A5AB7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B26762">
            <w:pPr>
              <w:jc w:val="center"/>
            </w:pPr>
            <w:r>
              <w:rPr>
                <w:rFonts w:ascii="宋体" w:hAnsi="宋体" w:eastAsia="宋体"/>
                <w:sz w:val="16"/>
              </w:rPr>
              <w:t>实际完成情况</w:t>
            </w:r>
          </w:p>
        </w:tc>
      </w:tr>
      <w:tr w14:paraId="3D1EF7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BFCF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6F5877">
            <w:pPr>
              <w:jc w:val="both"/>
            </w:pPr>
            <w:r>
              <w:rPr>
                <w:rFonts w:ascii="宋体" w:hAnsi="宋体" w:eastAsia="宋体"/>
                <w:sz w:val="16"/>
              </w:rPr>
              <w:t>目标1：通过提供优质、高效的法律服务，全面提升政府在管理活动中的法律风险防控能力、推进法治政府建设、增强行政决策水平、加强法治工作队伍建设、建立内部监督和风险控制机制、实现</w:t>
            </w:r>
            <w:r>
              <w:rPr>
                <w:rFonts w:hint="eastAsia" w:ascii="宋体" w:hAnsi="宋体"/>
                <w:sz w:val="16"/>
                <w:lang w:eastAsia="zh-CN"/>
              </w:rPr>
              <w:t>科学决策、民主决策、依法决策</w:t>
            </w:r>
            <w:r>
              <w:rPr>
                <w:rFonts w:ascii="宋体" w:hAnsi="宋体" w:eastAsia="宋体"/>
                <w:sz w:val="16"/>
              </w:rPr>
              <w:t>等能力。目标2</w:t>
            </w:r>
            <w:r>
              <w:rPr>
                <w:rFonts w:hint="eastAsia" w:ascii="宋体" w:hAnsi="宋体"/>
                <w:sz w:val="16"/>
                <w:lang w:eastAsia="zh-CN"/>
              </w:rPr>
              <w:t>:</w:t>
            </w:r>
            <w:r>
              <w:rPr>
                <w:rFonts w:ascii="宋体" w:hAnsi="宋体" w:eastAsia="宋体"/>
                <w:sz w:val="16"/>
              </w:rPr>
              <w:t>2022年-2024年霍城县法律顾问费</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016C2C">
            <w:pPr>
              <w:jc w:val="both"/>
            </w:pPr>
            <w:r>
              <w:rPr>
                <w:rFonts w:ascii="宋体" w:hAnsi="宋体" w:eastAsia="宋体"/>
                <w:sz w:val="16"/>
              </w:rPr>
              <w:t>1、完成了2022年-2024年霍城县法律顾问费120万元。2、通过法律顾问服务费项目，提升了政府行政效能，促进了法治社会建设，维护了社会稳定和谐。</w:t>
            </w:r>
          </w:p>
        </w:tc>
      </w:tr>
      <w:tr w14:paraId="210D6D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62D34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A405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4E00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EF55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73CA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02333">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49819">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5C3C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94FFC">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A792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7406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FB72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9D28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0AB02">
            <w:pPr>
              <w:jc w:val="center"/>
            </w:pPr>
            <w:r>
              <w:rPr>
                <w:rFonts w:ascii="宋体" w:hAnsi="宋体" w:eastAsia="宋体"/>
                <w:sz w:val="16"/>
              </w:rPr>
              <w:t>偏差原因分析及改进措施</w:t>
            </w:r>
          </w:p>
        </w:tc>
      </w:tr>
      <w:tr w14:paraId="57BE93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5868E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03C22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E15F8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EB5A3">
            <w:pPr>
              <w:jc w:val="center"/>
            </w:pPr>
            <w:r>
              <w:rPr>
                <w:rFonts w:ascii="宋体" w:hAnsi="宋体" w:eastAsia="宋体"/>
                <w:sz w:val="16"/>
              </w:rPr>
              <w:t>合作法律事务所数量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AFA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05E9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8168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A16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CDB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C16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1AE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0D46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D38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A169B">
            <w:pPr>
              <w:jc w:val="center"/>
            </w:pPr>
          </w:p>
        </w:tc>
      </w:tr>
      <w:tr w14:paraId="29F215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F45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2B88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D906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E6D4C">
            <w:pPr>
              <w:jc w:val="center"/>
            </w:pPr>
            <w:r>
              <w:rPr>
                <w:rFonts w:ascii="宋体" w:hAnsi="宋体" w:eastAsia="宋体"/>
                <w:sz w:val="16"/>
              </w:rPr>
              <w:t>聘请法律顾问人数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4CE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8C7EE">
            <w:pPr>
              <w:jc w:val="center"/>
            </w:pPr>
            <w:r>
              <w:rPr>
                <w:rFonts w:ascii="宋体" w:hAnsi="宋体" w:eastAsia="宋体"/>
                <w:sz w:val="16"/>
              </w:rPr>
              <w:t>&gt;=6人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37C57">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228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154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AF3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D99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48E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662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80B94">
            <w:pPr>
              <w:jc w:val="center"/>
            </w:pPr>
          </w:p>
        </w:tc>
      </w:tr>
      <w:tr w14:paraId="012E69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AA4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EB7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81D0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552FB">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9EF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518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FFE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DF9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79A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1EF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1E6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2BA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8B4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66408">
            <w:pPr>
              <w:jc w:val="center"/>
            </w:pPr>
          </w:p>
        </w:tc>
      </w:tr>
      <w:tr w14:paraId="116ABE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CBE1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7DB63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57F6F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3BEB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95C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205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EA3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866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614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988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107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D14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666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4EB84">
            <w:pPr>
              <w:jc w:val="center"/>
            </w:pPr>
          </w:p>
        </w:tc>
      </w:tr>
      <w:tr w14:paraId="656EBC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189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6F8B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85A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F0E8A">
            <w:pPr>
              <w:jc w:val="center"/>
            </w:pPr>
            <w:r>
              <w:rPr>
                <w:rFonts w:ascii="宋体" w:hAnsi="宋体" w:eastAsia="宋体"/>
                <w:sz w:val="16"/>
              </w:rPr>
              <w:t>法律顾问服务期限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55A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7A2FB">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1E50E">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75D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A1D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343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921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DBC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A04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932CF">
            <w:pPr>
              <w:jc w:val="center"/>
            </w:pPr>
          </w:p>
        </w:tc>
      </w:tr>
      <w:tr w14:paraId="2F5CF4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DF6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5A59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9A68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A6409">
            <w:pPr>
              <w:jc w:val="center"/>
            </w:pPr>
            <w:r>
              <w:rPr>
                <w:rFonts w:ascii="宋体" w:hAnsi="宋体" w:eastAsia="宋体"/>
                <w:sz w:val="16"/>
              </w:rPr>
              <w:t>法律服务发挥作用情况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B87A1">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58E1A">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FCCD0">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750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AB74B">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7CA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7C8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FDE6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BDE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E0C92">
            <w:pPr>
              <w:jc w:val="center"/>
            </w:pPr>
          </w:p>
        </w:tc>
      </w:tr>
      <w:tr w14:paraId="739679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01E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574B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2A73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714C2">
            <w:pPr>
              <w:jc w:val="center"/>
            </w:pPr>
            <w:r>
              <w:rPr>
                <w:rFonts w:ascii="宋体" w:hAnsi="宋体" w:eastAsia="宋体"/>
                <w:sz w:val="16"/>
              </w:rPr>
              <w:t>委托方满意度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95F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B41B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9B8A0">
            <w:pPr>
              <w:jc w:val="center"/>
            </w:pPr>
            <w:r>
              <w:rPr>
                <w:rFonts w:ascii="宋体" w:hAnsi="宋体" w:eastAsia="宋体"/>
                <w:sz w:val="16"/>
              </w:rPr>
              <w:t>95.45%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3FD48">
            <w:pPr>
              <w:jc w:val="center"/>
            </w:pPr>
            <w:r>
              <w:rPr>
                <w:rFonts w:ascii="宋体" w:hAnsi="宋体" w:eastAsia="宋体"/>
                <w:sz w:val="16"/>
              </w:rPr>
              <w:t>100.47%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6FF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1C5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9EB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DF3C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660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FDD94">
            <w:pPr>
              <w:jc w:val="center"/>
            </w:pPr>
          </w:p>
        </w:tc>
      </w:tr>
      <w:tr w14:paraId="7C33659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C1FD69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9B0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28689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99B10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3647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59C01">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6DBB9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CB383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67787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47766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935244"/>
        </w:tc>
      </w:tr>
    </w:tbl>
    <w:p w14:paraId="46935D0A">
      <w:r>
        <w:br w:type="page"/>
      </w:r>
    </w:p>
    <w:p w14:paraId="05B560EB">
      <w:pPr>
        <w:spacing w:line="640" w:lineRule="exact"/>
        <w:ind w:firstLine="640"/>
        <w:jc w:val="both"/>
        <w:outlineLvl w:val="2"/>
      </w:pPr>
      <w:r>
        <w:rPr>
          <w:rFonts w:ascii="黑体" w:hAnsi="黑体" w:eastAsia="黑体"/>
          <w:sz w:val="32"/>
        </w:rPr>
        <w:t>十二、其他需说明的事项</w:t>
      </w:r>
    </w:p>
    <w:p w14:paraId="1BC7CC1C">
      <w:pPr>
        <w:spacing w:line="580" w:lineRule="exact"/>
        <w:ind w:firstLine="640"/>
        <w:jc w:val="both"/>
      </w:pPr>
      <w:r>
        <w:rPr>
          <w:rFonts w:ascii="仿宋_GB2312" w:hAnsi="仿宋_GB2312" w:eastAsia="仿宋_GB2312"/>
          <w:b w:val="0"/>
          <w:sz w:val="32"/>
        </w:rPr>
        <w:t>本单位无其他需说明的事项。</w:t>
      </w:r>
    </w:p>
    <w:p w14:paraId="55F8ACD2">
      <w:r>
        <w:br w:type="page"/>
      </w:r>
    </w:p>
    <w:p w14:paraId="456B2311">
      <w:pPr>
        <w:spacing w:line="240" w:lineRule="auto"/>
        <w:jc w:val="center"/>
        <w:outlineLvl w:val="1"/>
      </w:pPr>
      <w:r>
        <w:rPr>
          <w:rFonts w:ascii="黑体" w:hAnsi="黑体" w:eastAsia="黑体"/>
          <w:sz w:val="32"/>
        </w:rPr>
        <w:t>第三部分 专业名词解释</w:t>
      </w:r>
    </w:p>
    <w:p w14:paraId="6A48388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967C5F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9018D3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183BC7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BD03F7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CE9010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268017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DCE661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A03FF0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61514F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0E0858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35B095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2B3B9B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0443D4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B096626">
      <w:r>
        <w:br w:type="page"/>
      </w:r>
    </w:p>
    <w:p w14:paraId="65E26C3A">
      <w:pPr>
        <w:spacing w:line="240" w:lineRule="auto"/>
        <w:jc w:val="center"/>
        <w:outlineLvl w:val="1"/>
      </w:pPr>
      <w:r>
        <w:rPr>
          <w:rFonts w:ascii="黑体" w:hAnsi="黑体" w:eastAsia="黑体"/>
          <w:sz w:val="32"/>
        </w:rPr>
        <w:t>第四部分 部门决算报表（见附表）</w:t>
      </w:r>
    </w:p>
    <w:p w14:paraId="03EA1D8A">
      <w:pPr>
        <w:spacing w:line="240" w:lineRule="auto"/>
        <w:ind w:firstLine="640"/>
        <w:jc w:val="both"/>
      </w:pPr>
      <w:r>
        <w:rPr>
          <w:rFonts w:ascii="仿宋_GB2312" w:hAnsi="仿宋_GB2312" w:eastAsia="仿宋_GB2312"/>
          <w:b w:val="0"/>
          <w:sz w:val="32"/>
        </w:rPr>
        <w:t>一、《收入支出决算总表》</w:t>
      </w:r>
    </w:p>
    <w:p w14:paraId="7A3F7FC2">
      <w:pPr>
        <w:spacing w:line="240" w:lineRule="auto"/>
        <w:ind w:firstLine="640"/>
        <w:jc w:val="both"/>
      </w:pPr>
      <w:r>
        <w:rPr>
          <w:rFonts w:ascii="仿宋_GB2312" w:hAnsi="仿宋_GB2312" w:eastAsia="仿宋_GB2312"/>
          <w:b w:val="0"/>
          <w:sz w:val="32"/>
        </w:rPr>
        <w:t>二、《收入决算表》</w:t>
      </w:r>
    </w:p>
    <w:p w14:paraId="5076E14B">
      <w:pPr>
        <w:spacing w:line="240" w:lineRule="auto"/>
        <w:ind w:firstLine="640"/>
        <w:jc w:val="both"/>
      </w:pPr>
      <w:r>
        <w:rPr>
          <w:rFonts w:ascii="仿宋_GB2312" w:hAnsi="仿宋_GB2312" w:eastAsia="仿宋_GB2312"/>
          <w:b w:val="0"/>
          <w:sz w:val="32"/>
        </w:rPr>
        <w:t>三、《支出决算表》</w:t>
      </w:r>
    </w:p>
    <w:p w14:paraId="3DEE388D">
      <w:pPr>
        <w:spacing w:line="240" w:lineRule="auto"/>
        <w:ind w:firstLine="640"/>
        <w:jc w:val="both"/>
      </w:pPr>
      <w:r>
        <w:rPr>
          <w:rFonts w:ascii="仿宋_GB2312" w:hAnsi="仿宋_GB2312" w:eastAsia="仿宋_GB2312"/>
          <w:b w:val="0"/>
          <w:sz w:val="32"/>
        </w:rPr>
        <w:t>四、《财政拨款收入支出决算总表》</w:t>
      </w:r>
    </w:p>
    <w:p w14:paraId="651F03B8">
      <w:pPr>
        <w:spacing w:line="240" w:lineRule="auto"/>
        <w:ind w:firstLine="640"/>
        <w:jc w:val="both"/>
      </w:pPr>
      <w:r>
        <w:rPr>
          <w:rFonts w:ascii="仿宋_GB2312" w:hAnsi="仿宋_GB2312" w:eastAsia="仿宋_GB2312"/>
          <w:b w:val="0"/>
          <w:sz w:val="32"/>
        </w:rPr>
        <w:t>五、《一般公共预算财政拨款支出决算表》</w:t>
      </w:r>
    </w:p>
    <w:p w14:paraId="097ED371">
      <w:pPr>
        <w:spacing w:line="240" w:lineRule="auto"/>
        <w:ind w:firstLine="640"/>
        <w:jc w:val="both"/>
      </w:pPr>
      <w:r>
        <w:rPr>
          <w:rFonts w:ascii="仿宋_GB2312" w:hAnsi="仿宋_GB2312" w:eastAsia="仿宋_GB2312"/>
          <w:b w:val="0"/>
          <w:sz w:val="32"/>
        </w:rPr>
        <w:t>六、《一般公共预算财政拨款基本支出决算表》</w:t>
      </w:r>
    </w:p>
    <w:p w14:paraId="6387FF26">
      <w:pPr>
        <w:spacing w:line="240" w:lineRule="auto"/>
        <w:ind w:firstLine="640"/>
        <w:jc w:val="both"/>
      </w:pPr>
      <w:r>
        <w:rPr>
          <w:rFonts w:ascii="仿宋_GB2312" w:hAnsi="仿宋_GB2312" w:eastAsia="仿宋_GB2312"/>
          <w:b w:val="0"/>
          <w:sz w:val="32"/>
        </w:rPr>
        <w:t>七、《政府性基金预算财政拨款收入支出决算表》</w:t>
      </w:r>
    </w:p>
    <w:p w14:paraId="06659CA7">
      <w:pPr>
        <w:spacing w:line="240" w:lineRule="auto"/>
        <w:ind w:firstLine="640"/>
        <w:jc w:val="both"/>
      </w:pPr>
      <w:r>
        <w:rPr>
          <w:rFonts w:ascii="仿宋_GB2312" w:hAnsi="仿宋_GB2312" w:eastAsia="仿宋_GB2312"/>
          <w:b w:val="0"/>
          <w:sz w:val="32"/>
        </w:rPr>
        <w:t>八、《国有资本经营预算财政拨款收入支出决算表》</w:t>
      </w:r>
    </w:p>
    <w:p w14:paraId="1685F538">
      <w:pPr>
        <w:spacing w:line="240" w:lineRule="auto"/>
        <w:ind w:firstLine="640"/>
        <w:jc w:val="both"/>
      </w:pPr>
      <w:r>
        <w:rPr>
          <w:rFonts w:ascii="仿宋_GB2312" w:hAnsi="仿宋_GB2312" w:eastAsia="仿宋_GB2312"/>
          <w:b w:val="0"/>
          <w:sz w:val="32"/>
        </w:rPr>
        <w:t>九、《财政拨款“三公”经费支出决算表》</w:t>
      </w:r>
    </w:p>
    <w:p w14:paraId="7D25A6C4">
      <w:pPr>
        <w:spacing w:line="240" w:lineRule="auto"/>
        <w:ind w:firstLine="640"/>
        <w:jc w:val="both"/>
      </w:pPr>
    </w:p>
    <w:p w14:paraId="06B96C8A">
      <w:pPr>
        <w:spacing w:line="240" w:lineRule="auto"/>
        <w:ind w:firstLine="640"/>
        <w:jc w:val="both"/>
      </w:pPr>
    </w:p>
    <w:p w14:paraId="27357F30">
      <w:pPr>
        <w:spacing w:line="240" w:lineRule="auto"/>
        <w:ind w:firstLine="640"/>
        <w:jc w:val="both"/>
      </w:pPr>
    </w:p>
    <w:p w14:paraId="0A7C7554">
      <w:pPr>
        <w:spacing w:line="240" w:lineRule="auto"/>
        <w:ind w:firstLine="640"/>
        <w:jc w:val="both"/>
      </w:pPr>
    </w:p>
    <w:p w14:paraId="3383FA0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71D0A94-E788-47BC-99A4-946687D8854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2B631AEC-1CEC-4F24-8346-2255A2BDC078}"/>
  </w:font>
  <w:font w:name="楷体_GB2312">
    <w:panose1 w:val="02010609030101010101"/>
    <w:charset w:val="86"/>
    <w:family w:val="auto"/>
    <w:pitch w:val="default"/>
    <w:sig w:usb0="00000001" w:usb1="080E0000" w:usb2="00000000" w:usb3="00000000" w:csb0="00040000" w:csb1="00000000"/>
    <w:embedRegular r:id="rId3" w:fontKey="{07579F1A-9CF4-4248-B85E-4EF86EFE6C4E}"/>
  </w:font>
  <w:font w:name="方正小标宋_GBK">
    <w:panose1 w:val="02000000000000000000"/>
    <w:charset w:val="86"/>
    <w:family w:val="script"/>
    <w:pitch w:val="default"/>
    <w:sig w:usb0="A00002BF" w:usb1="38CF7CFA" w:usb2="00082016" w:usb3="00000000" w:csb0="00040001" w:csb1="00000000"/>
    <w:embedRegular r:id="rId4" w:fontKey="{EFD1DA10-C762-46C5-AA8E-B6780DA712C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92C3A80"/>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2C71CC"/>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7680</Words>
  <Characters>8522</Characters>
  <Lines>0</Lines>
  <Paragraphs>0</Paragraphs>
  <TotalTime>14</TotalTime>
  <ScaleCrop>false</ScaleCrop>
  <LinksUpToDate>false</LinksUpToDate>
  <CharactersWithSpaces>8530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2025-09-25T04:45:16Z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