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xmlns:cx1="http://schemas.microsoft.com/office/drawing/2015/9/8/chartex" xmlns:w15="http://schemas.microsoft.com/office/word/2012/wordml" mc:Ignorable="w14 wp14 w15">
  <w:body>
    <w:p>
      <w:pPr/>
      <w:r/>
    </w:p>
    <w:p>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 xml:space="preserve">附件2：</w:t>
      </w: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 xml:space="preserve">项目支出绩效自评报告</w:t>
      </w:r>
    </w:p>
    <w:p>
      <w:pPr>
        <w:spacing w:line="540" w:lineRule="exact"/>
        <w:jc w:val="center"/>
        <w:rPr>
          <w:rFonts w:ascii="华文中宋" w:eastAsia="华文中宋" w:hAnsi="华文中宋" w:cs="宋体"/>
          <w:b/>
          <w:kern w:val="0"/>
          <w:sz w:val="52"/>
          <w:szCs w:val="52"/>
        </w:rPr>
      </w:pPr>
    </w:p>
    <w:p>
      <w:pPr>
        <w:spacing w:line="540" w:lineRule="exact"/>
        <w:jc w:val="center"/>
        <w:rPr>
          <w:rFonts w:eastAsia="仿宋_GB2312" w:hAnsi="宋体" w:cs="宋体"/>
          <w:kern w:val="0"/>
          <w:sz w:val="36"/>
          <w:szCs w:val="36"/>
        </w:rPr>
      </w:pPr>
      <w:r>
        <w:rPr>
          <w:rFonts w:eastAsia="仿宋_GB2312" w:hAnsi="宋体" w:cs="宋体" w:hint="eastAsia"/>
          <w:kern w:val="0"/>
          <w:sz w:val="36"/>
          <w:szCs w:val="36"/>
        </w:rPr>
        <w:t xml:space="preserve">（</w:t>
      </w:r>
      <w:r>
        <w:rPr>
          <w:rFonts w:eastAsia="仿宋_GB2312" w:hAnsi="宋体" w:cs="宋体" w:hint="eastAsia"/>
          <w:kern w:val="0"/>
          <w:sz w:val="36"/>
          <w:szCs w:val="36"/>
        </w:rPr>
        <w:t xml:space="preserve">   </w:t>
      </w:r>
      <w:r>
        <w:rPr>
          <w:rStyle w:val="Strong"/>
          <w:rFonts w:ascii="楷体" w:eastAsia="楷体" w:hAnsi="楷体" w:hint="eastAsia"/>
          <w:spacing w:val="-4"/>
          <w:sz w:val="32"/>
          <w:szCs w:val="32"/>
        </w:rPr>
        <w:t xml:space="preserve">2024</w:t>
      </w:r>
      <w:r>
        <w:rPr>
          <w:rFonts w:eastAsia="仿宋_GB2312" w:hAnsi="宋体" w:cs="宋体" w:hint="eastAsia"/>
          <w:kern w:val="0"/>
          <w:sz w:val="36"/>
          <w:szCs w:val="36"/>
        </w:rPr>
        <w:t xml:space="preserve">  </w:t>
      </w:r>
      <w:r>
        <w:rPr>
          <w:rFonts w:eastAsia="仿宋_GB2312" w:hAnsi="宋体" w:cs="宋体" w:hint="eastAsia"/>
          <w:kern w:val="0"/>
          <w:sz w:val="36"/>
          <w:szCs w:val="36"/>
        </w:rPr>
        <w:t xml:space="preserve">年度）</w:t>
      </w: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rPr>
          <w:rFonts w:eastAsia="仿宋_GB2312" w:hAnsi="宋体" w:cs="宋体"/>
          <w:kern w:val="0"/>
          <w:sz w:val="30"/>
          <w:szCs w:val="30"/>
        </w:rPr>
      </w:pPr>
    </w:p>
    <w:p>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pPr>
        <w:spacing w:line="700" w:lineRule="exact"/>
        <w:ind w:firstLine="900" w:firstLineChars="250"/>
        <w:jc w:val="left"/>
        <w:rPr>
          <w:rFonts w:eastAsia="仿宋_GB2312" w:hAnsi="宋体" w:cs="宋体"/>
          <w:kern w:val="0"/>
          <w:sz w:val="36"/>
          <w:szCs w:val="36"/>
        </w:rPr>
      </w:pPr>
      <w:r>
        <w:rPr>
          <w:rFonts w:eastAsia="仿宋_GB2312" w:hAnsi="宋体" w:cs="宋体" w:hint="eastAsia"/>
          <w:kern w:val="0"/>
          <w:sz w:val="36"/>
          <w:szCs w:val="36"/>
        </w:rPr>
        <w:t xml:space="preserve">项目名称：</w:t>
      </w:r>
      <w:r>
        <w:rPr>
          <w:rStyle w:val="Strong"/>
          <w:rFonts w:ascii="楷体" w:eastAsia="楷体" w:hAnsi="楷体" w:hint="eastAsia"/>
          <w:spacing w:val="-4"/>
          <w:sz w:val="32"/>
          <w:szCs w:val="32"/>
        </w:rPr>
        <w:t xml:space="preserve">霍城县2024年农村厕所革命整村推进财政奖补资金项目</w:t>
      </w:r>
    </w:p>
    <w:p>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w:t>
      </w:r>
      <w:r>
        <w:rPr>
          <w:rFonts w:eastAsia="仿宋_GB2312" w:hAnsi="宋体" w:cs="宋体" w:hint="eastAsia"/>
          <w:kern w:val="0"/>
          <w:sz w:val="36"/>
          <w:szCs w:val="36"/>
        </w:rPr>
        <w:t xml:space="preserve">实施单位（公章）：</w:t>
      </w:r>
      <w:r>
        <w:rPr>
          <w:rStyle w:val="Strong"/>
          <w:rFonts w:ascii="楷体" w:eastAsia="楷体" w:hAnsi="楷体" w:hint="eastAsia"/>
          <w:spacing w:val="-4"/>
          <w:sz w:val="28"/>
          <w:szCs w:val="28"/>
        </w:rPr>
        <w:t xml:space="preserve">霍城县乡村振兴局</w:t>
      </w:r>
    </w:p>
    <w:p>
      <w:pPr>
        <w:spacing w:line="540" w:lineRule="exact"/>
        <w:ind w:firstLine="900" w:firstLineChars="250"/>
        <w:rPr>
          <w:rFonts w:ascii="楷体" w:eastAsia="楷体" w:hAnsi="楷体"/>
          <w:b/>
          <w:bCs/>
          <w:spacing w:val="-4"/>
          <w:sz w:val="28"/>
          <w:szCs w:val="28"/>
        </w:rPr>
      </w:pPr>
      <w:r>
        <w:rPr>
          <w:rFonts w:eastAsia="仿宋_GB2312" w:hAnsi="宋体" w:cs="宋体" w:hint="eastAsia"/>
          <w:kern w:val="0"/>
          <w:sz w:val="36"/>
          <w:szCs w:val="36"/>
        </w:rPr>
        <w:t xml:space="preserve">主管部门（公章）：</w:t>
      </w:r>
      <w:r>
        <w:rPr>
          <w:rStyle w:val="Strong"/>
          <w:rFonts w:ascii="楷体" w:eastAsia="楷体" w:hAnsi="楷体" w:hint="eastAsia"/>
          <w:spacing w:val="-4"/>
          <w:sz w:val="28"/>
          <w:szCs w:val="28"/>
        </w:rPr>
        <w:t xml:space="preserve">霍城县乡村振兴局</w:t>
      </w:r>
    </w:p>
    <w:p>
      <w:pPr>
        <w:spacing w:line="540" w:lineRule="exact"/>
        <w:ind w:firstLine="900" w:firstLineChars="250"/>
        <w:rPr>
          <w:rFonts w:ascii="楷体" w:eastAsia="楷体" w:hAnsi="楷体"/>
          <w:b/>
          <w:bCs/>
          <w:spacing w:val="-4"/>
          <w:sz w:val="32"/>
          <w:szCs w:val="32"/>
        </w:rPr>
      </w:pPr>
      <w:r>
        <w:rPr>
          <w:rFonts w:eastAsia="仿宋_GB2312" w:hAnsi="宋体" w:cs="宋体" w:hint="eastAsia"/>
          <w:kern w:val="0"/>
          <w:sz w:val="36"/>
          <w:szCs w:val="36"/>
        </w:rPr>
        <w:t xml:space="preserve">项目负责人（签章）：</w:t>
      </w:r>
      <w:r>
        <w:rPr>
          <w:rStyle w:val="Strong"/>
          <w:rFonts w:ascii="楷体" w:eastAsia="楷体" w:hAnsi="楷体" w:hint="eastAsia"/>
          <w:spacing w:val="-4"/>
          <w:sz w:val="32"/>
          <w:szCs w:val="32"/>
        </w:rPr>
        <w:t xml:space="preserve">韩堃</w:t>
      </w:r>
    </w:p>
    <w:p>
      <w:pPr>
        <w:spacing w:line="540" w:lineRule="exact"/>
        <w:ind w:left="273" w:firstLine="567"/>
        <w:rPr>
          <w:rStyle w:val="Strong"/>
          <w:rFonts w:ascii="楷体" w:eastAsia="楷体" w:hAnsi="楷体"/>
          <w:spacing w:val="-4"/>
          <w:sz w:val="32"/>
          <w:szCs w:val="32"/>
        </w:rPr>
      </w:pPr>
      <w:r>
        <w:rPr>
          <w:rFonts w:eastAsia="仿宋_GB2312" w:hAnsi="宋体" w:cs="宋体" w:hint="eastAsia"/>
          <w:kern w:val="0"/>
          <w:sz w:val="36"/>
          <w:szCs w:val="36"/>
        </w:rPr>
        <w:t xml:space="preserve">填报时间：</w:t>
      </w:r>
      <w:r>
        <w:rPr>
          <w:rStyle w:val="Strong"/>
          <w:rFonts w:ascii="楷体" w:eastAsia="楷体" w:hAnsi="楷体" w:hint="eastAsia"/>
          <w:spacing w:val="-4"/>
          <w:sz w:val="32"/>
          <w:szCs w:val="32"/>
        </w:rPr>
        <w:t xml:space="preserve">2025年05月07日</w:t>
      </w:r>
    </w:p>
    <w:p>
      <w:pPr>
        <w:spacing w:line="700" w:lineRule="exact"/>
        <w:ind w:firstLine="708" w:firstLineChars="236"/>
        <w:jc w:val="left"/>
        <w:rPr>
          <w:rFonts w:eastAsia="仿宋_GB2312" w:hAnsi="宋体" w:cs="宋体"/>
          <w:kern w:val="0"/>
          <w:sz w:val="30"/>
          <w:szCs w:val="30"/>
        </w:rPr>
      </w:pPr>
    </w:p>
    <w:p>
      <w:pPr>
        <w:spacing w:line="540" w:lineRule="exact"/>
        <w:rPr>
          <w:rStyle w:val="Strong"/>
          <w:rFonts w:ascii="黑体" w:eastAsia="黑体" w:hAnsi="黑体"/>
          <w:b w:val="0"/>
          <w:spacing w:val="-4"/>
          <w:sz w:val="32"/>
          <w:szCs w:val="32"/>
        </w:rPr>
      </w:pP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一、基本情况</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（一）项目概况。包括项目背景、主要内容及实施情况、资金投入和使用情况等。</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1.项目背景</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为积极响应中央提出的多村振兴战略目标，进一步加强霍城县惠远镇央布拉克村和新城村巩固拓展脱贫攻坚成果与多村振兴有效衔接，发挥人口较少民族潜力，同时，为进一步提升和巩因惠远镇央布拉克村和新城村环境综合整治效果，对惠远镇央布拉克村和新城村进行农村厕所革命整村推进项目,实现村人居环境自然生态以及精神文明的全面提升，进而带动项目区的经济快速、稳定发展，形成生态环境优美，村民富裕远镇央布拉克村和新城村经济与环境的和谐发展，新城村建成~“村庄美、村民富、村风好”的美多村。</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通过该项目建设，推动惠远镇央布拉克村和新城村经济与环境的和谐发展，农村污水处理率达到100%,把惠远镇央布拉克村和新城村建设成基础设施配套完善，村容整洁，环境优美，安居乐业的具有多镇特色、地方特色和民族特色的社会主文现代化生态多镇村。</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2.项目主要内容：</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项目主要内容：聚焦惠远镇央布拉克村和新城村，旨在推动经济与环境和谐发展，打造现代化生态村镇 。主要建设内容涵盖新建不同规格污水管网（DN300 管网 9336 米、DN400 管网 3448 米、DN110 支管 7660 米 ）、1281 户改厕、新建 521 座检查井、3 座一体化污水提升设施及完善配套附属设施 。目前项目施工已全面完工，处于审计结算阶段 。</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3.资金投入和使用情况</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（1）资金投入情况</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该项目年初预算数1400万元，全年预算数1400万元，该项目资金已全部落实到位，资金来源为2024 年中央土地指标跨省域调剂收人安排的支出预算(支持农村厕所革命整村推进财政奖补)。</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（2）资金使用情况</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该项目年初预算数1400万元，全年预算数1400万元，全年执行数1142.63499万元，预算执行率为81.62%，主要用于：项目工程款及前期费用的支付。</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（二）项目绩效目标。包括总体目标和阶段性目标。</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1.总体目标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根据伊州财农〔2024〕15号1400万：关于下达2024年中央土地指标跨省域调剂收入安排的支出预算（支持农村厕所革命整村推进财政奖补）的通知，新建排水主管网总长12900米，检查井521座；购置一体化污水提升泵设备3套及配套设施等。通过项目建设，推动惠远镇央布拉克村和新城村经济与环境的和谐发展，农村污水处理率达到100%，把惠远镇央布拉克村和新城村建设成基础设施配套完善，村容整洁，环境优美，安居乐业的具有乡镇特色、地方特色和民族特色的社会主义现代化生态乡镇村。</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2.阶段性目标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 第一季度：完成项目前期筹备工作，包括组建项目团队，完成惠远镇央布拉克村和新城村实地勘察，制定详细施工规划与预算方案，启动排水主管网、检查井建设及设备采购的招投标程序 。 </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第二季度：排水主管网开工建设，完成总长度的 40% ，即 5160 米左右；启动 200 座检查井建设；完成一体化污水提升泵设备及配套设施采购，确保设备按时进场 。</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第三季度：排水主管网建设累计完成 80% ，达 10320 米；检查井累计建成 400 座；开始一体化污水提升泵设备安装调试工作。</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第四季度：完成排水主管网全部 12900 米建设，建成 521 座检查井，完成一体化污水提升泵设备安装调试并投入使用，开展项目整体验收，确保农村污水处理率达到100%。</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二、</w:t>
      </w:r>
      <w:r>
        <w:rPr>
          <w:rStyle w:val="Strong"/>
          <w:rFonts w:hint="eastAsia"/>
          <w:spacing w:val="-4"/>
          <w:sz w:val="32"/>
          <w:szCs w:val="32"/>
        </w:rPr>
        <w:t xml:space="preserve">绩效评价工作开展情况</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（一）绩效评价目的、对象和范围。</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1.绩效评价完整性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本项目预算绩效评价报告在编制过程中，严格遵循相关法规与标准，确保评价内容的全面性与准确性。报告涵盖了项目从预算编制、执行到完成的全过程，对项目的各项绩效指标进行了细致的梳理与评估。</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在评价指标体系的构建上，充分考虑了项目的性质、目标以及预期成果，选取了具有代表性和可衡量性的关键指标，涵盖了社会效益、生态效益等多个维度，力求全方位反映项目的绩效状况。同时，对于每个指标的评价标准和数据来源均进行了明确说明，确保评价结果的客观性和可追溯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在数据收集与分析环节，采用了多种科学合理的方法，如实地调研、问卷调查、数据分析等，广泛收集了与项目相关的各类数据，并运用专业的统计分析工具对数据进行深入挖掘，以确保评价结论的科学性和可靠性。此外，还对数据的质量和完整性进行了严格把控，对于缺失或异常的数据进行了合理的处理和说明，保证了评价数据的真实性和有效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在报告的撰写结构上，按照统一的格式和规范进行编排，内容层次分明、条理清晰。首先对项目的背景、目标和预算安排进行了简要介绍，为后续的绩效评价提供了必要的背景信息；接着详细阐述了绩效评价的指标体系、评价方法和数据来源，为评价过程的透明性和可复现性奠定了基础；然后对各项绩效指标的完成情况进行了逐一分析和评价，指出了项目在实施过程中存在的问题和不足，并提出了相应的改进建议；最后对整个项目的绩效状况进行了综合总结，给出了明确的评价结论和后续工作的建议，为项目的持续改进和决策提供了有力支持。</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2.绩效评价的目的</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（1）评估项目实施效果</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通过对项目预算执行情况及各项绩效目标达成程度的系统性分析，全面、客观地评估项目在预定周期内的实施效果，包括社会效益、生态效益以及可持续性等多维度指标，为项目后续的改进与优化提供科学依据。</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（2）提升资源利用效率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（3）强化项目管理责任</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（4）为决策提供支持</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（5）促进项目持续改进</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3.绩效评价的对象</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本项目预算绩效评价报告的评价对象是霍城县2024年农村厕所革命整村推进财政奖补资金项目及其预算执行情况。该项目由霍城县乡村振兴局负责实施，旨在完成新建排水管道DN300长9336米,DN400长3448 米,DN110支管网7660米，并配套检查井521座、提升泵站3座等相关附属设施。项目预算涵盖从2024年7月至2024年12月的全部资金投入与支出，涉及资金总额为1400万元。</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4.绩效评价的范围</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本项目预算绩效评价报告的评价范围广泛而全面，涵盖了从项目立项至评价时点期间的所有关键预算活动和财务流程。具体而言，评价范围包括但不限于以下几个方面：</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（1）项目预算编制与执行：全面审视项目预算的编制依据、合理性、科学性以及实际执行情况，包括预算调整的原因和效果。</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（2）资金管理：深入分析项目资金的分配、使用和监管情况，确保资金使用的合规性、高效性和透明度。</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（3）项目实施进度与产出：评估项目是否按照既定计划顺利推进，各项任务是否按时完成，以及项目产出的数量、质量和时效性是否符合预期。</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（4）社会、生态等影响：考察项目对社会、生态等方面的综合影响。</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（二）绩效评价原则、评价指标体系（附表说明）、评价方法、评价标准等。</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1.绩效评价原则</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本次项目绩效评价遵循以下基本原则：</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（1）科学公正。绩效评价应当运用科学合理的方法，按照规范的程序，对项目绩效进行客观、公正的反映。</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（2）统筹兼顾。单位自评、部门评价和财政评价应职责明确，各有侧重，相互衔接。单位自评应由项目单位自主实施，即“谁支出、谁自评”。部门评价和财政评价应在单位自评的基础上开展。</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（3）激励约束。绩效评价结果应与预算安排、政策调整、改进管理实质性挂钩，体现奖优罚劣和激励相容导向，有效要安排、低效要压减、无效要问责。</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（4）公开透明。绩效评价结果应依法依规公开，并自觉接受社会监督。</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2.评价指标体系</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绩效评价框架是开展绩效评价的核心。绩效评价框架包括评价准则、关键评价问题、评价指标、数据来源、数据收集方法等。指标体系建立过程如下：</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（1）确定评价指标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采用层次分析法，建立评价指标体系。绩效评价将指标分为项目决策指标、项目过程指标、项目产出指标、项目效益指标四个维度，最终形成一个由多个相互联系的指标组成的多层次指标体系。</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（2）确定权重</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确定各个指标相对于项目总体绩效的权重分值。在绩效评价指标体系中，项目决策权重为20分，项目过程权重为20分，项目产出权重为40分，项目效益权重为20分。</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（3）确定指标标准值</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指标标准值是绩效评价指标的尺度，既要反映同类项目的先进水平，又要符合项目的实际绩效水平。具体采用计划标准等确定此次绩效评价指标标准值。</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绩效评价总分值100分，根据综合评分结果，90（含）-100分为优、80（含）-90分为良、60（含）-80分为中、60分以下为差。</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具体评价指标体系详情见附件1</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3.绩效评价方法</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绩效评价从项目决策、项目过程、项目产出、项目效益四个维度进行评价。评价对象为项目目标实施情况，  评价核心为资金的支出完成情况和项目的产出效益。</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本次评价指标中，既有定性指标又有定量指标，各类指标因考核内容不同和客观标准不同存在较大差异，因此核定具体指标时采用了不同方法，具体评价方法如下：</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 </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本次项目支出绩效自评采用成本效益分析法。通过核算建筑工程费1263.91万元，工程建设其他费用 72.67万元，基本预备费63.42万元。通过污水管网建设，促进霍城县惠远镇社会经济发展、改善人居环境，实现公共服务提升，构建布局合理、设施配套、功能完备、安全高效的基础设施体系，改变污水乱排放现象，提高群众生活质量和健康水平，构建人与自然和谐共生的发展新格局。</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4.评价标准</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绩效评价标准通常包括计划标准、行业标准、历史标准等，用于对绩效指标完成情况进行比较、分析、评价。本次评价主要采用了计划标准，原因是：根据年初制定的年度重点工作计划和绩效指标定额完成量，新建排水管道DN300长9336米,DN400长3448 米,DN110支管网7660米，并配套检查井521座、提升泵站3座等相关附属设施。项目预算涵盖从2024年7月至2024年12月的全部资金投入与支出，涉及资金总额为1400万元。</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（三）绩效评价工作过程。</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（1）前期准备与规划</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在项目绩效评价工作启动之初，成立了专门的评价工作小组，小组成员由财务专家、项目管理专业人员及相关领域技术骨干组成，确保从多角度、全方位对项目绩效进行评价。同时，明确了评价工作的目标、范围、重点及时间安排，制定了详细的工作计划，为评价工作的顺利开展奠定了坚实基础。</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（2）指标体系构建</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依据项目的性质、目标以及预期成果，构建了科学合理的绩效评价指标体系。该指标体系涵盖了项目决策、项目过程、项目产出、项目效益四个维度，选取了具有代表性和可衡量性的关键指标，并为每个指标设定了明确的评价标准与权重，确保评价结果能够全面、准确地反映项目的绩效状况。</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（3）数据收集与整理</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广泛收集与项目相关的各类数据，包括财务报表、项目文档、业务数据、用户反馈等。在数据收集过程中，注重数据的质量与完整性，对缺失或异常的数据进行了合理的处理和补充。随后，对收集到的数据进行了系统的整理与分类，为后续的数据分析提供了有力支持。</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（4）数据分析与评估</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对收集到的数据进行了深入挖掘与分析。通过对各项绩效指标的实际完成情况与预期目标进行对比，计算出指标的达成率，并结合指标权重进行综合评分，从而得出项目的整体绩效评价结果。在分析过程中，注重数据之间的关联性与逻辑性，深入剖析项目绩效背后的原因，识别出项目实施过程中的优势与不足，为提出有针对性的改进建议提供了依据。</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（5）报告撰写与反馈</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根据数据分析与评估的结果，按照统一的格式和规范撰写项目预算绩效评价报告。报告内容包括项目背景、评价目的、评价指标体系、数据收集与分析方法、绩效评价结果、存在问题与改进建议等多个部分，力求条理清晰、重点突出、语言简洁明了。在报告撰写完成后，及时向项目实施主体及相关利益相关者进行反馈，充分听取各方意见与建议，对报告内容进行进一步的完善与优化，确保评价报告的质量与实用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（6）后续跟踪与改进</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在评价报告提交后，我们将持续跟踪项目的改进措施落实情况，定期对项目绩效进行复查与评估，确保项目能够根据评价结果及时调整与优化，实现绩效的持续提升。同时，根据项目实施过程中出现的新情况、新问题，适时调整绩效评价指标体系与方法，保持评价工作的适应性与前瞻性，为项目的长期稳定发展提供有力保障。</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三、</w:t>
      </w:r>
      <w:r>
        <w:rPr>
          <w:rStyle w:val="Strong"/>
          <w:rFonts w:hint="eastAsia"/>
          <w:spacing w:val="-4"/>
          <w:sz w:val="32"/>
          <w:szCs w:val="32"/>
        </w:rPr>
        <w:t xml:space="preserve">综合评价情况及评价结论</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（一）评价情况</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的综合评价基于对项目各方面绩效的深入分析与评估。从项目目标的达成情况来看，霍城县2024年农村厕所革命整村推进财政奖补资金项目在项目区农民满意度、2024年计划完成整村推进的行政村数、2024年计划完成政厕农户数等方面表现出色，达到了预期的标准与要求。同时，在农户满意度，整村推进行政村数，改厕农户数等数量指标方面表现好，达预期标准。质量指标上，像厕所设施合格率，资金支付准确率等也成效显著。</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在项目管理方面，霍城县乡村振兴局通过有效的规划、组织与协调，项目得以顺利实施，并在预算与时间上保持了良好的控制。</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从项目效益的角度来看，本项目不仅实现了预期的社会效益、生态效益等方面产生了积极的影响。具体而言当年完成农村户厕革命整村推进行政村的卫生厕所普及率完善项目区基础设施、进一步提升居民生活环境、当年完成农村厕所革命整村推进行政村的长效管护机制、当年完成农村厕所革命整村推进进行整村的厕所粪污无害化处理率项目区农民满意度。</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综上所述，霍城县2024年农村厕所革命整村推进财政奖补资金项目在绩效评价中表现出色，达到了项目的预期目标，并在多个方面取得了显著的成效。</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（二）评价结论</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运用绩效评价组制定的评价指标体系以及财政部《项目支出绩效评价管理办法》（财预〔2020〕10号）文件的评分标准，通过数据采集、问卷调查及访谈等方式，对本项目进行客观评价，最终评分结果：总得分为95.97分，属于“优”。其中，项目决策类指标权重为20分，得分为 20分，得分率为 100%。项目过程类指标权重为20分，得分为19.26分，得分率为 96.30%。项目产出类指标权重为40分，得分为36.71分，得分率为 91.78%。项目效益类指标权重为20分，得分为20分，得分率为100%。具体打分情况详见：附件1综合评分表。</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表1综合评分表</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一级指标 权重分 得分</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项目决策 20 20</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项目过程 20 19.26</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项目产出 40 36.71</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项目效益 20 20</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合计 100 95.97</w:t>
      </w:r>
    </w:p>
    <w:p>
      <w:pPr>
        <w:spacing w:line="540" w:lineRule="exact"/>
        <w:ind w:firstLine="640"/>
        <w:rPr>
          <w:rStyle w:val="Strong"/>
          <w:rFonts w:ascii="黑体" w:eastAsia="黑体" w:hAnsi="黑体"/>
        </w:rPr>
      </w:pPr>
      <w:r>
        <w:rPr>
          <w:rStyle w:val="Strong"/>
          <w:rFonts w:ascii="黑体" w:eastAsia="黑体" w:hAnsi="黑体" w:hint="eastAsia"/>
          <w:b w:val="0"/>
          <w:spacing w:val="-4"/>
          <w:sz w:val="32"/>
          <w:szCs w:val="32"/>
        </w:rPr>
        <w:t xml:space="preserve">四、</w:t>
      </w:r>
      <w:r>
        <w:rPr>
          <w:rStyle w:val="Strong"/>
          <w:rFonts w:hint="eastAsia"/>
          <w:spacing w:val="-4"/>
          <w:sz w:val="32"/>
          <w:szCs w:val="32"/>
        </w:rPr>
        <w:t xml:space="preserve">绩效评价指标分析</w:t>
      </w:r>
      <w:r>
        <w:rPr>
          <w:rStyle w:val="Strong"/>
          <w:rFonts w:ascii="黑体" w:eastAsia="黑体" w:hAnsi="黑体" w:hint="eastAsia"/>
          <w:b w:val="0"/>
          <w:spacing w:val="-4"/>
          <w:sz w:val="32"/>
          <w:szCs w:val="32"/>
        </w:rPr>
        <w:t xml:space="preserve"> </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（一）项目决策情况。</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（一）项目决策情况</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项目决策类指标包括项目立项、绩效目标和资金投入三方面的内容，由6个三级指标构成，权重分值为20分，实际得分20分，得分率为100%。</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1.项目立项</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（1）立项依据充分性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该项目立项符合国家相关法律法规及发展政策，符合行业规划要求，围绕本年度工作重点和工作计划制定经费预算，属于公共财政支持范围。本项目与部门内部其他相关项目不重复。部门发展规划及职能文件等归档完整。</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（2）立项程序规范性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项目申请、设立过程符合相关要求，严格按照审批流程准备符合要求的文件、材料；根据决算依据编制工作计划和经费预算，经过与部门项目分管领导沟通、筛选确定经费预算计划，确定最终预算方案。项目的审批文件、材料符合相关要求，项目事前经过必要的可行性研究、专家论证、风险评估、绩效评估、集体决策，保障了程序的规范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2.绩效目标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（1）绩效目标合理性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年初结合实际工作内容设定绩效目标，绩效目标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（2）绩效指标明确性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项目设置了明确的预期产出效益和效果，将绩效目标细化分解为具体的绩效指标，绩效目标与项目目标任务数相对应，绩效目标设定的绩效指标清晰、细化、可衡量。</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3.资金投入</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（1）预算编制科学性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的预算编制过程严谨、科学，充分体现了精细化管理的要求。预算编制之初，进行了全面的成本估算，确保项目所需的各项资源得到合理的预估与分配。同时，预算编制还紧密结合了项目的特点与实际情况，对不同阶段、不同任务的资金需求进行了详细的分析与计算。</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在预算编制过程中，还注重了成本控制与效益最大化的原则。通过优化资源配置、提高资金使用效率等措施，确保项目在有限的预算内取得最大的经济效益与社会效益。此外，预算编制还充分考虑了风险因素，对可能出现的超支情况进行了预留与规划，以应对项目实施过程中的不确定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（2）资金分配合理性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本项目的资金分配遵循了公平、公正、透明的原则，确保了项目资源的合理配置与高效利用。在资金分配过程中，我们充分考虑了项目的实际需求与目标，对不同阶段、不同任务的资金进行了科学的规划与安排。</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具体而言，资金分配紧密结合了项目的特点与实际情况，对关键领域与重要环节给予了重点支持。同时，我们也注重了资金的均衡分配，避免了资源浪费与资金闲置。此外，资金分配还充分考虑了风险因素，对可能出现的超支情况进行了预留与调整。</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综上所述，本项目的资金分配是合理的、科学的，既符合项目的实际情况，又满足了资金使用的效益最大化要求。资金分配的合理性为项目的成功实施提供了有力的保障，也为项目的绩效评价奠定了坚实的基础。</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（二）项目过程情况。</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（二）项目过程情况</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项目过程类指标包括资金管理和组织实施两方面的内容，由5个三级指标构成，权重分值为20分，实际得分19.26分，得分率为96.30%。</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1.资金管理</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（1）资金到位率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本项目总投资1400万元，财政资金及时足额到位，到位率100%，预算资金按计划进度执行。</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（2）预算执行率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预算编制较为详细，项目资金支出总体能够按照预算执行，预算资金支出1142.63499万元，预算执行率为81.61%。</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（3）资金使用合规性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本项目的资金使用严格遵循了国家相关法律法规与财务制度，确保了资金的合规性与安全性。在资金使用过程中，我们建立了完善的财务管理体系，对资金的流动进行了全程监控与记录。</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具体而言，资金使用坚持了专款专用的原则，确保了项目资金不被挪用或截留。同时，我们还加强了对资金使用的审计与监督，定期对财务收支进行自查与自纠，及时发现并纠正可能存在的问题。此外，资金使用还充分考虑了成本效益原则，通过优化资源配置、提高资金使用效率等措施，确保了项目资金的最大化利用。</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综上所述，本项目的资金使用是合规的、安全的，既符合国家相关法律法规与财务制度的要求，又满足了项目实施的实际需要。资金使用的合规性为项目的成功实施提供了有力的保障，也为项目的绩效评价奠定了坚实的基础。</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2.组织实施</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（1）管理制度健全性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本项目拥有一套完善、健全的管理制度体系，为项目的成功实施提供了坚实的制度保障。项目管理制度的制定紧密结合了项目的特点与实际情况，涵盖了项目的策划、组织、实施、监控与收尾等各个环节。</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在制度设计上，我们注重了制度的科学性与可操作性，确保制度能够切实指导项目的执行与管理。</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此外，项目管理制度还充分考虑了风险因素，制定了相应的风险应对措施与预案，以应对项目实施过程中可能出现的各种风险与挑战。管理制度的健全性不仅体现在制度的完善上，还体现在制度的执行与监督上。我们建立了有效的监督机制与反馈机制，对项目的实施情况进行定期检查与评估，及时发现并纠正可能存在的问题。</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综上所述，本项目的管理制度是健全的、有效的，既符合项目的实际情况，又满足了项目管理的需要。管理制度的健全性为项目的成功实施提供了有力的保障，也为项目的绩效评价奠定了坚实的基础。</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（2）制度执行有效性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在执行过程中，管理制度得到了全面、有效的落实，为确保项目的顺利实施与目标实现提供了坚实的保障。项目单位重视制度执行的重要性，通过明确责任分工、制定详细执行计划、加强监督考核等措施，确保了各项管理制度能够得到有效执行。</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在具体执行过程中，项目团队成员严格按照制度要求进行操作。同时，我们还建立了有效的沟通机制与反馈机制，确保项目信息的及时传递与问题的及时解决，进一步提高了制度执行的效率与效果。</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综上所述，本项目的管理制度在执行过程中表现出了高度的有效性，既确保了项目的顺利进行，又实现了项目目标的有效达成。</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（三）项目产出情况。</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（三）项目产出情况</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项目产出类指标包括产出数量、产出质量、产出时效、产出成本四方面的内容，由17个三级指标构成，权重分为40分，实际得分36.71分，得分率为91.78%。具体产出指标完成情况如下：</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①数量指标：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指标1：2024年计划完成整村推进的行政村数，指标值：=2个，实际完成值：2个，指标完成率100%。</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指标2：新建排水主管网长度，指标值：=12900米，实际完成值：12784米，指标完成率99.10%，偏差原因：因施工环境条件限制，部分管道无法施工或材料管径有所调整。</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指标3：购置一体化污水提升泵设备数量，指标值：=3套，实际完成值：3套，指标完成率100%。</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指标4：2024年计划完成政厕农户数，指标值：=1281户实际完成值：1491户，指标完成率116.39%，偏差原因：因年初统计预计改厕户数小于实际需要改厕户数，所以实际完成值大于预计完成值。</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指标5：新建检查井数量，指标值：=521座，实际完成值：521座，指标完成率100%。</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指标6：项目受益户数，指标值：=1281户，实际完成值：1491户，指标完成率116.39%。偏差原因：因年初统计预计改厕户数小于实际需要改厕户数，所以实际完成值大于预计完成值。</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②质量指标：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指标1：工程验收合格率，指标值：=100%，实际完成值：100%，指标完成率100%。</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指标2：改造完的厕所设施合格率，指标值：≥95%，实际完成值：95%，指标完成率100%。</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指标3：农村改厕数掘库，指标值：基本完成，实际完成值：基本完成，指标完成率100%。</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指标4：资金支付准确率，指标值：=100%，实际完成值：100%，指标完成率100%。</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③时效指标：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指标1：工程计划开工时间，指标值：2024年8月5日，实际完成值2024年8月3日，指标完成率100%。</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指标2：工程计划完工时间，指标值：2024年11月25日，实际完成值：2024年11月25日，指标完成率100%。</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3：截至2024年底，年度土地指标跨省域调剂收入安排的支岀（支持农村厕所革命整村推进财政奖补）资金执行率，指标值：=100%，实际完成值：81.61%，指标完成率81.61%，偏差原因：项目完工时间较晚，未完成审计结算，剩余工程款不能完成支付，改进措施预计于2025年6月仟完成神界结算，并支付完剩余工程款。</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指标4： 资金按时支付率，指标值：100%，实际完成值：100%，指标完成率100%。</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④成本指标：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指标1：建安工程费，指标值：≤1169.7万元，实际完成值：992.7万元，指标完成率82.95%，偏差原因：项目完工时间较晚，未完成审计结算，剩余工程款不能完成支付。</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指标2：购置一体化污水提升泵设备美用，指标值：≤100万元，实际完成值： 100万元，指标完成率100%。</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指标3：基本预备费及其他赛用，指标值：≤130.3万元，实际完成值：49.93499万元，指标完成率38.32%，偏差原因：其中有70万元是项目预备费，支付与否看项目施工情况。</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（四）项目效益情况。</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（四）项目效益情况</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项目效益类指标包括项目实施效益和满意度两方面的内容，由5个三级指标构成，权重分为20分，实际得分20分，得分率为100%。具体效益指标及满意度指标完成情况如下：</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1.实施效益</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①社会效益指标：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指标1：当年完成农村厕所革命整村推进行政村的卫生厕所普及率，指标值：≥85% ，实际完成值：100%，指标完成率100%。</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指标2：完善项目区基础设施，进一步提升居民生活环境，指标值：有效提升，实际完成值：有效提升，指标完成率100%。</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指标3：当年完成农村厕所革命整村推进行政村的长效管护机制，指标值：初步建立，实际完成值：已建立，指标完成率100%。</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②生态效益指标：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指标1：当年完成农村厕所革命整村推进行政村的厕所粪污无害化处理率，指标值：≥85%，实际完成值：85%，指标完成率100%。</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2.满意度</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指标1：项目区农民满意度，指标值：≥90% ，实际完成值：100% ，指标完成率111.11%。（五）预算执行进度与绩效指标总体完成率偏差</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霍城县2024年农村厕所革命整村推进财政奖补资金项目年初预算1400万元，全年预算1400万元，实际支出1142.63499万元，预算执行率为81.61%，项目绩效指标总体完成率为96.81%，总体偏差率为15.2%，偏差原因项目完工时间较晚，未完成审计结算，剩余工程款不能完成支付，改进措施预计于2025年6月仟完成神界结算，并支付完剩余工程款。</w:t>
      </w:r>
    </w:p>
    <w:p>
      <w:pPr>
        <w:spacing w:line="540" w:lineRule="exact"/>
        <w:ind w:firstLine="567"/>
        <w:rPr>
          <w:rStyle w:val="Strong"/>
          <w:rFonts w:ascii="楷体" w:eastAsia="楷体" w:hAnsi="楷体"/>
          <w:spacing w:val="-4"/>
          <w:sz w:val="32"/>
          <w:szCs w:val="32"/>
        </w:rPr>
      </w:pPr>
    </w:p>
    <w:p>
      <w:pPr>
        <w:spacing w:line="540" w:lineRule="exact"/>
        <w:ind w:firstLine="640"/>
        <w:rPr>
          <w:rStyle w:val="Strong"/>
          <w:rFonts w:ascii="黑体" w:eastAsia="黑体" w:hAnsi="黑体"/>
          <w:spacing w:val="-4"/>
          <w:sz w:val="32"/>
          <w:szCs w:val="32"/>
        </w:rPr>
      </w:pPr>
      <w:r>
        <w:rPr>
          <w:rStyle w:val="Strong"/>
          <w:rFonts w:ascii="黑体" w:eastAsia="黑体" w:hAnsi="黑体" w:hint="eastAsia"/>
          <w:b w:val="0"/>
          <w:spacing w:val="-4"/>
          <w:sz w:val="32"/>
          <w:szCs w:val="32"/>
        </w:rPr>
        <w:t xml:space="preserve">五、</w:t>
      </w:r>
      <w:r>
        <w:rPr>
          <w:rStyle w:val="Strong"/>
          <w:rFonts w:ascii="黑体" w:eastAsia="黑体" w:hAnsi="黑体"/>
          <w:b w:val="0"/>
          <w:spacing w:val="-4"/>
          <w:sz w:val="32"/>
          <w:szCs w:val="32"/>
        </w:rPr>
        <w:t xml:space="preserve">主要经验及做法、存在的问题及原因分析</w:t>
      </w:r>
    </w:p>
    <w:p>
      <w:pPr>
        <w:spacing w:line="540" w:lineRule="exact"/>
        <w:ind w:firstLine="640" w:firstLineChars="200"/>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（一）主要经验及做法</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严格坚持先做事、后验收、再拨付的原则，杜绝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（二）存在的问题及原因分析</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1.相关绩效管理方面专业知识的系统性学习有待加强。各项指标的设置要进一步优化、完善，主要在细化、量化上改进。在绩效自评过程中，由</w:t>
      </w:r>
      <w:r>
        <w:rPr>
          <w:rStyle w:val="Strong"/>
          <w:rFonts w:ascii="楷体" w:eastAsia="楷体" w:hAnsi="楷体" w:hint="eastAsia"/>
          <w:spacing w:val="-4"/>
          <w:sz w:val="32"/>
          <w:szCs w:val="32"/>
        </w:rPr>
        <w:t xml:space="preserve">干部</w:t>
      </w:r>
      <w:r>
        <w:rPr>
          <w:rStyle w:val="Strong"/>
          <w:rFonts w:ascii="楷体" w:eastAsia="楷体" w:hAnsi="楷体" w:hint="eastAsia"/>
          <w:spacing w:val="-4"/>
          <w:sz w:val="32"/>
          <w:szCs w:val="32"/>
        </w:rPr>
        <w:t xml:space="preserve">分人员缺乏相关绩效管理专业知识，自评价工作还存在自我审定的局限性，影响评价质量。</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2.因轮岗、调动等因素使我单位绩效工作人员流动频繁，造成工作衔接不到位的情况。</w:t>
      </w:r>
    </w:p>
    <w:p>
      <w:pPr>
        <w:ind w:firstLine="640" w:firstLineChars="20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六</w:t>
      </w:r>
      <w:r>
        <w:rPr>
          <w:rStyle w:val="Strong"/>
          <w:rFonts w:ascii="黑体" w:eastAsia="黑体" w:hAnsi="黑体"/>
          <w:b w:val="0"/>
          <w:spacing w:val="-4"/>
          <w:sz w:val="32"/>
          <w:szCs w:val="32"/>
        </w:rPr>
        <w:t xml:space="preserve">、有关建议</w:t>
      </w:r>
    </w:p>
    <w:p>
      <w:pPr>
        <w:spacing w:line="540" w:lineRule="exact"/>
        <w:ind w:firstLine="640" w:firstLineChars="200"/>
        <w:rPr>
          <w:rStyle w:val="Strong"/>
          <w:rFonts w:ascii="楷体" w:eastAsia="楷体" w:hAnsi="楷体"/>
          <w:spacing w:val="-4"/>
          <w:sz w:val="32"/>
          <w:szCs w:val="32"/>
        </w:rPr>
      </w:pPr>
      <w:r>
        <w:rPr>
          <w:rStyle w:val="Strong"/>
          <w:rFonts w:ascii="楷体" w:eastAsia="楷体" w:hAnsi="楷体" w:hint="eastAsia"/>
          <w:spacing w:val="-4"/>
          <w:sz w:val="32"/>
          <w:szCs w:val="32"/>
        </w:rPr>
        <w:t xml:space="preserve">1.多进行有关绩效管理工作方面的培训。积极组织第三方开展绩效管理工作培训，进一步夯实业务基础，提高我单位绩效人员水平。</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2.专门设定对绩效工作人员定职、定岗、定责等相关制度措施，进一步提升我单位绩效管理工作业务水平，扎实做好绩效管理工作。</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进一步规范项目建设的程序。项目前期做好可行性研究报告，更加细化实施方案，严格执行资金管理办法和财政资金管理制度，严格按照项目实施方案、招投标管理办法等稳步推进工作，各部门单位根据自己项目的特点进行总结。</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4.进一步完善项目评价过程中有关数据和资料的收集、整理、审核及分析。项目启动时同步做好档案的归纳与整理，及时整理、收集、汇总，健全档案资料。项目后续管理有待进一步加强和跟踪。</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5.进一步加强对绩效管理工作的组织领导，提高对预算绩效管理工作重要性的认识，总结经验查找问题，抓紧研究制定更全面更完善的绩效评价管理办法。结合食品安全考核建立绩效工作考核制度，加大全局对全面实施预算绩效管理和绩效管理工作的学习力度，让“花钱必问效，无效必问责”的理念深入工作每个环节。</w:t>
      </w:r>
    </w:p>
    <w:p>
      <w:pPr>
        <w:spacing w:line="540" w:lineRule="exact"/>
        <w:ind w:firstLine="567"/>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七、其他需要说明的问题</w:t>
      </w:r>
    </w:p>
    <w:p>
      <w:pPr>
        <w:spacing w:line="540" w:lineRule="exact"/>
        <w:ind w:firstLine="640" w:firstLineChars="200"/>
        <w:rPr>
          <w:rStyle w:val="Strong"/>
          <w:rFonts w:ascii="楷体" w:eastAsia="楷体" w:hAnsi="楷体"/>
          <w:spacing w:val="-4"/>
          <w:sz w:val="32"/>
          <w:szCs w:val="32"/>
        </w:rPr>
      </w:pPr>
      <w:r>
        <w:rPr>
          <w:rStyle w:val="Strong"/>
          <w:rFonts w:ascii="楷体" w:eastAsia="楷体" w:hAnsi="楷体" w:hint="eastAsia"/>
          <w:spacing w:val="-4"/>
          <w:sz w:val="32"/>
          <w:szCs w:val="32"/>
        </w:rPr>
        <w:t xml:space="preserve">本项目无其他需说明的问题。</w:t>
      </w: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sectPr>
      <w:footerReference w:type="default" r:id="rId3"/>
      <w:pgSz w:w="11906" w:h="16838" w:orient="portrait"/>
      <w:pgMar w:top="1440" w:right="1558" w:bottom="1440" w:left="1800" w:header="851" w:footer="992" w:gutter="0"/>
      <w:pgBorders/>
      <w:cols w:num="1" w:space="425">
        <w:col w:w="8548" w:space="425"/>
      </w:cols>
      <w:docGrid w:type="lines" w:linePitch="312"/>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 w:name="仿宋">
    <w:panose1 w:val="02010609060101010101"/>
    <w:charset w:val="86"/>
    <w:family w:val="modern"/>
    <w:pitch w:val="fixed"/>
    <w:sig w:usb0="800002BF" w:usb1="38CF7CFA" w:usb2="00000016" w:usb3="00000000" w:csb0="00040001" w:csb1="00000000"/>
  </w:font>
  <w:font w:name="华文中宋">
    <w:altName w:val="宋体"/>
    <w:panose1 w:val="02010600040101010101"/>
    <w:charset w:val="86"/>
    <w:family w:val="auto"/>
    <w:pitch w:val="variable"/>
    <w:sig w:usb0="00000287" w:usb1="080F0000" w:usb2="00000010" w:usb3="00000000" w:csb0="0004009F" w:csb1="0000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sdt>
    <w:sdtPr>
      <w:id w:val="422003363"/>
    </w:sdtPr>
    <w:sdtContent>
      <w:p>
        <w:pPr>
          <w:pStyle w:val="Footer"/>
          <w:jc w:val="center"/>
          <w:rPr/>
        </w:pPr>
        <w:r>
          <w:fldChar w:fldCharType="begin"/>
        </w:r>
        <w:r>
          <w:instrText xml:space="preserve">PAGE   \* MERGEFORMAT</w:instrText>
        </w:r>
        <w:r>
          <w:fldChar w:fldCharType="separate"/>
        </w:r>
        <w:r>
          <w:rPr>
            <w:lang w:val="zh-CN"/>
          </w:rPr>
          <w:t xml:space="preserve">1</w:t>
        </w:r>
        <w:r>
          <w:fldChar w:fldCharType="end"/>
        </w:r>
      </w:p>
    </w:sdtContent>
  </w:sdt>
  <w:p>
    <w:pPr>
      <w:pStyle w:val="Footer"/>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xmlns:w15="http://schemas.microsoft.com/office/word/2012/wordml" mc:Ignorable="w14 w15">
  <w:zoom w:percent="120"/>
  <w:bordersDoNotSurroundFooter/>
  <w:bordersDoNotSurroundHeader/>
  <w:proofState w:spelling="clean" w:grammar="clean"/>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5"/>
  </w:compat>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decimalSymbol w:val="."/>
  <w:listSeparator w:val=","/>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asciiTheme="minorHAnsi" w:eastAsiaTheme="minorEastAsia" w:hAnsiTheme="minorHAns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jc w:val="both"/>
    </w:pPr>
    <w:rPr>
      <w:rFonts w:ascii="Times New Roman" w:eastAsia="宋体" w:hAnsi="Times New Roman"/>
      <w:kern w:val="2"/>
      <w:sz w:val="21"/>
      <w:szCs w:val="24"/>
    </w:rPr>
  </w:style>
  <w:style w:type="paragraph" w:styleId="Heading1">
    <w:name w:val="Heading 1"/>
    <w:basedOn w:val="Normal"/>
    <w:next w:val="Normal"/>
    <w:link w:val="标题1字符"/>
    <w:uiPriority w:val="9"/>
    <w:qFormat/>
    <w:pPr>
      <w:keepNext/>
      <w:widowControl/>
      <w:spacing w:before="240" w:after="60"/>
      <w:jc w:val="left"/>
      <w:outlineLvl w:val="0"/>
    </w:pPr>
    <w:rPr>
      <w:rFonts w:ascii="Cambria" w:eastAsia="宋体" w:hAnsi="Cambria" w:asciiTheme="majorHAnsi" w:eastAsiaTheme="majorEastAsia" w:hAnsiTheme="majorHAnsi"/>
      <w:b/>
      <w:bCs/>
      <w:kern w:val="32"/>
      <w:sz w:val="32"/>
      <w:szCs w:val="32"/>
    </w:rPr>
  </w:style>
  <w:style w:type="paragraph" w:styleId="Heading2">
    <w:name w:val="Heading 2"/>
    <w:basedOn w:val="Normal"/>
    <w:next w:val="Normal"/>
    <w:link w:val="标题2字符"/>
    <w:uiPriority w:val="9"/>
    <w:semiHidden/>
    <w:unhideWhenUsed/>
    <w:qFormat/>
    <w:pPr>
      <w:keepNext/>
      <w:widowControl/>
      <w:spacing w:before="240" w:after="60"/>
      <w:jc w:val="left"/>
      <w:outlineLvl w:val="1"/>
    </w:pPr>
    <w:rPr>
      <w:rFonts w:ascii="Cambria" w:eastAsia="宋体" w:hAnsi="Cambria" w:asciiTheme="majorHAnsi" w:eastAsiaTheme="majorEastAsia" w:hAnsiTheme="majorHAnsi"/>
      <w:b/>
      <w:bCs/>
      <w:i/>
      <w:iCs/>
      <w:kern w:val="0"/>
      <w:sz w:val="28"/>
      <w:szCs w:val="28"/>
    </w:rPr>
  </w:style>
  <w:style w:type="paragraph" w:styleId="Heading3">
    <w:name w:val="Heading 3"/>
    <w:basedOn w:val="Normal"/>
    <w:next w:val="Normal"/>
    <w:link w:val="标题3字符"/>
    <w:uiPriority w:val="9"/>
    <w:semiHidden/>
    <w:unhideWhenUsed/>
    <w:qFormat/>
    <w:pPr>
      <w:keepNext/>
      <w:widowControl/>
      <w:spacing w:before="240" w:after="60"/>
      <w:jc w:val="left"/>
      <w:outlineLvl w:val="2"/>
    </w:pPr>
    <w:rPr>
      <w:rFonts w:ascii="Cambria" w:eastAsia="宋体" w:hAnsi="Cambria" w:asciiTheme="majorHAnsi" w:eastAsiaTheme="majorEastAsia" w:hAnsiTheme="majorHAnsi"/>
      <w:b/>
      <w:bCs/>
      <w:kern w:val="0"/>
      <w:sz w:val="26"/>
      <w:szCs w:val="26"/>
    </w:rPr>
  </w:style>
  <w:style w:type="paragraph" w:styleId="Heading4">
    <w:name w:val="Heading 4"/>
    <w:basedOn w:val="Normal"/>
    <w:next w:val="Normal"/>
    <w:link w:val="标题4字符"/>
    <w:uiPriority w:val="9"/>
    <w:unhideWhenUsed/>
    <w:qFormat/>
    <w:pPr>
      <w:keepNext/>
      <w:widowControl/>
      <w:spacing w:before="240" w:after="60"/>
      <w:jc w:val="left"/>
      <w:outlineLvl w:val="3"/>
    </w:pPr>
    <w:rPr>
      <w:rFonts w:ascii="Calibri" w:eastAsia="宋体" w:hAnsi="Calibri" w:asciiTheme="minorHAnsi" w:eastAsiaTheme="minorEastAsia" w:hAnsiTheme="minorHAnsi"/>
      <w:b/>
      <w:bCs/>
      <w:kern w:val="0"/>
      <w:sz w:val="28"/>
      <w:szCs w:val="28"/>
    </w:rPr>
  </w:style>
  <w:style w:type="paragraph" w:styleId="Heading5">
    <w:name w:val="Heading 5"/>
    <w:basedOn w:val="Normal"/>
    <w:next w:val="Normal"/>
    <w:link w:val="标题5字符"/>
    <w:uiPriority w:val="9"/>
    <w:semiHidden/>
    <w:unhideWhenUsed/>
    <w:qFormat/>
    <w:pPr>
      <w:widowControl/>
      <w:spacing w:before="240" w:after="60"/>
      <w:jc w:val="left"/>
      <w:outlineLvl w:val="4"/>
    </w:pPr>
    <w:rPr>
      <w:rFonts w:ascii="Calibri" w:eastAsia="宋体" w:hAnsi="Calibri" w:asciiTheme="minorHAnsi" w:eastAsiaTheme="minorEastAsia" w:hAnsiTheme="minorHAnsi"/>
      <w:b/>
      <w:bCs/>
      <w:i/>
      <w:iCs/>
      <w:kern w:val="0"/>
      <w:sz w:val="26"/>
      <w:szCs w:val="26"/>
    </w:rPr>
  </w:style>
  <w:style w:type="paragraph" w:styleId="Heading6">
    <w:name w:val="Heading 6"/>
    <w:basedOn w:val="Normal"/>
    <w:next w:val="Normal"/>
    <w:link w:val="标题6字符"/>
    <w:uiPriority w:val="9"/>
    <w:semiHidden/>
    <w:unhideWhenUsed/>
    <w:qFormat/>
    <w:pPr>
      <w:widowControl/>
      <w:spacing w:before="240" w:after="60"/>
      <w:jc w:val="left"/>
      <w:outlineLvl w:val="5"/>
    </w:pPr>
    <w:rPr>
      <w:rFonts w:ascii="Calibri" w:eastAsia="宋体" w:hAnsi="Calibri" w:asciiTheme="minorHAnsi" w:eastAsiaTheme="minorEastAsia" w:hAnsiTheme="minorHAnsi"/>
      <w:b/>
      <w:bCs/>
      <w:kern w:val="0"/>
      <w:sz w:val="22"/>
      <w:szCs w:val="22"/>
    </w:rPr>
  </w:style>
  <w:style w:type="paragraph" w:styleId="Heading7">
    <w:name w:val="Heading 7"/>
    <w:basedOn w:val="Normal"/>
    <w:next w:val="Normal"/>
    <w:link w:val="标题7字符"/>
    <w:uiPriority w:val="9"/>
    <w:semiHidden/>
    <w:unhideWhenUsed/>
    <w:qFormat/>
    <w:pPr>
      <w:widowControl/>
      <w:spacing w:before="240" w:after="60"/>
      <w:jc w:val="left"/>
      <w:outlineLvl w:val="6"/>
    </w:pPr>
    <w:rPr>
      <w:rFonts w:ascii="Calibri" w:eastAsia="宋体" w:hAnsi="Calibri" w:asciiTheme="minorHAnsi" w:eastAsiaTheme="minorEastAsia" w:hAnsiTheme="minorHAnsi"/>
      <w:kern w:val="0"/>
      <w:sz w:val="24"/>
    </w:rPr>
  </w:style>
  <w:style w:type="paragraph" w:styleId="Heading8">
    <w:name w:val="Heading 8"/>
    <w:basedOn w:val="Normal"/>
    <w:next w:val="Normal"/>
    <w:link w:val="标题8字符"/>
    <w:uiPriority w:val="9"/>
    <w:semiHidden/>
    <w:unhideWhenUsed/>
    <w:qFormat/>
    <w:pPr>
      <w:widowControl/>
      <w:spacing w:before="240" w:after="60"/>
      <w:jc w:val="left"/>
      <w:outlineLvl w:val="7"/>
    </w:pPr>
    <w:rPr>
      <w:rFonts w:ascii="Calibri" w:eastAsia="宋体" w:hAnsi="Calibri" w:asciiTheme="minorHAnsi" w:eastAsiaTheme="minorEastAsia" w:hAnsiTheme="minorHAnsi"/>
      <w:i/>
      <w:iCs/>
      <w:kern w:val="0"/>
      <w:sz w:val="24"/>
    </w:rPr>
  </w:style>
  <w:style w:type="paragraph" w:styleId="Heading9">
    <w:name w:val="Heading 9"/>
    <w:basedOn w:val="Normal"/>
    <w:next w:val="Normal"/>
    <w:link w:val="标题9字符"/>
    <w:uiPriority w:val="9"/>
    <w:semiHidden/>
    <w:unhideWhenUsed/>
    <w:qFormat/>
    <w:pPr>
      <w:widowControl/>
      <w:spacing w:before="240" w:after="60"/>
      <w:jc w:val="left"/>
      <w:outlineLvl w:val="8"/>
    </w:pPr>
    <w:rPr>
      <w:rFonts w:ascii="Cambria" w:eastAsia="宋体" w:hAnsi="Cambria" w:asciiTheme="majorHAnsi" w:eastAsiaTheme="majorEastAsia" w:hAnsiTheme="majorHAnsi"/>
      <w:kern w:val="0"/>
      <w:sz w:val="22"/>
      <w:szCs w:val="22"/>
    </w:rPr>
  </w:style>
  <w:style w:type="character" w:default="1" w:styleId="DefaultParagraphFont">
    <w:name w:val="Default Paragraph Font"/>
    <w:uiPriority w:val="1"/>
    <w:semiHidden/>
    <w:unhideWhenUsed/>
    <w:rPr/>
  </w:style>
  <w:style w:type="table" w:default="1" w:styleId="NormalTable">
    <w:name w:val="Normal Table"/>
    <w:uiPriority w:val="99"/>
    <w:semiHidden/>
    <w:unhideWhenUsed/>
    <w:rPr/>
    <w:tblPr>
      <w:tblInd w:w="0" w:type="dxa"/>
      <w:tblCellMar>
        <w:top w:w="0" w:type="dxa"/>
        <w:left w:w="108" w:type="dxa"/>
        <w:bottom w:w="0" w:type="dxa"/>
        <w:right w:w="108" w:type="dxa"/>
      </w:tblCellMar>
    </w:tblPr>
  </w:style>
  <w:style w:type="numbering" w:styleId="NoList">
    <w:name w:val="No List"/>
    <w:uiPriority w:val="99"/>
    <w:semiHidden/>
    <w:unhideWhenUsed/>
    <w:rPr/>
  </w:style>
  <w:style w:type="paragraph" w:styleId="BalloonText">
    <w:name w:val="Balloon Text"/>
    <w:basedOn w:val="Normal"/>
    <w:link w:val="批注框文本字符"/>
    <w:uiPriority w:val="99"/>
    <w:semiHidden/>
    <w:unhideWhenUsed/>
    <w:rPr>
      <w:sz w:val="18"/>
      <w:szCs w:val="18"/>
    </w:rPr>
  </w:style>
  <w:style w:type="paragraph" w:styleId="Footer">
    <w:name w:val="Footer"/>
    <w:basedOn w:val="Normal"/>
    <w:link w:val="页脚字符"/>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字符"/>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Subtitle">
    <w:name w:val="Subtitle"/>
    <w:basedOn w:val="Normal"/>
    <w:next w:val="Normal"/>
    <w:link w:val="副标题字符"/>
    <w:uiPriority w:val="11"/>
    <w:qFormat/>
    <w:pPr>
      <w:widowControl/>
      <w:spacing w:after="60"/>
      <w:jc w:val="center"/>
      <w:outlineLvl w:val="1"/>
    </w:pPr>
    <w:rPr>
      <w:rFonts w:ascii="Cambria" w:eastAsia="宋体" w:hAnsi="Cambria" w:asciiTheme="majorHAnsi" w:eastAsiaTheme="majorEastAsia" w:hAnsiTheme="majorHAnsi"/>
      <w:kern w:val="0"/>
      <w:sz w:val="24"/>
    </w:rPr>
  </w:style>
  <w:style w:type="paragraph" w:styleId="Title">
    <w:name w:val="Title"/>
    <w:basedOn w:val="Normal"/>
    <w:next w:val="Normal"/>
    <w:link w:val="标题字符"/>
    <w:uiPriority w:val="10"/>
    <w:qFormat/>
    <w:pPr>
      <w:widowControl/>
      <w:spacing w:before="240" w:after="60"/>
      <w:jc w:val="center"/>
      <w:outlineLvl w:val="0"/>
    </w:pPr>
    <w:rPr>
      <w:rFonts w:ascii="Cambria" w:eastAsia="宋体" w:hAnsi="Cambria" w:asciiTheme="majorHAnsi" w:eastAsiaTheme="majorEastAsia" w:hAnsiTheme="majorHAnsi"/>
      <w:b/>
      <w:bCs/>
      <w:kern w:val="28"/>
      <w:sz w:val="32"/>
      <w:szCs w:val="32"/>
    </w:rPr>
  </w:style>
  <w:style w:type="character" w:styleId="Strong">
    <w:name w:val="Strong"/>
    <w:basedOn w:val="DefaultParagraphFont"/>
    <w:qFormat/>
    <w:rPr>
      <w:b/>
      <w:bCs/>
    </w:rPr>
  </w:style>
  <w:style w:type="character" w:styleId="Emphasis">
    <w:name w:val="Emphasis"/>
    <w:basedOn w:val="DefaultParagraphFont"/>
    <w:uiPriority w:val="20"/>
    <w:qFormat/>
    <w:rPr>
      <w:rFonts w:ascii="Calibri" w:hAnsi="Calibri" w:asciiTheme="minorHAnsi" w:hAnsiTheme="minorHAnsi"/>
      <w:b/>
      <w:i/>
      <w:iCs/>
    </w:rPr>
  </w:style>
  <w:style w:type="character" w:customStyle="1" w:styleId="标题1字符">
    <w:name w:val="标题 1 字符"/>
    <w:basedOn w:val="DefaultParagraphFont"/>
    <w:link w:val="Heading1"/>
    <w:uiPriority w:val="9"/>
    <w:qFormat/>
    <w:rPr>
      <w:rFonts w:ascii="Cambria" w:eastAsia="宋体" w:hAnsi="Cambria" w:asciiTheme="majorHAnsi" w:eastAsiaTheme="majorEastAsia" w:hAnsiTheme="majorHAnsi"/>
      <w:b/>
      <w:bCs/>
      <w:kern w:val="32"/>
      <w:sz w:val="32"/>
      <w:szCs w:val="32"/>
    </w:rPr>
  </w:style>
  <w:style w:type="character" w:customStyle="1" w:styleId="标题2字符">
    <w:name w:val="标题 2 字符"/>
    <w:basedOn w:val="DefaultParagraphFont"/>
    <w:link w:val="Heading2"/>
    <w:uiPriority w:val="9"/>
    <w:semiHidden/>
    <w:qFormat/>
    <w:rPr>
      <w:rFonts w:ascii="Cambria" w:eastAsia="宋体" w:hAnsi="Cambria" w:asciiTheme="majorHAnsi" w:eastAsiaTheme="majorEastAsia" w:hAnsiTheme="majorHAnsi"/>
      <w:b/>
      <w:bCs/>
      <w:i/>
      <w:iCs/>
      <w:sz w:val="28"/>
      <w:szCs w:val="28"/>
    </w:rPr>
  </w:style>
  <w:style w:type="character" w:customStyle="1" w:styleId="标题3字符">
    <w:name w:val="标题 3 字符"/>
    <w:basedOn w:val="DefaultParagraphFont"/>
    <w:link w:val="Heading3"/>
    <w:uiPriority w:val="9"/>
    <w:semiHidden/>
    <w:qFormat/>
    <w:rPr>
      <w:rFonts w:ascii="Cambria" w:eastAsia="宋体" w:hAnsi="Cambria" w:asciiTheme="majorHAnsi" w:eastAsiaTheme="majorEastAsia" w:hAnsiTheme="majorHAnsi"/>
      <w:b/>
      <w:bCs/>
      <w:sz w:val="26"/>
      <w:szCs w:val="26"/>
    </w:rPr>
  </w:style>
  <w:style w:type="character" w:customStyle="1" w:styleId="标题4字符">
    <w:name w:val="标题 4 字符"/>
    <w:basedOn w:val="DefaultParagraphFont"/>
    <w:link w:val="Heading4"/>
    <w:uiPriority w:val="9"/>
    <w:qFormat/>
    <w:rPr>
      <w:b/>
      <w:bCs/>
      <w:sz w:val="28"/>
      <w:szCs w:val="28"/>
    </w:rPr>
  </w:style>
  <w:style w:type="character" w:customStyle="1" w:styleId="标题5字符">
    <w:name w:val="标题 5 字符"/>
    <w:basedOn w:val="DefaultParagraphFont"/>
    <w:link w:val="Heading5"/>
    <w:uiPriority w:val="9"/>
    <w:semiHidden/>
    <w:qFormat/>
    <w:rPr>
      <w:b/>
      <w:bCs/>
      <w:i/>
      <w:iCs/>
      <w:sz w:val="26"/>
      <w:szCs w:val="26"/>
    </w:rPr>
  </w:style>
  <w:style w:type="character" w:customStyle="1" w:styleId="标题6字符">
    <w:name w:val="标题 6 字符"/>
    <w:basedOn w:val="DefaultParagraphFont"/>
    <w:link w:val="Heading6"/>
    <w:uiPriority w:val="9"/>
    <w:semiHidden/>
    <w:qFormat/>
    <w:rPr>
      <w:b/>
      <w:bCs/>
    </w:rPr>
  </w:style>
  <w:style w:type="character" w:customStyle="1" w:styleId="标题7字符">
    <w:name w:val="标题 7 字符"/>
    <w:basedOn w:val="DefaultParagraphFont"/>
    <w:link w:val="Heading7"/>
    <w:uiPriority w:val="9"/>
    <w:semiHidden/>
    <w:qFormat/>
    <w:rPr>
      <w:sz w:val="24"/>
      <w:szCs w:val="24"/>
    </w:rPr>
  </w:style>
  <w:style w:type="character" w:customStyle="1" w:styleId="标题8字符">
    <w:name w:val="标题 8 字符"/>
    <w:basedOn w:val="DefaultParagraphFont"/>
    <w:link w:val="Heading8"/>
    <w:uiPriority w:val="9"/>
    <w:semiHidden/>
    <w:qFormat/>
    <w:rPr>
      <w:i/>
      <w:iCs/>
      <w:sz w:val="24"/>
      <w:szCs w:val="24"/>
    </w:rPr>
  </w:style>
  <w:style w:type="character" w:customStyle="1" w:styleId="标题9字符">
    <w:name w:val="标题 9 字符"/>
    <w:basedOn w:val="DefaultParagraphFont"/>
    <w:link w:val="Heading9"/>
    <w:uiPriority w:val="9"/>
    <w:semiHidden/>
    <w:qFormat/>
    <w:rPr>
      <w:rFonts w:ascii="Cambria" w:eastAsia="宋体" w:hAnsi="Cambria" w:asciiTheme="majorHAnsi" w:eastAsiaTheme="majorEastAsia" w:hAnsiTheme="majorHAnsi"/>
    </w:rPr>
  </w:style>
  <w:style w:type="character" w:customStyle="1" w:styleId="标题字符">
    <w:name w:val="标题 字符"/>
    <w:basedOn w:val="DefaultParagraphFont"/>
    <w:link w:val="Title"/>
    <w:uiPriority w:val="10"/>
    <w:rPr>
      <w:rFonts w:ascii="Cambria" w:eastAsia="宋体" w:hAnsi="Cambria" w:asciiTheme="majorHAnsi" w:eastAsiaTheme="majorEastAsia" w:hAnsiTheme="majorHAnsi"/>
      <w:b/>
      <w:bCs/>
      <w:kern w:val="28"/>
      <w:sz w:val="32"/>
      <w:szCs w:val="32"/>
    </w:rPr>
  </w:style>
  <w:style w:type="character" w:customStyle="1" w:styleId="副标题字符">
    <w:name w:val="副标题 字符"/>
    <w:basedOn w:val="DefaultParagraphFont"/>
    <w:link w:val="Subtitle"/>
    <w:uiPriority w:val="11"/>
    <w:qFormat/>
    <w:rPr>
      <w:rFonts w:ascii="Cambria" w:eastAsia="宋体" w:hAnsi="Cambria" w:asciiTheme="majorHAnsi" w:eastAsiaTheme="majorEastAsia" w:hAnsiTheme="majorHAnsi"/>
      <w:sz w:val="24"/>
      <w:szCs w:val="24"/>
    </w:rPr>
  </w:style>
  <w:style w:type="paragraph" w:styleId="NoSpacing">
    <w:name w:val="No Spacing"/>
    <w:basedOn w:val="Normal"/>
    <w:uiPriority w:val="1"/>
    <w:qFormat/>
    <w:pPr>
      <w:widowControl/>
      <w:jc w:val="left"/>
    </w:pPr>
    <w:rPr>
      <w:rFonts w:ascii="Calibri" w:eastAsia="宋体" w:hAnsi="Calibri" w:asciiTheme="minorHAnsi" w:eastAsiaTheme="minorEastAsia" w:hAnsiTheme="minorHAnsi"/>
      <w:kern w:val="0"/>
      <w:sz w:val="24"/>
      <w:szCs w:val="32"/>
      <w:lang w:eastAsia="en-US" w:bidi="en-US"/>
    </w:rPr>
  </w:style>
  <w:style w:type="paragraph" w:styleId="ListParagraph">
    <w:name w:val="List Paragraph"/>
    <w:basedOn w:val="Normal"/>
    <w:uiPriority w:val="34"/>
    <w:qFormat/>
    <w:pPr>
      <w:widowControl/>
      <w:ind w:left="720"/>
      <w:contextualSpacing/>
      <w:jc w:val="left"/>
    </w:pPr>
    <w:rPr>
      <w:rFonts w:ascii="Calibri" w:eastAsia="宋体" w:hAnsi="Calibri" w:asciiTheme="minorHAnsi" w:eastAsiaTheme="minorEastAsia" w:hAnsiTheme="minorHAnsi"/>
      <w:kern w:val="0"/>
      <w:sz w:val="24"/>
      <w:lang w:eastAsia="en-US" w:bidi="en-US"/>
    </w:rPr>
  </w:style>
  <w:style w:type="paragraph" w:styleId="Quote">
    <w:name w:val="Quote"/>
    <w:basedOn w:val="Normal"/>
    <w:next w:val="Normal"/>
    <w:link w:val="引用字符"/>
    <w:uiPriority w:val="29"/>
    <w:qFormat/>
    <w:pPr>
      <w:widowControl/>
      <w:jc w:val="left"/>
    </w:pPr>
    <w:rPr>
      <w:rFonts w:ascii="Calibri" w:eastAsia="宋体" w:hAnsi="Calibri" w:asciiTheme="minorHAnsi" w:eastAsiaTheme="minorEastAsia" w:hAnsiTheme="minorHAnsi"/>
      <w:i/>
      <w:kern w:val="0"/>
      <w:sz w:val="24"/>
    </w:rPr>
  </w:style>
  <w:style w:type="character" w:customStyle="1" w:styleId="引用字符">
    <w:name w:val="引用 字符"/>
    <w:basedOn w:val="DefaultParagraphFont"/>
    <w:link w:val="Quote"/>
    <w:uiPriority w:val="29"/>
    <w:rPr>
      <w:i/>
      <w:sz w:val="24"/>
      <w:szCs w:val="24"/>
    </w:rPr>
  </w:style>
  <w:style w:type="paragraph" w:styleId="IntenseQuote">
    <w:name w:val="Intense Quote"/>
    <w:basedOn w:val="Normal"/>
    <w:next w:val="Normal"/>
    <w:link w:val="明显引用字符"/>
    <w:uiPriority w:val="30"/>
    <w:qFormat/>
    <w:pPr>
      <w:widowControl/>
      <w:ind w:left="720" w:right="720"/>
      <w:jc w:val="left"/>
    </w:pPr>
    <w:rPr>
      <w:rFonts w:ascii="Calibri" w:eastAsia="宋体" w:hAnsi="Calibri" w:asciiTheme="minorHAnsi" w:eastAsiaTheme="minorEastAsia" w:hAnsiTheme="minorHAnsi"/>
      <w:b/>
      <w:i/>
      <w:kern w:val="0"/>
      <w:sz w:val="24"/>
      <w:szCs w:val="22"/>
    </w:rPr>
  </w:style>
  <w:style w:type="character" w:customStyle="1" w:styleId="明显引用字符">
    <w:name w:val="明显引用 字符"/>
    <w:basedOn w:val="DefaultParagraphFont"/>
    <w:link w:val="IntenseQuote"/>
    <w:uiPriority w:val="30"/>
    <w:qFormat/>
    <w:rPr>
      <w:b/>
      <w:i/>
      <w:sz w:val="24"/>
    </w:rPr>
  </w:style>
  <w:style w:type="character" w:customStyle="1" w:styleId="不明显强调1">
    <w:name w:val="不明显强调1"/>
    <w:uiPriority w:val="19"/>
    <w:qFormat/>
    <w:rPr>
      <w:i/>
      <w:color w:val="595959" w:themeColor="text1" w:themeTint="A6"/>
    </w:rPr>
  </w:style>
  <w:style w:type="character" w:customStyle="1" w:styleId="明显强调1">
    <w:name w:val="明显强调1"/>
    <w:basedOn w:val="DefaultParagraphFont"/>
    <w:uiPriority w:val="21"/>
    <w:qFormat/>
    <w:rPr>
      <w:b/>
      <w:i/>
      <w:sz w:val="24"/>
      <w:szCs w:val="24"/>
      <w:u w:val="single"/>
    </w:rPr>
  </w:style>
  <w:style w:type="character" w:customStyle="1" w:styleId="不明显参考1">
    <w:name w:val="不明显参考1"/>
    <w:basedOn w:val="DefaultParagraphFont"/>
    <w:uiPriority w:val="31"/>
    <w:qFormat/>
    <w:rPr>
      <w:sz w:val="24"/>
      <w:szCs w:val="24"/>
      <w:u w:val="single"/>
    </w:rPr>
  </w:style>
  <w:style w:type="character" w:customStyle="1" w:styleId="明显参考1">
    <w:name w:val="明显参考1"/>
    <w:basedOn w:val="DefaultParagraphFont"/>
    <w:uiPriority w:val="32"/>
    <w:qFormat/>
    <w:rPr>
      <w:b/>
      <w:sz w:val="24"/>
      <w:u w:val="single"/>
    </w:rPr>
  </w:style>
  <w:style w:type="character" w:customStyle="1" w:styleId="书籍标题1">
    <w:name w:val="书籍标题1"/>
    <w:basedOn w:val="DefaultParagraphFont"/>
    <w:uiPriority w:val="33"/>
    <w:qFormat/>
    <w:rPr>
      <w:rFonts w:ascii="Cambria" w:eastAsia="宋体" w:hAnsi="Cambria" w:asciiTheme="majorHAnsi" w:eastAsiaTheme="majorEastAsia" w:hAnsiTheme="majorHAnsi"/>
      <w:b/>
      <w:i/>
      <w:sz w:val="24"/>
      <w:szCs w:val="24"/>
    </w:rPr>
  </w:style>
  <w:style w:type="paragraph" w:customStyle="1" w:styleId="TOC标题1">
    <w:name w:val="TOC 标题1"/>
    <w:basedOn w:val="Heading1"/>
    <w:next w:val="Normal"/>
    <w:uiPriority w:val="39"/>
    <w:semiHidden/>
    <w:unhideWhenUsed/>
    <w:qFormat/>
    <w:pPr>
      <w:outlineLvl w:val="9"/>
    </w:pPr>
    <w:rPr>
      <w:lang w:eastAsia="en-US" w:bidi="en-US"/>
    </w:rPr>
  </w:style>
  <w:style w:type="character" w:customStyle="1" w:styleId="页眉字符">
    <w:name w:val="页眉 字符"/>
    <w:basedOn w:val="DefaultParagraphFont"/>
    <w:link w:val="Header"/>
    <w:uiPriority w:val="99"/>
    <w:rPr>
      <w:rFonts w:ascii="Calibri" w:eastAsia="宋体" w:hAnsi="Calibri"/>
      <w:kern w:val="2"/>
      <w:sz w:val="18"/>
      <w:szCs w:val="18"/>
    </w:rPr>
  </w:style>
  <w:style w:type="character" w:customStyle="1" w:styleId="页脚字符">
    <w:name w:val="页脚 字符"/>
    <w:basedOn w:val="DefaultParagraphFont"/>
    <w:link w:val="Footer"/>
    <w:uiPriority w:val="99"/>
    <w:rPr>
      <w:rFonts w:ascii="Calibri" w:eastAsia="宋体" w:hAnsi="Calibri"/>
      <w:kern w:val="2"/>
      <w:sz w:val="18"/>
      <w:szCs w:val="18"/>
    </w:rPr>
  </w:style>
  <w:style w:type="character" w:customStyle="1" w:styleId="批注框文本字符">
    <w:name w:val="批注框文本 字符"/>
    <w:basedOn w:val="DefaultParagraphFont"/>
    <w:link w:val="BalloonText"/>
    <w:uiPriority w:val="99"/>
    <w:semiHidden/>
    <w:qFormat/>
    <w:rPr>
      <w:rFonts w:ascii="Times New Roman" w:eastAsia="宋体" w:hAnsi="Times New Roman"/>
      <w:kern w:val="2"/>
      <w:sz w:val="18"/>
      <w:szCs w:val="18"/>
    </w:rPr>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customXml" Target="../customXml/item2.xml"/><Relationship Id="rId3" Type="http://schemas.openxmlformats.org/officeDocument/2006/relationships/footer" Target="footer1.xml"/><Relationship Id="rId4" Type="http://schemas.openxmlformats.org/officeDocument/2006/relationships/theme" Target="theme/theme1.xml"/><Relationship Id="rId5" Type="http://schemas.openxmlformats.org/officeDocument/2006/relationships/styles" Target="style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21EF0CDCB73D4B8D8FAC715995DB8275</vt:lpwstr>
  </property>
</Properties>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2</TotalTime>
  <Pages>3</Pages>
  <Words>104</Words>
  <Characters>598</Characters>
  <Application>Microsoft Office Word</Application>
  <DocSecurity>0</DocSecurity>
  <Lines>4</Lines>
  <Paragraphs>1</Paragraphs>
  <Company>微软中国</Company>
  <CharactersWithSpaces>701</CharactersWithSpaces>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恺_xFF08_预算处_xFF09_</dc:creator>
  <cp:lastModifiedBy>Administrator</cp:lastModifiedBy>
  <cp:revision>2</cp:revision>
  <cp:lastPrinted>2018-12-31T10:56:00Z</cp:lastPrinted>
  <dcterms:created xsi:type="dcterms:W3CDTF">2025-03-11T03:27:00Z</dcterms:created>
  <dcterms:modified xsi:type="dcterms:W3CDTF">2025-03-11T03:27:00Z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2052-11.1.0.11365</vt:lpwstr>
  </property>
  <property fmtid="{D5CDD505-2E9C-101B-9397-08002B2CF9AE}" pid="3" name="ICV">
    <vt:lpwstr>21EF0CDCB73D4B8D8FAC715995DB8275</vt:lpwstr>
  </property>
</Properties>
</file>