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霍城县中医医院2024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065FCD">
      <w:r>
        <w:br w:type="page"/>
      </w:r>
    </w:p>
    <w:p w14:paraId="7F3B95AB">
      <w:pPr>
        <w:spacing w:line="640" w:lineRule="exact"/>
        <w:jc w:val="center"/>
        <w:outlineLvl w:val="1"/>
      </w:pPr>
      <w:r>
        <w:rPr>
          <w:rFonts w:ascii="黑体" w:hAnsi="黑体" w:eastAsia="黑体"/>
          <w:sz w:val="32"/>
        </w:rPr>
        <w:t>第一部分 单位概况</w:t>
      </w:r>
    </w:p>
    <w:p w14:paraId="2676D015">
      <w:pPr>
        <w:spacing w:line="640" w:lineRule="exact"/>
        <w:ind w:firstLine="640"/>
        <w:jc w:val="both"/>
        <w:outlineLvl w:val="2"/>
      </w:pPr>
      <w:r>
        <w:rPr>
          <w:rFonts w:ascii="黑体" w:hAnsi="黑体" w:eastAsia="黑体"/>
          <w:sz w:val="32"/>
        </w:rPr>
        <w:t>一、主要职能</w:t>
      </w:r>
    </w:p>
    <w:p w14:paraId="042768E9">
      <w:pPr>
        <w:spacing w:line="580" w:lineRule="exact"/>
        <w:ind w:firstLine="640"/>
        <w:jc w:val="both"/>
      </w:pPr>
      <w:r>
        <w:rPr>
          <w:rFonts w:ascii="仿宋_GB2312" w:hAnsi="仿宋_GB2312" w:eastAsia="仿宋_GB2312"/>
          <w:sz w:val="32"/>
        </w:rPr>
        <w:t>霍城县中医医院是一所集医疗、教学、科研、预防保健为一体的二级甲等中医医院、霍城县西片区中心医院、中国健康扶贫工程定点医院、无锡市中医医院霍城远程协作会诊中心、霍城县城镇职工医保、“新农合”定点医疗机构、城镇居民医保定点医疗机构，人寿保险、平安保险等各类商业保险定点医疗机构。承担着霍城县西片区广大人民群众和周边8个乡镇、四个农牧团场及20余万人口的医疗救治任务，还承担着312和218国道沿线各类交通事故、突发公共卫生事件的急诊救治任务，以及全县中医药人才的培训任务和弘扬中医民族医药学的历史使命。</w:t>
      </w:r>
    </w:p>
    <w:p w14:paraId="2B0E27FD">
      <w:pPr>
        <w:spacing w:line="640" w:lineRule="exact"/>
        <w:ind w:firstLine="640"/>
        <w:jc w:val="both"/>
        <w:outlineLvl w:val="2"/>
      </w:pPr>
      <w:r>
        <w:rPr>
          <w:rFonts w:ascii="黑体" w:hAnsi="黑体" w:eastAsia="黑体"/>
          <w:sz w:val="32"/>
        </w:rPr>
        <w:t>二、机构设置及人员情况</w:t>
      </w:r>
    </w:p>
    <w:p w14:paraId="53EB4A45">
      <w:pPr>
        <w:spacing w:line="580" w:lineRule="exact"/>
        <w:ind w:firstLine="640"/>
        <w:jc w:val="both"/>
      </w:pPr>
      <w:r>
        <w:rPr>
          <w:rFonts w:ascii="仿宋_GB2312" w:hAnsi="仿宋_GB2312" w:eastAsia="仿宋_GB2312"/>
          <w:sz w:val="32"/>
        </w:rPr>
        <w:t>霍城县中医医院2024年度，实有人数359人，其中：在职人员250人，增加10人；离休人员0人，增加0人；退休人员109人,减少1人。</w:t>
      </w:r>
    </w:p>
    <w:p w14:paraId="731889BA">
      <w:pPr>
        <w:spacing w:line="580" w:lineRule="exact"/>
        <w:ind w:firstLine="640"/>
        <w:jc w:val="both"/>
      </w:pPr>
      <w:r>
        <w:rPr>
          <w:rFonts w:ascii="仿宋_GB2312" w:hAnsi="仿宋_GB2312" w:eastAsia="仿宋_GB2312"/>
          <w:sz w:val="32"/>
        </w:rPr>
        <w:t>霍城县中医医院无下属预算单位，下设46个科室，分别是：内一科、内二科、内三科、内四科、内五科、内六科、重症医学科、外科、儿科、泌尿外科、妇产科、神志科、骨科、手麻科、急诊科、针灸科、康复科、肛肠科、五官科、口腔科、眼科、体检科、门诊内科、皮肤科、</w:t>
      </w:r>
      <w:r>
        <w:rPr>
          <w:rFonts w:hint="eastAsia" w:ascii="仿宋_GB2312" w:hAnsi="仿宋_GB2312" w:eastAsia="仿宋_GB2312"/>
          <w:sz w:val="32"/>
          <w:lang w:eastAsia="zh-CN"/>
        </w:rPr>
        <w:t>慢性病</w:t>
      </w:r>
      <w:r>
        <w:rPr>
          <w:rFonts w:ascii="仿宋_GB2312" w:hAnsi="仿宋_GB2312" w:eastAsia="仿宋_GB2312"/>
          <w:sz w:val="32"/>
        </w:rPr>
        <w:t>门诊、发热门诊、放射科、超声科、功能科、检验科、病理科、药剂科、胃镜室、党政办、人事科、医务科、院感科、供应室、设备科、财务科、信息科、医保科、护理部、导医台、后勤科、公共卫生科。</w:t>
      </w:r>
    </w:p>
    <w:p w14:paraId="28774CF6">
      <w:r>
        <w:br w:type="page"/>
      </w:r>
    </w:p>
    <w:p w14:paraId="5846FF1B">
      <w:pPr>
        <w:spacing w:line="240" w:lineRule="auto"/>
        <w:jc w:val="center"/>
        <w:outlineLvl w:val="1"/>
      </w:pPr>
      <w:r>
        <w:rPr>
          <w:rFonts w:ascii="黑体" w:hAnsi="黑体" w:eastAsia="黑体"/>
          <w:sz w:val="32"/>
        </w:rPr>
        <w:t>第二部分 部门决算情况说明</w:t>
      </w:r>
    </w:p>
    <w:p w14:paraId="1B3E7540">
      <w:pPr>
        <w:spacing w:line="640" w:lineRule="exact"/>
        <w:ind w:firstLine="640"/>
        <w:jc w:val="both"/>
        <w:outlineLvl w:val="2"/>
      </w:pPr>
      <w:r>
        <w:rPr>
          <w:rFonts w:ascii="黑体" w:hAnsi="黑体" w:eastAsia="黑体"/>
          <w:sz w:val="32"/>
        </w:rPr>
        <w:t>一、收入支出决算总体情况说明</w:t>
      </w:r>
    </w:p>
    <w:p w14:paraId="47D807C3">
      <w:pPr>
        <w:spacing w:line="580" w:lineRule="exact"/>
        <w:ind w:firstLine="640"/>
        <w:jc w:val="both"/>
      </w:pPr>
      <w:r>
        <w:rPr>
          <w:rFonts w:ascii="仿宋_GB2312" w:hAnsi="仿宋_GB2312" w:eastAsia="仿宋_GB2312"/>
          <w:b/>
          <w:sz w:val="32"/>
        </w:rPr>
        <w:t>2024年度收入总计15,326.16万元，</w:t>
      </w:r>
      <w:r>
        <w:rPr>
          <w:rFonts w:ascii="仿宋_GB2312" w:hAnsi="仿宋_GB2312" w:eastAsia="仿宋_GB2312"/>
          <w:b w:val="0"/>
          <w:sz w:val="32"/>
        </w:rPr>
        <w:t>其中：本年收入合计15,326.16万元，使用非财政拨款结余（含专用结余）0.00万元，年初结转和结余0.00万元。</w:t>
      </w:r>
    </w:p>
    <w:p w14:paraId="2AA79AC9">
      <w:pPr>
        <w:spacing w:line="580" w:lineRule="exact"/>
        <w:ind w:firstLine="640"/>
        <w:jc w:val="both"/>
      </w:pPr>
      <w:r>
        <w:rPr>
          <w:rFonts w:ascii="仿宋_GB2312" w:hAnsi="仿宋_GB2312" w:eastAsia="仿宋_GB2312"/>
          <w:b/>
          <w:sz w:val="32"/>
        </w:rPr>
        <w:t>2024年度支出总计15,326.16万元，</w:t>
      </w:r>
      <w:r>
        <w:rPr>
          <w:rFonts w:ascii="仿宋_GB2312" w:hAnsi="仿宋_GB2312" w:eastAsia="仿宋_GB2312"/>
          <w:b w:val="0"/>
          <w:sz w:val="32"/>
        </w:rPr>
        <w:t>其中：本年支出合计14,963.75万元，结余分配362.41万元，年末结转和结余0.00万元。</w:t>
      </w:r>
    </w:p>
    <w:p w14:paraId="7DF07200">
      <w:pPr>
        <w:spacing w:line="580" w:lineRule="exact"/>
        <w:ind w:firstLine="640"/>
        <w:jc w:val="both"/>
      </w:pPr>
      <w:r>
        <w:rPr>
          <w:rFonts w:ascii="仿宋_GB2312" w:hAnsi="仿宋_GB2312" w:eastAsia="仿宋_GB2312"/>
          <w:b w:val="0"/>
          <w:sz w:val="32"/>
        </w:rPr>
        <w:t>收入支出总体与上年相比，增加1,824.00万元，增长13.51%，主要原因是：门诊、住院病人增加，事业收入增加，药品费、材料费增加，导致经费增加。</w:t>
      </w:r>
    </w:p>
    <w:p w14:paraId="3E5E9A6C">
      <w:pPr>
        <w:spacing w:line="640" w:lineRule="exact"/>
        <w:ind w:firstLine="640"/>
        <w:jc w:val="both"/>
        <w:outlineLvl w:val="2"/>
      </w:pPr>
      <w:r>
        <w:rPr>
          <w:rFonts w:ascii="黑体" w:hAnsi="黑体" w:eastAsia="黑体"/>
          <w:sz w:val="32"/>
        </w:rPr>
        <w:t>二、收入决算情况说明</w:t>
      </w:r>
    </w:p>
    <w:p w14:paraId="63BCFDAB">
      <w:pPr>
        <w:spacing w:line="580" w:lineRule="exact"/>
        <w:ind w:firstLine="640"/>
        <w:jc w:val="both"/>
      </w:pPr>
      <w:r>
        <w:rPr>
          <w:rFonts w:ascii="仿宋_GB2312" w:hAnsi="仿宋_GB2312" w:eastAsia="仿宋_GB2312"/>
          <w:b/>
          <w:sz w:val="32"/>
        </w:rPr>
        <w:t>本年收入15,326.16万元，</w:t>
      </w:r>
      <w:r>
        <w:rPr>
          <w:rFonts w:ascii="仿宋_GB2312" w:hAnsi="仿宋_GB2312" w:eastAsia="仿宋_GB2312"/>
          <w:b w:val="0"/>
          <w:sz w:val="32"/>
        </w:rPr>
        <w:t>其中：财政拨款收入2,680.62万元，占17.49%；上级补助收入0.00万元，占0.00%；事业收入12,609.98万元，占82.28%；经营收入0.00万元，占0.00%；附属单位上缴收入0.00万元，占0.00%；其他收入35.57万元，占0.23%。</w:t>
      </w:r>
    </w:p>
    <w:p w14:paraId="27160953">
      <w:pPr>
        <w:spacing w:line="640" w:lineRule="exact"/>
        <w:ind w:firstLine="640"/>
        <w:jc w:val="both"/>
        <w:outlineLvl w:val="2"/>
      </w:pPr>
      <w:r>
        <w:rPr>
          <w:rFonts w:ascii="黑体" w:hAnsi="黑体" w:eastAsia="黑体"/>
          <w:sz w:val="32"/>
        </w:rPr>
        <w:t>三、支出决算情况说明</w:t>
      </w:r>
    </w:p>
    <w:p w14:paraId="4DBE1F2D">
      <w:pPr>
        <w:spacing w:line="580" w:lineRule="exact"/>
        <w:ind w:firstLine="640"/>
        <w:jc w:val="both"/>
      </w:pPr>
      <w:r>
        <w:rPr>
          <w:rFonts w:ascii="仿宋_GB2312" w:hAnsi="仿宋_GB2312" w:eastAsia="仿宋_GB2312"/>
          <w:b/>
          <w:sz w:val="32"/>
        </w:rPr>
        <w:t>本年支出14,963.75万元，</w:t>
      </w:r>
      <w:r>
        <w:rPr>
          <w:rFonts w:ascii="仿宋_GB2312" w:hAnsi="仿宋_GB2312" w:eastAsia="仿宋_GB2312"/>
          <w:b w:val="0"/>
          <w:sz w:val="32"/>
        </w:rPr>
        <w:t>其中：基本支出14,823.86万元，占99.07%；项目支出139.90万元，占0.93%；上缴上级支出0.00万元，占0.00%；经营支出0.00万元，占0.00%；对附属单位补助支出0.00万元，占0.00%。</w:t>
      </w:r>
    </w:p>
    <w:p w14:paraId="2D284497">
      <w:pPr>
        <w:spacing w:line="640" w:lineRule="exact"/>
        <w:ind w:firstLine="640"/>
        <w:jc w:val="both"/>
        <w:outlineLvl w:val="2"/>
      </w:pPr>
      <w:r>
        <w:rPr>
          <w:rFonts w:ascii="黑体" w:hAnsi="黑体" w:eastAsia="黑体"/>
          <w:sz w:val="32"/>
        </w:rPr>
        <w:t>四、财政拨款收入支出决算总体情况说明</w:t>
      </w:r>
    </w:p>
    <w:p w14:paraId="6BDAABF4">
      <w:pPr>
        <w:spacing w:line="580" w:lineRule="exact"/>
        <w:ind w:firstLine="640"/>
        <w:jc w:val="both"/>
      </w:pPr>
      <w:r>
        <w:rPr>
          <w:rFonts w:ascii="仿宋_GB2312" w:hAnsi="仿宋_GB2312" w:eastAsia="仿宋_GB2312"/>
          <w:b/>
          <w:sz w:val="32"/>
        </w:rPr>
        <w:t>2024年度财政拨款收入总计2,680.62万元，</w:t>
      </w:r>
      <w:r>
        <w:rPr>
          <w:rFonts w:ascii="仿宋_GB2312" w:hAnsi="仿宋_GB2312" w:eastAsia="仿宋_GB2312"/>
          <w:b w:val="0"/>
          <w:sz w:val="32"/>
        </w:rPr>
        <w:t>其中：年初财政拨款结转和结余0.00万元，本年财政拨款收入2,680.62万元。</w:t>
      </w:r>
      <w:r>
        <w:rPr>
          <w:rFonts w:ascii="仿宋_GB2312" w:hAnsi="仿宋_GB2312" w:eastAsia="仿宋_GB2312"/>
          <w:b/>
          <w:sz w:val="32"/>
        </w:rPr>
        <w:t>财政拨款支出总计2,680.62万元，</w:t>
      </w:r>
      <w:r>
        <w:rPr>
          <w:rFonts w:ascii="仿宋_GB2312" w:hAnsi="仿宋_GB2312" w:eastAsia="仿宋_GB2312"/>
          <w:b w:val="0"/>
          <w:sz w:val="32"/>
        </w:rPr>
        <w:t>其中：年末财政拨款结转和结余0.00万元，本年财政拨款支出2,680.62万元。</w:t>
      </w:r>
    </w:p>
    <w:p w14:paraId="1D13480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减少37.21万元，下降1.37%，主要原因是：本年公立医院改革项目资金、中医（民族医）药专项项目资金较上年减少。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年初预算数2,436.05万元，决算数2,680.62万元，预决算差异率10.04%，主要原因是：本年在职人员增加，年中追加人员经费及人员工资、社保、公积金基数调增部分资金，导致预决算存在差异。</w:t>
      </w:r>
    </w:p>
    <w:p w14:paraId="6719D212">
      <w:pPr>
        <w:spacing w:line="640" w:lineRule="exact"/>
        <w:ind w:firstLine="640"/>
        <w:jc w:val="both"/>
        <w:outlineLvl w:val="2"/>
      </w:pPr>
      <w:r>
        <w:rPr>
          <w:rFonts w:ascii="黑体" w:hAnsi="黑体" w:eastAsia="黑体"/>
          <w:sz w:val="32"/>
        </w:rPr>
        <w:t>五、一般公共预算财政拨款支出决算情况说明</w:t>
      </w:r>
    </w:p>
    <w:p w14:paraId="4A78A22D">
      <w:pPr>
        <w:spacing w:line="640" w:lineRule="exact"/>
        <w:ind w:firstLine="640"/>
        <w:jc w:val="both"/>
        <w:outlineLvl w:val="3"/>
      </w:pPr>
      <w:r>
        <w:rPr>
          <w:rFonts w:ascii="楷体_GB2312" w:hAnsi="楷体_GB2312" w:eastAsia="楷体_GB2312"/>
          <w:b/>
          <w:sz w:val="32"/>
        </w:rPr>
        <w:t>（一）一般公共预算财政拨款支出决算总体情况</w:t>
      </w:r>
    </w:p>
    <w:p w14:paraId="642428D1">
      <w:pPr>
        <w:spacing w:line="580" w:lineRule="exact"/>
        <w:ind w:firstLine="640"/>
        <w:jc w:val="both"/>
      </w:pPr>
      <w:r>
        <w:rPr>
          <w:rFonts w:ascii="仿宋_GB2312" w:hAnsi="仿宋_GB2312" w:eastAsia="仿宋_GB2312"/>
          <w:b/>
          <w:sz w:val="32"/>
        </w:rPr>
        <w:t>2024年度一般公共预算财政拨款支出2,676.72万元，</w:t>
      </w:r>
      <w:r>
        <w:rPr>
          <w:rFonts w:ascii="仿宋_GB2312" w:hAnsi="仿宋_GB2312" w:eastAsia="仿宋_GB2312"/>
          <w:b w:val="0"/>
          <w:sz w:val="32"/>
        </w:rPr>
        <w:t>占本年支出合计的17.89%。</w:t>
      </w:r>
      <w:r>
        <w:rPr>
          <w:rFonts w:ascii="仿宋_GB2312" w:hAnsi="仿宋_GB2312" w:eastAsia="仿宋_GB2312"/>
          <w:b/>
          <w:sz w:val="32"/>
        </w:rPr>
        <w:t>与上年相比，</w:t>
      </w:r>
      <w:r>
        <w:rPr>
          <w:rFonts w:ascii="仿宋_GB2312" w:hAnsi="仿宋_GB2312" w:eastAsia="仿宋_GB2312"/>
          <w:b w:val="0"/>
          <w:sz w:val="32"/>
        </w:rPr>
        <w:t>减少41.11万元，下降1.51%，主要原因是：本年公立医院改革项目资金、中医（民族医）药专项项目资金较上年减少。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年初预算数2,436.05万元，决算数2,676.72万元，预决算差异率9.88%，主要原因是：本年在职人员增加，年中追加人员经费及人员工资、社保、公积金基数调增部分资金，导致预决算存在差异。</w:t>
      </w:r>
    </w:p>
    <w:p w14:paraId="5107A033">
      <w:pPr>
        <w:spacing w:line="640" w:lineRule="exact"/>
        <w:ind w:firstLine="640"/>
        <w:jc w:val="both"/>
        <w:outlineLvl w:val="3"/>
      </w:pPr>
      <w:r>
        <w:rPr>
          <w:rFonts w:ascii="楷体_GB2312" w:hAnsi="楷体_GB2312" w:eastAsia="楷体_GB2312"/>
          <w:b/>
          <w:sz w:val="32"/>
        </w:rPr>
        <w:t>（二）一般公共预算财政拨款支出决算结构情况</w:t>
      </w:r>
    </w:p>
    <w:p w14:paraId="05F87355">
      <w:pPr>
        <w:spacing w:line="580" w:lineRule="exact"/>
        <w:ind w:firstLine="640"/>
        <w:jc w:val="both"/>
      </w:pPr>
      <w:r>
        <w:rPr>
          <w:rFonts w:ascii="仿宋_GB2312" w:hAnsi="仿宋_GB2312" w:eastAsia="仿宋_GB2312"/>
          <w:b w:val="0"/>
          <w:sz w:val="32"/>
        </w:rPr>
        <w:t>1.社会保障和就业支出(类)484.49万元,占18.10%。</w:t>
      </w:r>
    </w:p>
    <w:p w14:paraId="1B8A6A94">
      <w:pPr>
        <w:spacing w:line="580" w:lineRule="exact"/>
        <w:ind w:firstLine="640"/>
        <w:jc w:val="both"/>
      </w:pPr>
      <w:r>
        <w:rPr>
          <w:rFonts w:ascii="仿宋_GB2312" w:hAnsi="仿宋_GB2312" w:eastAsia="仿宋_GB2312"/>
          <w:b w:val="0"/>
          <w:sz w:val="32"/>
        </w:rPr>
        <w:t>2.卫生健康支出(类)1,953.63万元,占72.99%。</w:t>
      </w:r>
    </w:p>
    <w:p w14:paraId="1F3CC7D6">
      <w:pPr>
        <w:spacing w:line="580" w:lineRule="exact"/>
        <w:ind w:firstLine="640"/>
        <w:jc w:val="both"/>
      </w:pPr>
      <w:r>
        <w:rPr>
          <w:rFonts w:ascii="仿宋_GB2312" w:hAnsi="仿宋_GB2312" w:eastAsia="仿宋_GB2312"/>
          <w:b w:val="0"/>
          <w:sz w:val="32"/>
        </w:rPr>
        <w:t>3.住房保障支出(类)238.59万元,占8.91%。</w:t>
      </w:r>
    </w:p>
    <w:p w14:paraId="41F6CF70">
      <w:pPr>
        <w:spacing w:line="640" w:lineRule="exact"/>
        <w:ind w:firstLine="640"/>
        <w:jc w:val="both"/>
        <w:outlineLvl w:val="3"/>
      </w:pPr>
      <w:r>
        <w:rPr>
          <w:rFonts w:ascii="楷体_GB2312" w:hAnsi="楷体_GB2312" w:eastAsia="楷体_GB2312"/>
          <w:b/>
          <w:sz w:val="32"/>
        </w:rPr>
        <w:t>（三）一般公共预算财政拨款支出决算具体情况</w:t>
      </w:r>
    </w:p>
    <w:p w14:paraId="549B211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1.社会保障和就业支出(类)行政事业单位养老支出(款)事业单位离退休(项):支出决算数为80.43万元，比上年决算增加51.51万元，增长178.11%,主要原因是：本年增加退休人员基础绩效奖，退休费支出增加。</w:t>
      </w:r>
    </w:p>
    <w:p w14:paraId="5422FA9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265.65万元，比上年决算增加16.07万元，增长6.44%,主要原因是：本年在职人员增加，养老保险缴费较上年增加。</w:t>
      </w:r>
    </w:p>
    <w:p w14:paraId="74FE57B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3.社会保障和就业支出(类)行政事业单位养老支出(款)机关事业单位职业年金缴费支出(项):支出决算数为132.44万元，比上年决算增加7.78万元，增长6.24%,主要原因是：本年人员调出，职业年金缴费支出增加。</w:t>
      </w:r>
    </w:p>
    <w:p w14:paraId="6B9E896D">
      <w:pPr>
        <w:spacing w:line="580" w:lineRule="exact"/>
        <w:ind w:firstLine="640"/>
        <w:jc w:val="both"/>
      </w:pPr>
      <w:r>
        <w:rPr>
          <w:rFonts w:ascii="仿宋_GB2312" w:hAnsi="仿宋_GB2312" w:eastAsia="仿宋_GB2312"/>
          <w:b w:val="0"/>
          <w:sz w:val="32"/>
        </w:rPr>
        <w:t>4.社会保障和就业支出(类)抚恤(款)死亡抚恤(项):支出决算数为5.98万元，比上年决算增加5.98万元，增长100.00%,主要原因是：本年新增死亡人员，死亡抚恤支出增加。</w:t>
      </w:r>
    </w:p>
    <w:p w14:paraId="31288326">
      <w:pPr>
        <w:spacing w:line="580" w:lineRule="exact"/>
        <w:ind w:firstLine="640"/>
        <w:jc w:val="both"/>
      </w:pPr>
      <w:r>
        <w:rPr>
          <w:rFonts w:ascii="仿宋_GB2312" w:hAnsi="仿宋_GB2312" w:eastAsia="仿宋_GB2312"/>
          <w:b w:val="0"/>
          <w:sz w:val="32"/>
        </w:rPr>
        <w:t>5.卫生健康支出(类)公立医院(款)中医（民族）医院(项):支出决算数为1,704.69万元，比上年决算减少2.87万元，下降0.17%,主要原因是：本年公立医院改革项目资金较上年减少。</w:t>
      </w:r>
    </w:p>
    <w:p w14:paraId="085FF606">
      <w:pPr>
        <w:spacing w:line="580" w:lineRule="exact"/>
        <w:ind w:firstLine="640"/>
        <w:jc w:val="both"/>
      </w:pPr>
      <w:r>
        <w:rPr>
          <w:rFonts w:ascii="仿宋_GB2312" w:hAnsi="仿宋_GB2312" w:eastAsia="仿宋_GB2312"/>
          <w:b w:val="0"/>
          <w:sz w:val="32"/>
        </w:rPr>
        <w:t>6.卫生健康支出(类)公立医院(款)其他公立医院支出(项):支出决算数为52.85万元，比上年决算减少2.00万元，下降3.65%,主要原因是：本年公立医院综合改革补助资金较上年减少。</w:t>
      </w:r>
    </w:p>
    <w:p w14:paraId="28257FAE">
      <w:pPr>
        <w:spacing w:line="580" w:lineRule="exact"/>
        <w:ind w:firstLine="640"/>
        <w:jc w:val="both"/>
      </w:pPr>
      <w:r>
        <w:rPr>
          <w:rFonts w:ascii="仿宋_GB2312" w:hAnsi="仿宋_GB2312" w:eastAsia="仿宋_GB2312"/>
          <w:b w:val="0"/>
          <w:sz w:val="32"/>
        </w:rPr>
        <w:t>7.卫生健康支出(类)公共卫生(款)重大公共卫生服务(项):支出决算数为0.60万元，比上年决算增加0.00万元，增长0.00%,主要原因是：本年重大传染病防控项目资金与上年一致无变化。</w:t>
      </w:r>
    </w:p>
    <w:p w14:paraId="5A99F3B8">
      <w:pPr>
        <w:spacing w:line="580" w:lineRule="exact"/>
        <w:ind w:firstLine="640"/>
        <w:jc w:val="both"/>
      </w:pPr>
      <w:r>
        <w:rPr>
          <w:rFonts w:ascii="仿宋_GB2312" w:hAnsi="仿宋_GB2312" w:eastAsia="仿宋_GB2312"/>
          <w:b w:val="0"/>
          <w:sz w:val="32"/>
        </w:rPr>
        <w:t>8.卫生健康支出(类)公共卫生(款)其他公共卫生支出(项):支出决算数为12.67万元，比上年决算增加10.10万元，增长393.00%,主要原因是：本年全民健康体检项目资金较上年增加。</w:t>
      </w:r>
    </w:p>
    <w:p w14:paraId="74606B96">
      <w:pPr>
        <w:spacing w:line="580" w:lineRule="exact"/>
        <w:ind w:firstLine="640"/>
        <w:jc w:val="both"/>
      </w:pPr>
      <w:r>
        <w:rPr>
          <w:rFonts w:ascii="仿宋_GB2312" w:hAnsi="仿宋_GB2312" w:eastAsia="仿宋_GB2312"/>
          <w:b w:val="0"/>
          <w:sz w:val="32"/>
        </w:rPr>
        <w:t>9.卫生健康支出(类)中医药(款)中医（民族医）药专项(项):支出决算数为0.00万元，比上年决算减少150.00万元，下降100.00%,主要原因是：本年科目调整，中医（民族医）药专项项目资金由中医药(款)中医（民族医）药专项</w:t>
      </w:r>
      <w:r>
        <w:rPr>
          <w:rFonts w:hint="eastAsia" w:ascii="仿宋_GB2312" w:hAnsi="仿宋_GB2312" w:eastAsia="仿宋_GB2312"/>
          <w:b w:val="0"/>
          <w:sz w:val="32"/>
          <w:lang w:val="en-US" w:eastAsia="zh-CN"/>
        </w:rPr>
        <w:t>科目</w:t>
      </w:r>
      <w:r>
        <w:rPr>
          <w:rFonts w:ascii="仿宋_GB2312" w:hAnsi="仿宋_GB2312" w:eastAsia="仿宋_GB2312"/>
          <w:b w:val="0"/>
          <w:sz w:val="32"/>
        </w:rPr>
        <w:t>调整</w:t>
      </w:r>
      <w:r>
        <w:rPr>
          <w:rFonts w:hint="eastAsia" w:ascii="仿宋_GB2312" w:hAnsi="仿宋_GB2312" w:eastAsia="仿宋_GB2312"/>
          <w:b w:val="0"/>
          <w:sz w:val="32"/>
          <w:lang w:eastAsia="zh-CN"/>
        </w:rPr>
        <w:t>至</w:t>
      </w:r>
      <w:r>
        <w:rPr>
          <w:rFonts w:ascii="仿宋_GB2312" w:hAnsi="仿宋_GB2312" w:eastAsia="仿宋_GB2312"/>
          <w:b w:val="0"/>
          <w:sz w:val="32"/>
        </w:rPr>
        <w:t>中医药事务(款)中医（民族医）药专项</w:t>
      </w:r>
      <w:r>
        <w:rPr>
          <w:rFonts w:hint="eastAsia" w:ascii="仿宋_GB2312" w:hAnsi="仿宋_GB2312" w:eastAsia="仿宋_GB2312"/>
          <w:b w:val="0"/>
          <w:sz w:val="32"/>
          <w:lang w:val="en-US" w:eastAsia="zh-CN"/>
        </w:rPr>
        <w:t>科目</w:t>
      </w:r>
      <w:r>
        <w:rPr>
          <w:rFonts w:ascii="仿宋_GB2312" w:hAnsi="仿宋_GB2312" w:eastAsia="仿宋_GB2312"/>
          <w:b w:val="0"/>
          <w:sz w:val="32"/>
        </w:rPr>
        <w:t>列支，且项目经费减少，导致经费较上年减少。</w:t>
      </w:r>
    </w:p>
    <w:p w14:paraId="728C7B0F">
      <w:pPr>
        <w:spacing w:line="580" w:lineRule="exact"/>
        <w:ind w:firstLine="640"/>
        <w:jc w:val="both"/>
      </w:pPr>
      <w:r>
        <w:rPr>
          <w:rFonts w:ascii="仿宋_GB2312" w:hAnsi="仿宋_GB2312" w:eastAsia="仿宋_GB2312"/>
          <w:b w:val="0"/>
          <w:sz w:val="32"/>
        </w:rPr>
        <w:t>10.卫生健康支出(类)行政事业单位医疗(款)事业单位医疗(项):支出决算数为132.82万元，比上年决算减少50.20万元，下降27.43%,主要原因是：因退休人员医疗保险制度改革，退休人员基本医疗不再由单位缴纳，导致经费较上年减少。</w:t>
      </w:r>
    </w:p>
    <w:p w14:paraId="4132D376">
      <w:pPr>
        <w:spacing w:line="580" w:lineRule="exact"/>
        <w:ind w:firstLine="640"/>
        <w:jc w:val="both"/>
      </w:pPr>
      <w:r>
        <w:rPr>
          <w:rFonts w:ascii="仿宋_GB2312" w:hAnsi="仿宋_GB2312" w:eastAsia="仿宋_GB2312"/>
          <w:b w:val="0"/>
          <w:sz w:val="32"/>
        </w:rPr>
        <w:t>11.卫生健康支出(类)中医药事务(款)中医（民族医）药专项(项):支出决算数为50.00万元，比上年决算增加50.00万元，增长100.00%,主要原因是：本年科目调整，中医（民族医）药专项项目资金由中医药(款)中医（民族医）药专项</w:t>
      </w:r>
      <w:r>
        <w:rPr>
          <w:rFonts w:hint="eastAsia" w:ascii="仿宋_GB2312" w:hAnsi="仿宋_GB2312" w:eastAsia="仿宋_GB2312"/>
          <w:b w:val="0"/>
          <w:sz w:val="32"/>
          <w:lang w:val="en-US" w:eastAsia="zh-CN"/>
        </w:rPr>
        <w:t>科目</w:t>
      </w:r>
      <w:r>
        <w:rPr>
          <w:rFonts w:ascii="仿宋_GB2312" w:hAnsi="仿宋_GB2312" w:eastAsia="仿宋_GB2312"/>
          <w:b w:val="0"/>
          <w:sz w:val="32"/>
        </w:rPr>
        <w:t>调整</w:t>
      </w:r>
      <w:r>
        <w:rPr>
          <w:rFonts w:hint="eastAsia" w:ascii="仿宋_GB2312" w:hAnsi="仿宋_GB2312" w:eastAsia="仿宋_GB2312"/>
          <w:b w:val="0"/>
          <w:sz w:val="32"/>
          <w:lang w:eastAsia="zh-CN"/>
        </w:rPr>
        <w:t>至</w:t>
      </w:r>
      <w:r>
        <w:rPr>
          <w:rFonts w:ascii="仿宋_GB2312" w:hAnsi="仿宋_GB2312" w:eastAsia="仿宋_GB2312"/>
          <w:b w:val="0"/>
          <w:sz w:val="32"/>
        </w:rPr>
        <w:t>中医药事务(款)中医（民族医）药专项</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列支，导致经费较上年增加。</w:t>
      </w:r>
    </w:p>
    <w:p w14:paraId="590B51A5">
      <w:pPr>
        <w:spacing w:line="580" w:lineRule="exact"/>
        <w:ind w:firstLine="640"/>
        <w:jc w:val="both"/>
      </w:pPr>
      <w:r>
        <w:rPr>
          <w:rFonts w:ascii="仿宋_GB2312" w:hAnsi="仿宋_GB2312" w:eastAsia="仿宋_GB2312"/>
          <w:b w:val="0"/>
          <w:sz w:val="32"/>
        </w:rPr>
        <w:t>12.住房保障支出(类)住房改革支出(款)住房公积金(项):支出决算数为238.59万元，比上年决算增加22.52万元，增长10.42%,主要原因是：本年在职人员工资基数调增，公积金缴费基数上涨，相应支出增加。</w:t>
      </w:r>
    </w:p>
    <w:p w14:paraId="389E63D1">
      <w:pPr>
        <w:spacing w:line="640" w:lineRule="exact"/>
        <w:ind w:firstLine="640"/>
        <w:jc w:val="both"/>
        <w:outlineLvl w:val="2"/>
      </w:pPr>
      <w:r>
        <w:rPr>
          <w:rFonts w:ascii="黑体" w:hAnsi="黑体" w:eastAsia="黑体"/>
          <w:sz w:val="32"/>
        </w:rPr>
        <w:t>六、一般公共预算财政拨款基本支出决算情况说明</w:t>
      </w:r>
    </w:p>
    <w:p w14:paraId="6DAB6436">
      <w:pPr>
        <w:spacing w:line="580" w:lineRule="exact"/>
        <w:ind w:firstLine="640"/>
        <w:jc w:val="both"/>
      </w:pPr>
      <w:r>
        <w:rPr>
          <w:rFonts w:ascii="仿宋_GB2312" w:hAnsi="仿宋_GB2312" w:eastAsia="仿宋_GB2312"/>
          <w:b w:val="0"/>
          <w:sz w:val="32"/>
        </w:rPr>
        <w:t>2024年度一般公共预算财政拨款基本支出2,555.60万元，其中：</w:t>
      </w:r>
      <w:r>
        <w:rPr>
          <w:rFonts w:ascii="仿宋_GB2312" w:hAnsi="仿宋_GB2312" w:eastAsia="仿宋_GB2312"/>
          <w:b/>
          <w:sz w:val="32"/>
        </w:rPr>
        <w:t>人员经费2,555.60万元，</w:t>
      </w:r>
      <w:r>
        <w:rPr>
          <w:rFonts w:ascii="仿宋_GB2312" w:hAnsi="仿宋_GB2312" w:eastAsia="仿宋_GB2312"/>
          <w:b w:val="0"/>
          <w:sz w:val="32"/>
        </w:rPr>
        <w:t>包括：基本工资、津贴补贴、机关事业单位基本养老保险缴费、职业年金缴费、职工基本医疗保险缴费、住房公积金、退休费、抚恤金、生活补助。</w:t>
      </w:r>
    </w:p>
    <w:p w14:paraId="608BC4B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C7706FA">
      <w:pPr>
        <w:spacing w:line="640" w:lineRule="exact"/>
        <w:ind w:firstLine="640"/>
        <w:jc w:val="both"/>
        <w:outlineLvl w:val="2"/>
      </w:pPr>
      <w:r>
        <w:rPr>
          <w:rFonts w:ascii="黑体" w:hAnsi="黑体" w:eastAsia="黑体"/>
          <w:sz w:val="32"/>
        </w:rPr>
        <w:t>七、政府性基金预算财政拨款收入支出决算情况说明</w:t>
      </w:r>
    </w:p>
    <w:p w14:paraId="72EDC598">
      <w:pPr>
        <w:spacing w:line="580" w:lineRule="exact"/>
        <w:ind w:firstLine="640"/>
        <w:jc w:val="both"/>
      </w:pPr>
      <w:r>
        <w:rPr>
          <w:rFonts w:ascii="仿宋_GB2312" w:hAnsi="仿宋_GB2312" w:eastAsia="仿宋_GB2312"/>
          <w:b/>
          <w:sz w:val="32"/>
        </w:rPr>
        <w:t>2024年度政府性基金预算财政拨款收入总计3.90万元，</w:t>
      </w:r>
      <w:r>
        <w:rPr>
          <w:rFonts w:ascii="仿宋_GB2312" w:hAnsi="仿宋_GB2312" w:eastAsia="仿宋_GB2312"/>
          <w:b w:val="0"/>
          <w:sz w:val="32"/>
        </w:rPr>
        <w:t>其中：年初结转和结余0.00万元，本年收入3.90万元。</w:t>
      </w:r>
      <w:r>
        <w:rPr>
          <w:rFonts w:ascii="仿宋_GB2312" w:hAnsi="仿宋_GB2312" w:eastAsia="仿宋_GB2312"/>
          <w:b/>
          <w:sz w:val="32"/>
        </w:rPr>
        <w:t>政府性基金预算财政拨款支出总计3.90万元，</w:t>
      </w:r>
      <w:r>
        <w:rPr>
          <w:rFonts w:ascii="仿宋_GB2312" w:hAnsi="仿宋_GB2312" w:eastAsia="仿宋_GB2312"/>
          <w:b w:val="0"/>
          <w:sz w:val="32"/>
        </w:rPr>
        <w:t>其中：年末结转和结余0.00万元，本年支出3.90万元。</w:t>
      </w:r>
    </w:p>
    <w:p w14:paraId="3702FC6E">
      <w:pPr>
        <w:spacing w:line="580" w:lineRule="exact"/>
        <w:ind w:firstLine="640"/>
        <w:jc w:val="both"/>
      </w:pPr>
      <w:r>
        <w:rPr>
          <w:rFonts w:ascii="仿宋_GB2312" w:hAnsi="仿宋_GB2312" w:eastAsia="仿宋_GB2312"/>
          <w:b/>
          <w:sz w:val="32"/>
        </w:rPr>
        <w:t>政府性基金预算财政拨款收入支出</w:t>
      </w:r>
      <w:bookmarkStart w:id="0" w:name="_GoBack"/>
      <w:bookmarkEnd w:id="0"/>
      <w:r>
        <w:rPr>
          <w:rFonts w:ascii="仿宋_GB2312" w:hAnsi="仿宋_GB2312" w:eastAsia="仿宋_GB2312"/>
          <w:b/>
          <w:sz w:val="32"/>
        </w:rPr>
        <w:t>总体与上年相比，</w:t>
      </w:r>
      <w:r>
        <w:rPr>
          <w:rFonts w:ascii="仿宋_GB2312" w:hAnsi="仿宋_GB2312" w:eastAsia="仿宋_GB2312"/>
          <w:b w:val="0"/>
          <w:sz w:val="32"/>
        </w:rPr>
        <w:t>增加3.90万元，增长100.00%，主要原因是：本年新增城乡医疗救助的彩票公益金项目。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年初预算数0.00万元，决算数3.90万元，预决算差异率100.00%，主要原因是：年中追加城乡医疗救助的彩票公益金项目，导致预决算存在差异。</w:t>
      </w:r>
    </w:p>
    <w:p w14:paraId="0A6115E6">
      <w:pPr>
        <w:spacing w:line="580" w:lineRule="exact"/>
        <w:ind w:firstLine="640"/>
        <w:jc w:val="both"/>
      </w:pPr>
      <w:r>
        <w:rPr>
          <w:rFonts w:ascii="仿宋_GB2312" w:hAnsi="仿宋_GB2312" w:eastAsia="仿宋_GB2312"/>
          <w:b w:val="0"/>
          <w:sz w:val="32"/>
        </w:rPr>
        <w:t>政府性基金预算财政拨款支出3.90万元。</w:t>
      </w:r>
    </w:p>
    <w:p w14:paraId="004AA52B">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1.其他支出(类)彩票公益金安排的支出(款)用于城乡医疗救助的彩票公益金支出(项):支出决算数为3.90万元，比上年决算增加3.90万元，增长100.00%,主要原因是：本年新增城乡医疗救助的彩票公益金项目。</w:t>
      </w:r>
    </w:p>
    <w:p w14:paraId="67B528B1">
      <w:pPr>
        <w:spacing w:line="640" w:lineRule="exact"/>
        <w:ind w:firstLine="640"/>
        <w:jc w:val="both"/>
        <w:outlineLvl w:val="2"/>
      </w:pPr>
      <w:r>
        <w:rPr>
          <w:rFonts w:ascii="黑体" w:hAnsi="黑体" w:eastAsia="黑体"/>
          <w:sz w:val="32"/>
        </w:rPr>
        <w:t>八、国有资本经营预算财政拨款收入支出决算情况说明</w:t>
      </w:r>
    </w:p>
    <w:p w14:paraId="6A14E27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4B7B1E1">
      <w:pPr>
        <w:spacing w:line="640" w:lineRule="exact"/>
        <w:ind w:firstLine="640"/>
        <w:jc w:val="both"/>
        <w:outlineLvl w:val="2"/>
      </w:pPr>
      <w:r>
        <w:rPr>
          <w:rFonts w:ascii="黑体" w:hAnsi="黑体" w:eastAsia="黑体"/>
          <w:sz w:val="32"/>
        </w:rPr>
        <w:t>九、财政拨款“三公”经费支出决算情况说明</w:t>
      </w:r>
    </w:p>
    <w:p w14:paraId="26BDC11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9A4082B">
      <w:pPr>
        <w:spacing w:line="580" w:lineRule="exact"/>
        <w:ind w:firstLine="640"/>
        <w:jc w:val="both"/>
      </w:pPr>
      <w:r>
        <w:rPr>
          <w:rFonts w:ascii="仿宋_GB2312" w:hAnsi="仿宋_GB2312" w:eastAsia="仿宋_GB2312"/>
          <w:b/>
          <w:sz w:val="32"/>
        </w:rPr>
        <w:t>具体情况如下：</w:t>
      </w:r>
    </w:p>
    <w:p w14:paraId="1F6CC0C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D8337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9辆，与公务用车保有量差异原因是：差异车辆为医院救护车，预算未安排公务用车运行维护费。</w:t>
      </w:r>
    </w:p>
    <w:p w14:paraId="1C29744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EACC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8B1E3C">
      <w:pPr>
        <w:spacing w:line="640" w:lineRule="exact"/>
        <w:ind w:firstLine="640"/>
        <w:jc w:val="both"/>
        <w:outlineLvl w:val="2"/>
      </w:pPr>
      <w:r>
        <w:rPr>
          <w:rFonts w:ascii="黑体" w:hAnsi="黑体" w:eastAsia="黑体"/>
          <w:sz w:val="32"/>
        </w:rPr>
        <w:t>十、其他重要事项的情况说明</w:t>
      </w:r>
    </w:p>
    <w:p w14:paraId="0E83DBC1">
      <w:pPr>
        <w:spacing w:line="640" w:lineRule="exact"/>
        <w:ind w:firstLine="640"/>
        <w:jc w:val="both"/>
        <w:outlineLvl w:val="3"/>
      </w:pPr>
      <w:r>
        <w:rPr>
          <w:rFonts w:ascii="楷体_GB2312" w:hAnsi="楷体_GB2312" w:eastAsia="楷体_GB2312"/>
          <w:b/>
          <w:sz w:val="32"/>
        </w:rPr>
        <w:t>（一）机关运行经费及公用经费支出情况</w:t>
      </w:r>
    </w:p>
    <w:p w14:paraId="3084FE23">
      <w:pPr>
        <w:spacing w:line="580" w:lineRule="exact"/>
        <w:ind w:firstLine="640"/>
        <w:jc w:val="both"/>
      </w:pPr>
      <w:r>
        <w:rPr>
          <w:rFonts w:ascii="仿宋_GB2312" w:hAnsi="仿宋_GB2312" w:eastAsia="仿宋_GB2312"/>
          <w:b w:val="0"/>
          <w:sz w:val="32"/>
        </w:rPr>
        <w:t>2024年度霍城县中医医院（事业单位）公用经费支出0.00万元，比上年增加0.00万元，增长0.00%，主要原因是：2023年与2024年均未安排公用经费支出。</w:t>
      </w:r>
    </w:p>
    <w:p w14:paraId="41CDE29A">
      <w:pPr>
        <w:spacing w:line="640" w:lineRule="exact"/>
        <w:ind w:firstLine="640"/>
        <w:jc w:val="both"/>
        <w:outlineLvl w:val="3"/>
      </w:pPr>
      <w:r>
        <w:rPr>
          <w:rFonts w:ascii="楷体_GB2312" w:hAnsi="楷体_GB2312" w:eastAsia="楷体_GB2312"/>
          <w:b/>
          <w:sz w:val="32"/>
        </w:rPr>
        <w:t>（二）政府采购情况</w:t>
      </w:r>
    </w:p>
    <w:p w14:paraId="628FB87E">
      <w:pPr>
        <w:spacing w:line="580" w:lineRule="exact"/>
        <w:ind w:firstLine="640"/>
        <w:jc w:val="both"/>
      </w:pPr>
      <w:r>
        <w:rPr>
          <w:rFonts w:ascii="仿宋_GB2312" w:hAnsi="仿宋_GB2312" w:eastAsia="仿宋_GB2312"/>
          <w:b w:val="0"/>
          <w:sz w:val="32"/>
        </w:rPr>
        <w:t>2024年度政府采购支出总额1,140.30万元，其中：政府采购货物支出244.78万元、政府采购工程支出571.28万元、政府采购服务支出324.24万元。</w:t>
      </w:r>
    </w:p>
    <w:p w14:paraId="385419A0">
      <w:pPr>
        <w:spacing w:line="580" w:lineRule="exact"/>
        <w:ind w:firstLine="640"/>
        <w:jc w:val="both"/>
      </w:pPr>
      <w:r>
        <w:rPr>
          <w:rFonts w:ascii="仿宋_GB2312" w:hAnsi="仿宋_GB2312" w:eastAsia="仿宋_GB2312"/>
          <w:b w:val="0"/>
          <w:sz w:val="32"/>
        </w:rPr>
        <w:t>授予中小企业合同金额1,129.65万元，占政府采购支出总额的99.07%，其中：授予小微企业合同金额1,053.48万元，占政府采购支出总额的92.39%。</w:t>
      </w:r>
    </w:p>
    <w:p w14:paraId="42A52444">
      <w:pPr>
        <w:spacing w:line="640" w:lineRule="exact"/>
        <w:ind w:firstLine="640"/>
        <w:jc w:val="both"/>
        <w:outlineLvl w:val="3"/>
      </w:pPr>
      <w:r>
        <w:rPr>
          <w:rFonts w:ascii="楷体_GB2312" w:hAnsi="楷体_GB2312" w:eastAsia="楷体_GB2312"/>
          <w:b/>
          <w:sz w:val="32"/>
        </w:rPr>
        <w:t>（三）国有资产占用情况说明</w:t>
      </w:r>
    </w:p>
    <w:p w14:paraId="272931D4">
      <w:pPr>
        <w:spacing w:line="580" w:lineRule="exact"/>
        <w:ind w:firstLine="640"/>
        <w:jc w:val="both"/>
      </w:pPr>
      <w:r>
        <w:rPr>
          <w:rFonts w:ascii="仿宋_GB2312" w:hAnsi="仿宋_GB2312" w:eastAsia="仿宋_GB2312"/>
          <w:b w:val="0"/>
          <w:sz w:val="32"/>
        </w:rPr>
        <w:t>截至2024年12月31日，房屋32,358.19平方米，价值7,831.37万元。车辆9辆，价值209.26万元，其中：副部（省）级及以上领导用车0辆、主要负责人用车0辆、机要通信用车0辆、应急保障用车0辆、执法执勤用车0辆、特种专业技术用车0辆、离退休干部服务用车0辆、其他用车9辆，其他用车主要是：均为医院救护车。单价100万元（含）以上设备（不含车辆）17台（套）。</w:t>
      </w:r>
    </w:p>
    <w:p w14:paraId="5C332F44">
      <w:pPr>
        <w:spacing w:line="640" w:lineRule="exact"/>
        <w:ind w:firstLine="640"/>
        <w:jc w:val="both"/>
        <w:outlineLvl w:val="2"/>
      </w:pPr>
      <w:r>
        <w:rPr>
          <w:rFonts w:ascii="黑体" w:hAnsi="黑体" w:eastAsia="黑体"/>
          <w:sz w:val="32"/>
        </w:rPr>
        <w:t>十一、预算绩效的情况说明</w:t>
      </w:r>
    </w:p>
    <w:p w14:paraId="112EBD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15,326.16万元，实际执行总额14,963.75万元；预算绩效评价项目1个，全年预算数12,645.54万元，全年执行数12,283.14万元。预算绩效管理取得的成效：一是预算绩效管理制度逐步建立，组织机构不断健全，增强了预算绩效管理的工作保障</w:t>
      </w:r>
      <w:r>
        <w:rPr>
          <w:rFonts w:hint="eastAsia" w:ascii="仿宋_GB2312" w:hAnsi="仿宋_GB2312" w:eastAsia="仿宋_GB2312"/>
          <w:b w:val="0"/>
          <w:sz w:val="32"/>
          <w:lang w:eastAsia="zh-CN"/>
        </w:rPr>
        <w:t>；</w:t>
      </w:r>
      <w:r>
        <w:rPr>
          <w:rFonts w:ascii="仿宋_GB2312" w:hAnsi="仿宋_GB2312" w:eastAsia="仿宋_GB2312"/>
          <w:b w:val="0"/>
          <w:sz w:val="32"/>
        </w:rPr>
        <w:t>二是绩效目标管理日益加强，绩效评价范围不断扩大，促进了财政资金使用效益的提高。发现的问题及原因：一是缺乏学科领军人才。随着百姓对就医需求的提升，学科建设由范围广转为业务精，在专科建设上，因各项环境因素的制约，缺乏专科的学科领学人才，存在自身培养难度大、引进难度更大的困难；二是专业技术人员数量不足。按照医院等级评审标准，专业技术人员缺口较大，加之各项公共卫生任务叠加，专业技术人员流失严重，导致出现人才断流现象。下一步改进措施：一是向“强西医、精中医”发展方向，多措并举，不断强化“西学中”方案的落实力度，加强中医理论人才引进及培养；二是示范引领带动，发挥好西片区医疗核心医院作用。进一步加强工作指导与督导检查，对卫生院管理、医疗、护理质量、院感、药事管理、新农合、乡村一体化、每季度进行一次全面的督导、检查，有效提高卫生院的整体管理水平；三是加大培训指导力度。建议财政部门加强对单位具体负责人的培训和指导，提升相关工作人员的专业性，使其更好地开展绩效监控工作。具体附整体支出绩效自评表，项目支出绩效自评表和评价报告。</w:t>
      </w:r>
    </w:p>
    <w:p w14:paraId="7FBED18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5366205">
        <w:tblPrEx>
          <w:tblCellMar>
            <w:top w:w="0" w:type="dxa"/>
            <w:left w:w="108" w:type="dxa"/>
            <w:bottom w:w="0" w:type="dxa"/>
            <w:right w:w="108" w:type="dxa"/>
          </w:tblCellMar>
        </w:tblPrEx>
        <w:tc>
          <w:tcPr>
            <w:tcW w:w="8840" w:type="dxa"/>
            <w:gridSpan w:val="8"/>
            <w:vAlign w:val="center"/>
          </w:tcPr>
          <w:p w14:paraId="6945B76D">
            <w:pPr>
              <w:jc w:val="center"/>
            </w:pPr>
            <w:r>
              <w:rPr>
                <w:rFonts w:ascii="宋体" w:hAnsi="宋体" w:eastAsia="宋体"/>
                <w:sz w:val="24"/>
              </w:rPr>
              <w:t>单位整体支出绩效自评表</w:t>
            </w:r>
          </w:p>
        </w:tc>
      </w:tr>
      <w:tr w14:paraId="4D525130">
        <w:tblPrEx>
          <w:tblCellMar>
            <w:top w:w="0" w:type="dxa"/>
            <w:left w:w="108" w:type="dxa"/>
            <w:bottom w:w="0" w:type="dxa"/>
            <w:right w:w="108" w:type="dxa"/>
          </w:tblCellMar>
        </w:tblPrEx>
        <w:tc>
          <w:tcPr>
            <w:tcW w:w="8840" w:type="dxa"/>
            <w:gridSpan w:val="8"/>
            <w:vAlign w:val="center"/>
          </w:tcPr>
          <w:p w14:paraId="0E94DC35">
            <w:pPr>
              <w:jc w:val="center"/>
            </w:pPr>
            <w:r>
              <w:rPr>
                <w:rFonts w:ascii="宋体" w:hAnsi="宋体" w:eastAsia="宋体"/>
                <w:sz w:val="24"/>
              </w:rPr>
              <w:t>（2024年度）</w:t>
            </w:r>
          </w:p>
        </w:tc>
      </w:tr>
      <w:tr w14:paraId="48BDDF4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7EF7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67C78">
            <w:pPr>
              <w:jc w:val="center"/>
            </w:pPr>
            <w:r>
              <w:rPr>
                <w:rFonts w:ascii="宋体" w:hAnsi="宋体" w:eastAsia="宋体"/>
                <w:sz w:val="16"/>
              </w:rPr>
              <w:t>霍城县中医医院</w:t>
            </w:r>
          </w:p>
        </w:tc>
      </w:tr>
      <w:tr w14:paraId="4D9DFA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E690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9CCA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3B19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53AF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C781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3B4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769A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3F3D9">
            <w:pPr>
              <w:jc w:val="center"/>
            </w:pPr>
            <w:r>
              <w:rPr>
                <w:rFonts w:ascii="宋体" w:hAnsi="宋体" w:eastAsia="宋体"/>
                <w:sz w:val="16"/>
              </w:rPr>
              <w:t>得分</w:t>
            </w:r>
          </w:p>
        </w:tc>
      </w:tr>
      <w:tr w14:paraId="7D1F64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175E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5FAD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D48EE">
            <w:pPr>
              <w:jc w:val="center"/>
            </w:pPr>
            <w:r>
              <w:rPr>
                <w:rFonts w:ascii="宋体" w:hAnsi="宋体" w:eastAsia="宋体"/>
                <w:sz w:val="16"/>
              </w:rPr>
              <w:t>11,065.07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090E3">
            <w:pPr>
              <w:jc w:val="center"/>
            </w:pPr>
            <w:r>
              <w:rPr>
                <w:rFonts w:ascii="宋体" w:hAnsi="宋体" w:eastAsia="宋体"/>
                <w:sz w:val="16"/>
              </w:rPr>
              <w:t>15,326.16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B0198">
            <w:pPr>
              <w:jc w:val="center"/>
            </w:pPr>
            <w:r>
              <w:rPr>
                <w:rFonts w:ascii="宋体" w:hAnsi="宋体" w:eastAsia="宋体"/>
                <w:sz w:val="16"/>
              </w:rPr>
              <w:t>14,963.75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1E15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49480">
            <w:pPr>
              <w:jc w:val="center"/>
            </w:pPr>
            <w:r>
              <w:rPr>
                <w:rFonts w:ascii="宋体" w:hAnsi="宋体" w:eastAsia="宋体"/>
                <w:sz w:val="16"/>
              </w:rPr>
              <w:t>97.64%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B9952">
            <w:pPr>
              <w:jc w:val="center"/>
            </w:pPr>
            <w:r>
              <w:rPr>
                <w:rFonts w:ascii="宋体" w:hAnsi="宋体" w:eastAsia="宋体"/>
                <w:sz w:val="16"/>
              </w:rPr>
              <w:t>9.76</w:t>
            </w:r>
          </w:p>
        </w:tc>
      </w:tr>
      <w:tr w14:paraId="657C34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349D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04C4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522C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631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A7AB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5FAA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9E4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A0BFE">
            <w:pPr>
              <w:jc w:val="center"/>
            </w:pPr>
            <w:r>
              <w:rPr>
                <w:rFonts w:ascii="宋体" w:hAnsi="宋体" w:eastAsia="宋体"/>
                <w:sz w:val="16"/>
              </w:rPr>
              <w:t>-</w:t>
            </w:r>
          </w:p>
        </w:tc>
      </w:tr>
      <w:tr w14:paraId="540CD2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3D24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0F58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BEB9A">
            <w:pPr>
              <w:jc w:val="center"/>
            </w:pPr>
            <w:r>
              <w:rPr>
                <w:rFonts w:ascii="宋体" w:hAnsi="宋体" w:eastAsia="宋体"/>
                <w:sz w:val="16"/>
              </w:rPr>
              <w:t>2,436.05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87D18">
            <w:pPr>
              <w:jc w:val="center"/>
            </w:pPr>
            <w:r>
              <w:rPr>
                <w:rFonts w:ascii="宋体" w:hAnsi="宋体" w:eastAsia="宋体"/>
                <w:sz w:val="16"/>
              </w:rPr>
              <w:t>2,680.62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BF676">
            <w:pPr>
              <w:jc w:val="center"/>
            </w:pPr>
            <w:r>
              <w:rPr>
                <w:rFonts w:ascii="宋体" w:hAnsi="宋体" w:eastAsia="宋体"/>
                <w:sz w:val="16"/>
              </w:rPr>
              <w:t>2,680.62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059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96B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4ABC5">
            <w:pPr>
              <w:jc w:val="center"/>
            </w:pPr>
            <w:r>
              <w:rPr>
                <w:rFonts w:ascii="宋体" w:hAnsi="宋体" w:eastAsia="宋体"/>
                <w:sz w:val="16"/>
              </w:rPr>
              <w:t>-</w:t>
            </w:r>
          </w:p>
        </w:tc>
      </w:tr>
      <w:tr w14:paraId="016429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E5A8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037F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67BB5">
            <w:pPr>
              <w:jc w:val="center"/>
            </w:pPr>
            <w:r>
              <w:rPr>
                <w:rFonts w:ascii="宋体" w:hAnsi="宋体" w:eastAsia="宋体"/>
                <w:sz w:val="16"/>
              </w:rPr>
              <w:t>8,629.02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428C6">
            <w:pPr>
              <w:jc w:val="center"/>
            </w:pPr>
            <w:r>
              <w:rPr>
                <w:rFonts w:ascii="宋体" w:hAnsi="宋体" w:eastAsia="宋体"/>
                <w:sz w:val="16"/>
              </w:rPr>
              <w:t>12,645.54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2F5FE">
            <w:pPr>
              <w:jc w:val="center"/>
            </w:pPr>
            <w:r>
              <w:rPr>
                <w:rFonts w:ascii="宋体" w:hAnsi="宋体" w:eastAsia="宋体"/>
                <w:sz w:val="16"/>
              </w:rPr>
              <w:t>12,283.13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673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8D3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92E3D">
            <w:pPr>
              <w:jc w:val="center"/>
            </w:pPr>
            <w:r>
              <w:rPr>
                <w:rFonts w:ascii="宋体" w:hAnsi="宋体" w:eastAsia="宋体"/>
                <w:sz w:val="16"/>
              </w:rPr>
              <w:t>-</w:t>
            </w:r>
          </w:p>
        </w:tc>
      </w:tr>
      <w:tr w14:paraId="518C4C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C568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06940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2687D8">
            <w:pPr>
              <w:jc w:val="center"/>
            </w:pPr>
            <w:r>
              <w:rPr>
                <w:rFonts w:ascii="宋体" w:hAnsi="宋体" w:eastAsia="宋体"/>
                <w:sz w:val="16"/>
              </w:rPr>
              <w:t>实际完成情况</w:t>
            </w:r>
          </w:p>
        </w:tc>
      </w:tr>
      <w:tr w14:paraId="79AC4F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26F7E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5E3A61">
            <w:pPr>
              <w:jc w:val="both"/>
            </w:pPr>
            <w:r>
              <w:rPr>
                <w:rFonts w:ascii="宋体" w:hAnsi="宋体" w:eastAsia="宋体"/>
                <w:sz w:val="16"/>
              </w:rPr>
              <w:t>加强医院综合能力建设，提高县域内就诊率，提升</w:t>
            </w:r>
            <w:r>
              <w:rPr>
                <w:rFonts w:hint="eastAsia" w:ascii="宋体" w:hAnsi="宋体"/>
                <w:sz w:val="16"/>
                <w:lang w:eastAsia="zh-CN"/>
              </w:rPr>
              <w:t>医疗卫生服务体系</w:t>
            </w:r>
            <w:r>
              <w:rPr>
                <w:rFonts w:ascii="宋体" w:hAnsi="宋体" w:eastAsia="宋体"/>
                <w:sz w:val="16"/>
              </w:rPr>
              <w:t>服务水平。加强特色专科建设，提升中医诊疗水平；进一步加大对我院科室建设、诊疗技术、装备、医师职业技术提升等方面的投入，积极与自治区、州级医院建立专科联盟，以专家带教，实时临床远程诊疗、临床实训、培训等方式，带动重点专科、全科医学带头人，提升医疗技术水平，加快医院高素质人才梯队建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5588B0">
            <w:pPr>
              <w:jc w:val="both"/>
            </w:pPr>
            <w:r>
              <w:rPr>
                <w:rFonts w:hint="eastAsia" w:ascii="宋体" w:hAnsi="宋体"/>
                <w:sz w:val="16"/>
                <w:lang w:eastAsia="zh-CN"/>
              </w:rPr>
              <w:t>1.</w:t>
            </w:r>
            <w:r>
              <w:rPr>
                <w:rFonts w:ascii="宋体" w:hAnsi="宋体" w:eastAsia="宋体"/>
                <w:sz w:val="16"/>
              </w:rPr>
              <w:t>开展覆盖各个专业的中医专病专科门诊服务，提高诊察、治疗类医疗服务项目的比例，充分体现医务人员技术劳务价值，全年门诊诊疗215056人次，比上年增长35%；2、落实医疗核心管理制度，注重医疗质量提升，强化业务培训，全年培训达到2326人次；3、坚持合理检查、合理治疗、合理用药，中医临床路径管理的病种数达49种；4、加强特色专科建设，提升中医诊疗水平，中医非药物治疗参与率达96.73%；5、进一步加大对我院科室建设、诊疗技术、装备、医师职业技术提升等方面的投入，积极与自治区、州级医院建立专科联盟，以专家带教，实时临床远程会诊诊疗17人次，带动重点专科、全科医学带头人，提升医疗技术水平，加快医院高素质人才梯队建设，医院中医类别执业（助理）医师数占公立医院执业（助理）医师总数的比例达到61.1%，医院卫生技术人员中专科及以上学历达到87.75%。</w:t>
            </w:r>
          </w:p>
        </w:tc>
      </w:tr>
      <w:tr w14:paraId="7CDDC6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A3F0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0BF8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0183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299F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F859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648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23E0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8E9F4">
            <w:pPr>
              <w:jc w:val="center"/>
            </w:pPr>
            <w:r>
              <w:rPr>
                <w:rFonts w:ascii="宋体" w:hAnsi="宋体" w:eastAsia="宋体"/>
                <w:sz w:val="16"/>
              </w:rPr>
              <w:t>得分</w:t>
            </w:r>
          </w:p>
        </w:tc>
      </w:tr>
      <w:tr w14:paraId="387223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E9C1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F1BB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152DB">
            <w:pPr>
              <w:jc w:val="center"/>
            </w:pPr>
            <w:r>
              <w:rPr>
                <w:rFonts w:ascii="宋体" w:hAnsi="宋体" w:eastAsia="宋体"/>
                <w:sz w:val="16"/>
              </w:rPr>
              <w:t>中医类别执业（助理）医师数占公立医院执业（助理）医师总数的比例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6E7A5">
            <w:pPr>
              <w:jc w:val="center"/>
            </w:pPr>
            <w:r>
              <w:rPr>
                <w:rFonts w:ascii="宋体" w:hAnsi="宋体" w:eastAsia="宋体"/>
                <w:sz w:val="16"/>
              </w:rPr>
              <w:t>&gt;=60%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9E78E">
            <w:pPr>
              <w:jc w:val="center"/>
            </w:pPr>
            <w:r>
              <w:rPr>
                <w:rFonts w:ascii="宋体" w:hAnsi="宋体" w:eastAsia="宋体"/>
                <w:sz w:val="16"/>
              </w:rPr>
              <w:t>三级中医医院评审标准实施细则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B054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FE14B">
            <w:pPr>
              <w:jc w:val="center"/>
            </w:pPr>
            <w:r>
              <w:rPr>
                <w:rFonts w:ascii="宋体" w:hAnsi="宋体" w:eastAsia="宋体"/>
                <w:sz w:val="16"/>
              </w:rPr>
              <w:t>61.1%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19B98">
            <w:pPr>
              <w:jc w:val="center"/>
            </w:pPr>
            <w:r>
              <w:rPr>
                <w:rFonts w:ascii="宋体" w:hAnsi="宋体" w:eastAsia="宋体"/>
                <w:sz w:val="16"/>
              </w:rPr>
              <w:t>15</w:t>
            </w:r>
          </w:p>
        </w:tc>
      </w:tr>
      <w:tr w14:paraId="58ECA8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DBF8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5BD5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9E915">
            <w:pPr>
              <w:jc w:val="center"/>
            </w:pPr>
            <w:r>
              <w:rPr>
                <w:rFonts w:ascii="宋体" w:hAnsi="宋体" w:eastAsia="宋体"/>
                <w:sz w:val="16"/>
              </w:rPr>
              <w:t>院内业务培训人数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E12C9">
            <w:pPr>
              <w:jc w:val="center"/>
            </w:pPr>
            <w:r>
              <w:rPr>
                <w:rFonts w:ascii="宋体" w:hAnsi="宋体" w:eastAsia="宋体"/>
                <w:sz w:val="16"/>
              </w:rPr>
              <w:t>&gt;=2200人次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08FFC">
            <w:pPr>
              <w:jc w:val="center"/>
            </w:pPr>
            <w:r>
              <w:rPr>
                <w:rFonts w:ascii="宋体" w:hAnsi="宋体" w:eastAsia="宋体"/>
                <w:sz w:val="16"/>
              </w:rPr>
              <w:t>霍城县国民经济和社会发展第十四个五年规划纲要与2035年远景目标、医院培训计划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C1CA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42AC4">
            <w:pPr>
              <w:jc w:val="center"/>
            </w:pPr>
            <w:r>
              <w:rPr>
                <w:rFonts w:ascii="宋体" w:hAnsi="宋体" w:eastAsia="宋体"/>
                <w:sz w:val="16"/>
              </w:rPr>
              <w:t>2326人次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3E7B3">
            <w:pPr>
              <w:jc w:val="center"/>
            </w:pPr>
            <w:r>
              <w:rPr>
                <w:rFonts w:ascii="宋体" w:hAnsi="宋体" w:eastAsia="宋体"/>
                <w:sz w:val="16"/>
              </w:rPr>
              <w:t>15</w:t>
            </w:r>
          </w:p>
        </w:tc>
      </w:tr>
      <w:tr w14:paraId="6E3EA7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9FC80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FFA5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89EC9">
            <w:pPr>
              <w:jc w:val="center"/>
            </w:pPr>
            <w:r>
              <w:rPr>
                <w:rFonts w:ascii="宋体" w:hAnsi="宋体" w:eastAsia="宋体"/>
                <w:sz w:val="16"/>
              </w:rPr>
              <w:t>医院卫生</w:t>
            </w:r>
            <w:r>
              <w:rPr>
                <w:rFonts w:hint="eastAsia" w:ascii="宋体" w:hAnsi="宋体"/>
                <w:sz w:val="16"/>
                <w:lang w:eastAsia="zh-CN"/>
              </w:rPr>
              <w:t>技术人员</w:t>
            </w:r>
            <w:r>
              <w:rPr>
                <w:rFonts w:ascii="宋体" w:hAnsi="宋体" w:eastAsia="宋体"/>
                <w:sz w:val="16"/>
              </w:rPr>
              <w:t>专科及以上学历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2446B">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EC8CB">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5272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F2932">
            <w:pPr>
              <w:jc w:val="center"/>
            </w:pPr>
            <w:r>
              <w:rPr>
                <w:rFonts w:ascii="宋体" w:hAnsi="宋体" w:eastAsia="宋体"/>
                <w:sz w:val="16"/>
              </w:rPr>
              <w:t>87.75%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16921">
            <w:pPr>
              <w:jc w:val="center"/>
            </w:pPr>
            <w:r>
              <w:rPr>
                <w:rFonts w:ascii="宋体" w:hAnsi="宋体" w:eastAsia="宋体"/>
                <w:sz w:val="16"/>
              </w:rPr>
              <w:t>15</w:t>
            </w:r>
          </w:p>
        </w:tc>
      </w:tr>
      <w:tr w14:paraId="4C7A4E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26F0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586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EAB89">
            <w:pPr>
              <w:jc w:val="center"/>
            </w:pPr>
            <w:r>
              <w:rPr>
                <w:rFonts w:ascii="宋体" w:hAnsi="宋体" w:eastAsia="宋体"/>
                <w:sz w:val="16"/>
              </w:rPr>
              <w:t>中医临床重点专科建设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43B1D">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24B2F">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DFB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C0FA5">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259BA">
            <w:pPr>
              <w:jc w:val="center"/>
            </w:pPr>
            <w:r>
              <w:rPr>
                <w:rFonts w:ascii="宋体" w:hAnsi="宋体" w:eastAsia="宋体"/>
                <w:sz w:val="16"/>
              </w:rPr>
              <w:t>10</w:t>
            </w:r>
          </w:p>
        </w:tc>
      </w:tr>
      <w:tr w14:paraId="3C2CA7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E377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F2BC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6E6B6">
            <w:pPr>
              <w:jc w:val="center"/>
            </w:pPr>
            <w:r>
              <w:rPr>
                <w:rFonts w:ascii="宋体" w:hAnsi="宋体" w:eastAsia="宋体"/>
                <w:sz w:val="16"/>
              </w:rPr>
              <w:t>临床远程诊疗会诊人次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96902">
            <w:pPr>
              <w:jc w:val="center"/>
            </w:pPr>
            <w:r>
              <w:rPr>
                <w:rFonts w:ascii="宋体" w:hAnsi="宋体" w:eastAsia="宋体"/>
                <w:sz w:val="16"/>
              </w:rPr>
              <w:t>&gt;=15人次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79BC6">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4CEA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59D04">
            <w:pPr>
              <w:jc w:val="center"/>
            </w:pPr>
            <w:r>
              <w:rPr>
                <w:rFonts w:ascii="宋体" w:hAnsi="宋体" w:eastAsia="宋体"/>
                <w:sz w:val="16"/>
              </w:rPr>
              <w:t>17人次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BBBF2">
            <w:pPr>
              <w:jc w:val="center"/>
            </w:pPr>
            <w:r>
              <w:rPr>
                <w:rFonts w:ascii="宋体" w:hAnsi="宋体" w:eastAsia="宋体"/>
                <w:sz w:val="16"/>
              </w:rPr>
              <w:t>10</w:t>
            </w:r>
          </w:p>
        </w:tc>
      </w:tr>
      <w:tr w14:paraId="2C6D08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FFF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353C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2DD07">
            <w:pPr>
              <w:jc w:val="center"/>
            </w:pPr>
            <w:r>
              <w:rPr>
                <w:rFonts w:ascii="宋体" w:hAnsi="宋体" w:eastAsia="宋体"/>
                <w:sz w:val="16"/>
              </w:rPr>
              <w:t>中医临床路径管理的病种数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2CB82">
            <w:pPr>
              <w:jc w:val="center"/>
            </w:pPr>
            <w:r>
              <w:rPr>
                <w:rFonts w:ascii="宋体" w:hAnsi="宋体" w:eastAsia="宋体"/>
                <w:sz w:val="16"/>
              </w:rPr>
              <w:t>&gt;=30种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3B658">
            <w:pPr>
              <w:jc w:val="center"/>
            </w:pPr>
            <w:r>
              <w:rPr>
                <w:rFonts w:ascii="宋体" w:hAnsi="宋体" w:eastAsia="宋体"/>
                <w:sz w:val="16"/>
              </w:rPr>
              <w:t>三级中医医院评审标准实施细则、医院规定《临床科室医疗质量考核细则》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F70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58AF9">
            <w:pPr>
              <w:jc w:val="center"/>
            </w:pPr>
            <w:r>
              <w:rPr>
                <w:rFonts w:ascii="宋体" w:hAnsi="宋体" w:eastAsia="宋体"/>
                <w:sz w:val="16"/>
              </w:rPr>
              <w:t>49种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77BF1">
            <w:pPr>
              <w:jc w:val="center"/>
            </w:pPr>
            <w:r>
              <w:rPr>
                <w:rFonts w:ascii="宋体" w:hAnsi="宋体" w:eastAsia="宋体"/>
                <w:sz w:val="16"/>
              </w:rPr>
              <w:t>10</w:t>
            </w:r>
          </w:p>
        </w:tc>
      </w:tr>
      <w:tr w14:paraId="41986E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784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B65F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DB595">
            <w:pPr>
              <w:jc w:val="center"/>
            </w:pPr>
            <w:r>
              <w:rPr>
                <w:rFonts w:ascii="宋体" w:hAnsi="宋体" w:eastAsia="宋体"/>
                <w:sz w:val="16"/>
              </w:rPr>
              <w:t>中医非药物治疗参与率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D23F3">
            <w:pPr>
              <w:jc w:val="center"/>
            </w:pPr>
            <w:r>
              <w:rPr>
                <w:rFonts w:ascii="宋体" w:hAnsi="宋体" w:eastAsia="宋体"/>
                <w:sz w:val="16"/>
              </w:rPr>
              <w:t>&gt;=60%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A4350">
            <w:pPr>
              <w:jc w:val="center"/>
            </w:pPr>
            <w:r>
              <w:rPr>
                <w:rFonts w:ascii="宋体" w:hAnsi="宋体" w:eastAsia="宋体"/>
                <w:sz w:val="16"/>
              </w:rPr>
              <w:t>国家二级公立中医医院绩效考核指标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BE38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04AAA">
            <w:pPr>
              <w:jc w:val="center"/>
            </w:pPr>
            <w:r>
              <w:rPr>
                <w:rFonts w:ascii="宋体" w:hAnsi="宋体" w:eastAsia="宋体"/>
                <w:sz w:val="16"/>
              </w:rPr>
              <w:t>96.73%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E4FDD">
            <w:pPr>
              <w:jc w:val="center"/>
            </w:pPr>
            <w:r>
              <w:rPr>
                <w:rFonts w:ascii="宋体" w:hAnsi="宋体" w:eastAsia="宋体"/>
                <w:sz w:val="16"/>
              </w:rPr>
              <w:t>15</w:t>
            </w:r>
          </w:p>
        </w:tc>
      </w:tr>
    </w:tbl>
    <w:p w14:paraId="397DE059">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607"/>
        <w:gridCol w:w="587"/>
        <w:gridCol w:w="1016"/>
        <w:gridCol w:w="856"/>
        <w:gridCol w:w="776"/>
        <w:gridCol w:w="607"/>
        <w:gridCol w:w="566"/>
        <w:gridCol w:w="566"/>
        <w:gridCol w:w="566"/>
        <w:gridCol w:w="566"/>
        <w:gridCol w:w="608"/>
      </w:tblGrid>
      <w:tr w14:paraId="64EC18BD">
        <w:tblPrEx>
          <w:tblCellMar>
            <w:top w:w="0" w:type="dxa"/>
            <w:left w:w="108" w:type="dxa"/>
            <w:bottom w:w="0" w:type="dxa"/>
            <w:right w:w="108" w:type="dxa"/>
          </w:tblCellMar>
        </w:tblPrEx>
        <w:tc>
          <w:tcPr>
            <w:tcW w:w="8848" w:type="dxa"/>
            <w:gridSpan w:val="14"/>
            <w:vAlign w:val="center"/>
          </w:tcPr>
          <w:p w14:paraId="3B19AC62">
            <w:pPr>
              <w:jc w:val="center"/>
            </w:pPr>
            <w:r>
              <w:rPr>
                <w:rFonts w:ascii="宋体" w:hAnsi="宋体" w:eastAsia="宋体"/>
                <w:sz w:val="24"/>
              </w:rPr>
              <w:t>项目支出绩效自评表</w:t>
            </w:r>
          </w:p>
        </w:tc>
      </w:tr>
      <w:tr w14:paraId="3CF2DCE1">
        <w:tblPrEx>
          <w:tblCellMar>
            <w:top w:w="0" w:type="dxa"/>
            <w:left w:w="108" w:type="dxa"/>
            <w:bottom w:w="0" w:type="dxa"/>
            <w:right w:w="108" w:type="dxa"/>
          </w:tblCellMar>
        </w:tblPrEx>
        <w:tc>
          <w:tcPr>
            <w:tcW w:w="8848" w:type="dxa"/>
            <w:gridSpan w:val="14"/>
            <w:vAlign w:val="center"/>
          </w:tcPr>
          <w:p w14:paraId="2B87285B">
            <w:pPr>
              <w:jc w:val="center"/>
            </w:pPr>
            <w:r>
              <w:rPr>
                <w:rFonts w:ascii="宋体" w:hAnsi="宋体" w:eastAsia="宋体"/>
                <w:sz w:val="24"/>
              </w:rPr>
              <w:t>(2024年度)</w:t>
            </w:r>
          </w:p>
        </w:tc>
      </w:tr>
      <w:tr w14:paraId="5DC41F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D0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6F555D">
            <w:pPr>
              <w:jc w:val="center"/>
            </w:pPr>
            <w:r>
              <w:rPr>
                <w:rFonts w:ascii="宋体" w:hAnsi="宋体" w:eastAsia="宋体"/>
                <w:sz w:val="16"/>
              </w:rPr>
              <w:t>2024年事业收入（自有资金）</w:t>
            </w:r>
          </w:p>
        </w:tc>
      </w:tr>
      <w:tr w14:paraId="685563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09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97EA6">
            <w:pPr>
              <w:jc w:val="center"/>
            </w:pPr>
            <w:r>
              <w:rPr>
                <w:rFonts w:ascii="宋体" w:hAnsi="宋体" w:eastAsia="宋体"/>
                <w:sz w:val="16"/>
              </w:rPr>
              <w:t>霍城县中医医院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FA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0E4BC2">
            <w:pPr>
              <w:jc w:val="center"/>
            </w:pPr>
            <w:r>
              <w:rPr>
                <w:rFonts w:ascii="宋体" w:hAnsi="宋体" w:eastAsia="宋体"/>
                <w:sz w:val="16"/>
              </w:rPr>
              <w:t>霍城县中医医院</w:t>
            </w:r>
          </w:p>
        </w:tc>
      </w:tr>
      <w:tr w14:paraId="73261E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E129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B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16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5D1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2AD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210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AF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4E2C">
            <w:pPr>
              <w:jc w:val="center"/>
            </w:pPr>
            <w:r>
              <w:rPr>
                <w:rFonts w:ascii="宋体" w:hAnsi="宋体" w:eastAsia="宋体"/>
                <w:sz w:val="16"/>
              </w:rPr>
              <w:t>得分</w:t>
            </w:r>
          </w:p>
        </w:tc>
      </w:tr>
      <w:tr w14:paraId="3BE62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93F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D8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7B0A0">
            <w:pPr>
              <w:jc w:val="center"/>
            </w:pPr>
            <w:r>
              <w:rPr>
                <w:rFonts w:ascii="宋体" w:hAnsi="宋体" w:eastAsia="宋体"/>
                <w:sz w:val="16"/>
              </w:rPr>
              <w:t>8,629.01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5A386">
            <w:pPr>
              <w:jc w:val="center"/>
            </w:pPr>
            <w:r>
              <w:rPr>
                <w:rFonts w:ascii="宋体" w:hAnsi="宋体" w:eastAsia="宋体"/>
                <w:sz w:val="16"/>
              </w:rPr>
              <w:t>12,645.54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93215">
            <w:pPr>
              <w:jc w:val="center"/>
            </w:pPr>
            <w:r>
              <w:rPr>
                <w:rFonts w:ascii="宋体" w:hAnsi="宋体" w:eastAsia="宋体"/>
                <w:sz w:val="16"/>
              </w:rPr>
              <w:t>12,283.14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85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1D25E">
            <w:pPr>
              <w:jc w:val="center"/>
            </w:pPr>
            <w:r>
              <w:rPr>
                <w:rFonts w:ascii="宋体" w:hAnsi="宋体" w:eastAsia="宋体"/>
                <w:sz w:val="16"/>
              </w:rPr>
              <w:t>97.13%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22F5">
            <w:pPr>
              <w:jc w:val="center"/>
            </w:pPr>
            <w:r>
              <w:rPr>
                <w:rFonts w:ascii="宋体" w:hAnsi="宋体" w:eastAsia="宋体"/>
                <w:sz w:val="16"/>
              </w:rPr>
              <w:t>9.28</w:t>
            </w:r>
          </w:p>
        </w:tc>
      </w:tr>
      <w:tr w14:paraId="24602E4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DC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97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00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7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AE5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F49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AD8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C81F">
            <w:pPr>
              <w:jc w:val="center"/>
            </w:pPr>
            <w:r>
              <w:rPr>
                <w:rFonts w:ascii="宋体" w:hAnsi="宋体" w:eastAsia="宋体"/>
                <w:sz w:val="16"/>
              </w:rPr>
              <w:t>—</w:t>
            </w:r>
          </w:p>
        </w:tc>
      </w:tr>
      <w:tr w14:paraId="4ED4F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FF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5A7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6E64E">
            <w:pPr>
              <w:jc w:val="center"/>
            </w:pPr>
            <w:r>
              <w:rPr>
                <w:rFonts w:ascii="宋体" w:hAnsi="宋体" w:eastAsia="宋体"/>
                <w:sz w:val="16"/>
              </w:rPr>
              <w:t>8,629.01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8F7B">
            <w:pPr>
              <w:jc w:val="center"/>
            </w:pPr>
            <w:r>
              <w:rPr>
                <w:rFonts w:ascii="宋体" w:hAnsi="宋体" w:eastAsia="宋体"/>
                <w:sz w:val="16"/>
              </w:rPr>
              <w:t>12,645.54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2C3D">
            <w:pPr>
              <w:jc w:val="center"/>
            </w:pPr>
            <w:r>
              <w:rPr>
                <w:rFonts w:ascii="宋体" w:hAnsi="宋体" w:eastAsia="宋体"/>
                <w:sz w:val="16"/>
              </w:rPr>
              <w:t>12,283.14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31B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45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F16C">
            <w:pPr>
              <w:jc w:val="center"/>
            </w:pPr>
            <w:r>
              <w:rPr>
                <w:rFonts w:ascii="宋体" w:hAnsi="宋体" w:eastAsia="宋体"/>
                <w:sz w:val="16"/>
              </w:rPr>
              <w:t>—</w:t>
            </w:r>
          </w:p>
        </w:tc>
      </w:tr>
      <w:tr w14:paraId="12AC59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5CC5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029A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E53129">
            <w:pPr>
              <w:jc w:val="center"/>
            </w:pPr>
            <w:r>
              <w:rPr>
                <w:rFonts w:ascii="宋体" w:hAnsi="宋体" w:eastAsia="宋体"/>
                <w:sz w:val="16"/>
              </w:rPr>
              <w:t>实际完成情况</w:t>
            </w:r>
          </w:p>
        </w:tc>
      </w:tr>
      <w:tr w14:paraId="53A55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714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76E9F">
            <w:pPr>
              <w:jc w:val="left"/>
            </w:pPr>
            <w:r>
              <w:rPr>
                <w:rFonts w:ascii="宋体" w:hAnsi="宋体" w:eastAsia="宋体"/>
                <w:sz w:val="16"/>
              </w:rPr>
              <w:t>1.霍城县中医院充分发挥中医治疗优势，以医疗、教学及科研为一体推动中医事业发展，提升中医药参与率，以简、验、便、廉的中医特色有效保障各族人民身体健康。深化公立医院改革，积极做好医院医疗保障工作，稳固落实“先诊疗后付费”制度及“一站式结算”服务工作，解决城乡困难群众看病贵、住院难等问题，多措并举、加强信息化建设和远程医疗服务，实行药品、医用材料零差率，继续推行基本药品网上采购工作，加大网采药品比例，降低药品采购价格，进一步推进惠民医疗工作。加强应急救护和YQFK知识的宣传、普及、培训。持之以恒抓好医疗质量和医疗安全，开展医疗新技术、新项目，强化学科建设，提升医疗服务能力与质量。                                                                                                        2、保障部门单位人员发放工资福利支出及正常运转支出。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212B61">
            <w:pPr>
              <w:jc w:val="both"/>
            </w:pPr>
            <w:r>
              <w:rPr>
                <w:rFonts w:ascii="宋体" w:hAnsi="宋体" w:eastAsia="宋体"/>
                <w:sz w:val="16"/>
              </w:rPr>
              <w:t>完成工资福利发放人数548人，门诊诊疗人次215056人次，中医临床重点专科建设2个，人员工资发放次数24次。医院门诊人次增加，使得医院收入增加，保障医院各部门正常运转，促进医疗技术发展，增强县域内医疗服务的质量和效率。</w:t>
            </w:r>
            <w:r>
              <w:rPr>
                <w:rFonts w:ascii="宋体" w:hAnsi="宋体" w:eastAsia="宋体"/>
                <w:sz w:val="16"/>
              </w:rPr>
              <w:br w:type="textWrapping"/>
            </w:r>
          </w:p>
        </w:tc>
      </w:tr>
      <w:tr w14:paraId="19A1DD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46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B5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C6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66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78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D29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8A9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DFB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8B0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0A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0B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6A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81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6C96">
            <w:pPr>
              <w:jc w:val="center"/>
            </w:pPr>
            <w:r>
              <w:rPr>
                <w:rFonts w:ascii="宋体" w:hAnsi="宋体" w:eastAsia="宋体"/>
                <w:sz w:val="16"/>
              </w:rPr>
              <w:t>偏差原因分析及改进措施</w:t>
            </w:r>
          </w:p>
        </w:tc>
      </w:tr>
      <w:tr w14:paraId="67F256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0C6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B4C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B28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CF16">
            <w:pPr>
              <w:jc w:val="center"/>
            </w:pPr>
            <w:r>
              <w:rPr>
                <w:rFonts w:ascii="宋体" w:hAnsi="宋体" w:eastAsia="宋体"/>
                <w:sz w:val="16"/>
              </w:rPr>
              <w:t>保障工资福利发放人数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FF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4750">
            <w:pPr>
              <w:jc w:val="center"/>
            </w:pPr>
            <w:r>
              <w:rPr>
                <w:rFonts w:ascii="宋体" w:hAnsi="宋体" w:eastAsia="宋体"/>
                <w:sz w:val="16"/>
              </w:rPr>
              <w:t>&gt;=548人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D1A7">
            <w:pPr>
              <w:jc w:val="center"/>
            </w:pPr>
            <w:r>
              <w:rPr>
                <w:rFonts w:ascii="宋体" w:hAnsi="宋体" w:eastAsia="宋体"/>
                <w:sz w:val="16"/>
              </w:rPr>
              <w:t>548人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A3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1A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2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C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E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42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7FB4">
            <w:pPr>
              <w:jc w:val="center"/>
            </w:pPr>
          </w:p>
        </w:tc>
      </w:tr>
      <w:tr w14:paraId="2F65C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4F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D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E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C61F">
            <w:pPr>
              <w:jc w:val="center"/>
            </w:pPr>
            <w:r>
              <w:rPr>
                <w:rFonts w:ascii="宋体" w:hAnsi="宋体" w:eastAsia="宋体"/>
                <w:sz w:val="16"/>
              </w:rPr>
              <w:t>门诊诊疗人次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6D5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9227">
            <w:pPr>
              <w:jc w:val="center"/>
            </w:pPr>
            <w:r>
              <w:rPr>
                <w:rFonts w:ascii="宋体" w:hAnsi="宋体" w:eastAsia="宋体"/>
                <w:sz w:val="16"/>
              </w:rPr>
              <w:t>&gt;=215056人次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9126">
            <w:pPr>
              <w:jc w:val="center"/>
            </w:pPr>
            <w:r>
              <w:rPr>
                <w:rFonts w:ascii="宋体" w:hAnsi="宋体" w:eastAsia="宋体"/>
                <w:sz w:val="16"/>
              </w:rPr>
              <w:t>215056人次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2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59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9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F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5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00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FF4E">
            <w:pPr>
              <w:jc w:val="center"/>
            </w:pPr>
          </w:p>
        </w:tc>
      </w:tr>
      <w:tr w14:paraId="453BA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AF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82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B4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B032">
            <w:pPr>
              <w:jc w:val="center"/>
            </w:pPr>
            <w:r>
              <w:rPr>
                <w:rFonts w:ascii="宋体" w:hAnsi="宋体" w:eastAsia="宋体"/>
                <w:sz w:val="16"/>
              </w:rPr>
              <w:t>中医临床重点专科建设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B2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4A2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88D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1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C0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4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D0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7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CF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E31D">
            <w:pPr>
              <w:jc w:val="center"/>
            </w:pPr>
          </w:p>
        </w:tc>
      </w:tr>
      <w:tr w14:paraId="6A350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0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37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3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7276">
            <w:pPr>
              <w:jc w:val="center"/>
            </w:pPr>
            <w:r>
              <w:rPr>
                <w:rFonts w:ascii="宋体" w:hAnsi="宋体" w:eastAsia="宋体"/>
                <w:sz w:val="16"/>
              </w:rPr>
              <w:t>人员工资发放次数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CF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CAAC">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1E81">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D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51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0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0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DA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D2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EAD0">
            <w:pPr>
              <w:jc w:val="center"/>
            </w:pPr>
          </w:p>
        </w:tc>
      </w:tr>
      <w:tr w14:paraId="4A809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56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000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72F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23F2">
            <w:pPr>
              <w:jc w:val="center"/>
            </w:pPr>
            <w:r>
              <w:rPr>
                <w:rFonts w:ascii="宋体" w:hAnsi="宋体" w:eastAsia="宋体"/>
                <w:sz w:val="16"/>
              </w:rPr>
              <w:t>中医非药物治疗参与率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59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E45D">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4625">
            <w:pPr>
              <w:jc w:val="center"/>
            </w:pPr>
            <w:r>
              <w:rPr>
                <w:rFonts w:ascii="宋体" w:hAnsi="宋体" w:eastAsia="宋体"/>
                <w:sz w:val="16"/>
              </w:rPr>
              <w:t>96.73%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4286">
            <w:pPr>
              <w:jc w:val="center"/>
            </w:pPr>
            <w:r>
              <w:rPr>
                <w:rFonts w:ascii="宋体" w:hAnsi="宋体" w:eastAsia="宋体"/>
                <w:sz w:val="16"/>
              </w:rPr>
              <w:t>99.72%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CFFE">
            <w:pPr>
              <w:jc w:val="center"/>
            </w:pPr>
            <w:r>
              <w:rPr>
                <w:rFonts w:ascii="宋体" w:hAnsi="宋体" w:eastAsia="宋体"/>
                <w:sz w:val="16"/>
              </w:rPr>
              <w:t>4.99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9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54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85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C6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763A">
            <w:pPr>
              <w:jc w:val="center"/>
            </w:pPr>
            <w:r>
              <w:rPr>
                <w:rFonts w:ascii="宋体" w:hAnsi="宋体" w:eastAsia="宋体"/>
                <w:sz w:val="16"/>
              </w:rPr>
              <w:t>充分发挥中医治疗优势，加大中医治疗考核力度，提升中医非药物治疗参与率。</w:t>
            </w:r>
          </w:p>
        </w:tc>
      </w:tr>
      <w:tr w14:paraId="7BE4F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04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CB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66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B2FA">
            <w:pPr>
              <w:jc w:val="center"/>
            </w:pPr>
            <w:r>
              <w:rPr>
                <w:rFonts w:ascii="宋体" w:hAnsi="宋体" w:eastAsia="宋体"/>
                <w:sz w:val="16"/>
              </w:rPr>
              <w:t>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FB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6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4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C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80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B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2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5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74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136D">
            <w:pPr>
              <w:jc w:val="center"/>
            </w:pPr>
          </w:p>
        </w:tc>
      </w:tr>
      <w:tr w14:paraId="1B2EA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D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46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8A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6286">
            <w:pPr>
              <w:jc w:val="center"/>
            </w:pPr>
            <w:r>
              <w:rPr>
                <w:rFonts w:ascii="宋体" w:hAnsi="宋体" w:eastAsia="宋体"/>
                <w:sz w:val="16"/>
              </w:rPr>
              <w:t>药品、耗材及设备验收合格率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49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5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E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3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31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C5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1F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C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D4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FB56">
            <w:pPr>
              <w:jc w:val="center"/>
            </w:pPr>
          </w:p>
        </w:tc>
      </w:tr>
      <w:tr w14:paraId="2DBD6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DD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5F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41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962E">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41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1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7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2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E6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A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EB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5B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D6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95EC">
            <w:pPr>
              <w:jc w:val="center"/>
            </w:pPr>
          </w:p>
        </w:tc>
      </w:tr>
      <w:tr w14:paraId="51A4C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0FA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39F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EB7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FE19">
            <w:pPr>
              <w:jc w:val="center"/>
            </w:pPr>
            <w:r>
              <w:rPr>
                <w:rFonts w:ascii="宋体" w:hAnsi="宋体" w:eastAsia="宋体"/>
                <w:sz w:val="16"/>
              </w:rPr>
              <w:t>人均工资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BB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572B">
            <w:pPr>
              <w:jc w:val="center"/>
            </w:pPr>
            <w:r>
              <w:rPr>
                <w:rFonts w:ascii="宋体" w:hAnsi="宋体" w:eastAsia="宋体"/>
                <w:sz w:val="16"/>
              </w:rPr>
              <w:t>&lt;=3752.95元/人/次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4F1F">
            <w:pPr>
              <w:jc w:val="center"/>
            </w:pPr>
            <w:r>
              <w:rPr>
                <w:rFonts w:ascii="宋体" w:hAnsi="宋体" w:eastAsia="宋体"/>
                <w:sz w:val="16"/>
              </w:rPr>
              <w:t>3752.95元/人/次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E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0B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4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49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C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03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CE5F">
            <w:pPr>
              <w:jc w:val="center"/>
            </w:pPr>
          </w:p>
        </w:tc>
      </w:tr>
      <w:tr w14:paraId="318FB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3B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6E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46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E773">
            <w:pPr>
              <w:jc w:val="center"/>
            </w:pPr>
            <w:r>
              <w:rPr>
                <w:rFonts w:ascii="宋体" w:hAnsi="宋体" w:eastAsia="宋体"/>
                <w:sz w:val="16"/>
              </w:rPr>
              <w:t>药品、材料及设备购置成本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BC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C7C2">
            <w:pPr>
              <w:jc w:val="center"/>
            </w:pPr>
            <w:r>
              <w:rPr>
                <w:rFonts w:ascii="宋体" w:hAnsi="宋体" w:eastAsia="宋体"/>
                <w:sz w:val="16"/>
              </w:rPr>
              <w:t>&lt;=5459.92万元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5AE0">
            <w:pPr>
              <w:jc w:val="center"/>
            </w:pPr>
            <w:r>
              <w:rPr>
                <w:rFonts w:ascii="宋体" w:hAnsi="宋体" w:eastAsia="宋体"/>
                <w:sz w:val="16"/>
              </w:rPr>
              <w:t>5459.92万元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B5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A1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C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74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B7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85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C628">
            <w:pPr>
              <w:jc w:val="center"/>
            </w:pPr>
          </w:p>
        </w:tc>
      </w:tr>
      <w:tr w14:paraId="1222C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61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8C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DD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39B6">
            <w:pPr>
              <w:jc w:val="center"/>
            </w:pPr>
            <w:r>
              <w:rPr>
                <w:rFonts w:ascii="宋体" w:hAnsi="宋体" w:eastAsia="宋体"/>
                <w:sz w:val="16"/>
              </w:rPr>
              <w:t>医院发展建设成本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B7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2312">
            <w:pPr>
              <w:jc w:val="center"/>
            </w:pPr>
            <w:r>
              <w:rPr>
                <w:rFonts w:ascii="宋体" w:hAnsi="宋体" w:eastAsia="宋体"/>
                <w:sz w:val="16"/>
              </w:rPr>
              <w:t>&lt;=2249.62万元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8396">
            <w:pPr>
              <w:jc w:val="center"/>
            </w:pPr>
            <w:r>
              <w:rPr>
                <w:rFonts w:ascii="宋体" w:hAnsi="宋体" w:eastAsia="宋体"/>
                <w:sz w:val="16"/>
              </w:rPr>
              <w:t>1887.34万元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FB0C">
            <w:pPr>
              <w:jc w:val="center"/>
            </w:pPr>
            <w:r>
              <w:rPr>
                <w:rFonts w:ascii="宋体" w:hAnsi="宋体" w:eastAsia="宋体"/>
                <w:sz w:val="16"/>
              </w:rPr>
              <w:t>83.9%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5798">
            <w:pPr>
              <w:jc w:val="center"/>
            </w:pPr>
            <w:r>
              <w:rPr>
                <w:rFonts w:ascii="宋体" w:hAnsi="宋体" w:eastAsia="宋体"/>
                <w:sz w:val="16"/>
              </w:rPr>
              <w:t>5.03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F4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09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0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20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8C81">
            <w:pPr>
              <w:jc w:val="center"/>
            </w:pPr>
            <w:r>
              <w:rPr>
                <w:rFonts w:ascii="宋体" w:hAnsi="宋体" w:eastAsia="宋体"/>
                <w:sz w:val="16"/>
              </w:rPr>
              <w:t>部分工程建设项目在实施中，未决算，我院未入账。</w:t>
            </w:r>
          </w:p>
        </w:tc>
      </w:tr>
      <w:tr w14:paraId="4BF54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1E3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F4C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BAF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592D">
            <w:pPr>
              <w:jc w:val="center"/>
            </w:pPr>
            <w:r>
              <w:rPr>
                <w:rFonts w:ascii="宋体" w:hAnsi="宋体" w:eastAsia="宋体"/>
                <w:sz w:val="16"/>
              </w:rPr>
              <w:t>事业收入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B9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754">
            <w:pPr>
              <w:jc w:val="center"/>
            </w:pPr>
            <w:r>
              <w:rPr>
                <w:rFonts w:ascii="宋体" w:hAnsi="宋体" w:eastAsia="宋体"/>
                <w:sz w:val="16"/>
              </w:rPr>
              <w:t>&gt;=12967.49万元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371B">
            <w:pPr>
              <w:jc w:val="center"/>
            </w:pPr>
            <w:r>
              <w:rPr>
                <w:rFonts w:ascii="宋体" w:hAnsi="宋体" w:eastAsia="宋体"/>
                <w:sz w:val="16"/>
              </w:rPr>
              <w:t>12967.49万元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6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6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5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0C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E9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79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8885">
            <w:pPr>
              <w:jc w:val="center"/>
            </w:pPr>
          </w:p>
        </w:tc>
      </w:tr>
      <w:tr w14:paraId="15FDB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6C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4CD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AF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2D0F">
            <w:pPr>
              <w:jc w:val="center"/>
            </w:pPr>
            <w:r>
              <w:rPr>
                <w:rFonts w:ascii="宋体" w:hAnsi="宋体" w:eastAsia="宋体"/>
                <w:sz w:val="16"/>
              </w:rPr>
              <w:t>提升医疗服务能力与质量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F8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70F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4EC9">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E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51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6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B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70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9F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F197">
            <w:pPr>
              <w:jc w:val="center"/>
            </w:pPr>
          </w:p>
        </w:tc>
      </w:tr>
      <w:tr w14:paraId="2EA0E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7B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04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B2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8A12">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48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B3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CC78">
            <w:pPr>
              <w:jc w:val="center"/>
            </w:pPr>
            <w:r>
              <w:rPr>
                <w:rFonts w:ascii="宋体" w:hAnsi="宋体" w:eastAsia="宋体"/>
                <w:sz w:val="16"/>
              </w:rPr>
              <w:t>98.17%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CAF7">
            <w:pPr>
              <w:jc w:val="center"/>
            </w:pPr>
            <w:r>
              <w:rPr>
                <w:rFonts w:ascii="宋体" w:hAnsi="宋体" w:eastAsia="宋体"/>
                <w:sz w:val="16"/>
              </w:rPr>
              <w:t>103.34%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E4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4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9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98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55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1557">
            <w:pPr>
              <w:jc w:val="center"/>
            </w:pPr>
            <w:r>
              <w:rPr>
                <w:rFonts w:ascii="宋体" w:hAnsi="宋体" w:eastAsia="宋体"/>
                <w:sz w:val="16"/>
              </w:rPr>
              <w:t>我院医疗环境优越，就医流程优化，设施便捷完善，医疗技术精湛，患者满意度增高。</w:t>
            </w:r>
          </w:p>
        </w:tc>
      </w:tr>
      <w:tr w14:paraId="5BFABD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0621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1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099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F841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84D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5CB8">
            <w:pPr>
              <w:jc w:val="center"/>
            </w:pPr>
            <w:r>
              <w:rPr>
                <w:rFonts w:ascii="宋体" w:hAnsi="宋体" w:eastAsia="宋体"/>
                <w:sz w:val="16"/>
              </w:rPr>
              <w:t>98.3分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800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75CE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190C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DD2F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25B168"/>
        </w:tc>
      </w:tr>
    </w:tbl>
    <w:p w14:paraId="3F93BD47">
      <w:r>
        <w:br w:type="page"/>
      </w:r>
    </w:p>
    <w:p w14:paraId="247F29B1">
      <w:pPr>
        <w:spacing w:line="640" w:lineRule="exact"/>
        <w:ind w:firstLine="640"/>
        <w:jc w:val="both"/>
        <w:outlineLvl w:val="2"/>
      </w:pPr>
      <w:r>
        <w:rPr>
          <w:rFonts w:ascii="黑体" w:hAnsi="黑体" w:eastAsia="黑体"/>
          <w:sz w:val="32"/>
        </w:rPr>
        <w:t>十二、其他需说明的事项</w:t>
      </w:r>
    </w:p>
    <w:p w14:paraId="2E0B5056">
      <w:pPr>
        <w:spacing w:line="580" w:lineRule="exact"/>
        <w:ind w:firstLine="640"/>
        <w:jc w:val="both"/>
      </w:pPr>
      <w:r>
        <w:rPr>
          <w:rFonts w:ascii="仿宋_GB2312" w:hAnsi="仿宋_GB2312" w:eastAsia="仿宋_GB2312"/>
          <w:b w:val="0"/>
          <w:sz w:val="32"/>
        </w:rPr>
        <w:t>本单位无其他需说明的事项。</w:t>
      </w:r>
    </w:p>
    <w:p w14:paraId="29F989F4">
      <w:r>
        <w:br w:type="page"/>
      </w:r>
    </w:p>
    <w:p w14:paraId="4D4B169F">
      <w:pPr>
        <w:spacing w:line="240" w:lineRule="auto"/>
        <w:jc w:val="center"/>
        <w:outlineLvl w:val="1"/>
      </w:pPr>
      <w:r>
        <w:rPr>
          <w:rFonts w:ascii="黑体" w:hAnsi="黑体" w:eastAsia="黑体"/>
          <w:sz w:val="32"/>
        </w:rPr>
        <w:t>第三部分 专业名词解释</w:t>
      </w:r>
    </w:p>
    <w:p w14:paraId="6A8CA7E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965F0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67C0B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0367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FC68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BDBAA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EE1C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6455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A48FD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41F7B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BE46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9540B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50DFB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EEC82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918E55E">
      <w:r>
        <w:br w:type="page"/>
      </w:r>
    </w:p>
    <w:p w14:paraId="422231F9">
      <w:pPr>
        <w:spacing w:line="240" w:lineRule="auto"/>
        <w:jc w:val="center"/>
        <w:outlineLvl w:val="1"/>
      </w:pPr>
      <w:r>
        <w:rPr>
          <w:rFonts w:ascii="黑体" w:hAnsi="黑体" w:eastAsia="黑体"/>
          <w:sz w:val="32"/>
        </w:rPr>
        <w:t>第四部分 部门决算报表（见附表）</w:t>
      </w:r>
    </w:p>
    <w:p w14:paraId="6967E429">
      <w:pPr>
        <w:spacing w:line="240" w:lineRule="auto"/>
        <w:ind w:firstLine="640"/>
        <w:jc w:val="both"/>
      </w:pPr>
      <w:r>
        <w:rPr>
          <w:rFonts w:ascii="仿宋_GB2312" w:hAnsi="仿宋_GB2312" w:eastAsia="仿宋_GB2312"/>
          <w:b w:val="0"/>
          <w:sz w:val="32"/>
        </w:rPr>
        <w:t>一、《收入支出决算总表》</w:t>
      </w:r>
    </w:p>
    <w:p w14:paraId="6F84F901">
      <w:pPr>
        <w:spacing w:line="240" w:lineRule="auto"/>
        <w:ind w:firstLine="640"/>
        <w:jc w:val="both"/>
      </w:pPr>
      <w:r>
        <w:rPr>
          <w:rFonts w:ascii="仿宋_GB2312" w:hAnsi="仿宋_GB2312" w:eastAsia="仿宋_GB2312"/>
          <w:b w:val="0"/>
          <w:sz w:val="32"/>
        </w:rPr>
        <w:t>二、《收入决算表》</w:t>
      </w:r>
    </w:p>
    <w:p w14:paraId="033553C2">
      <w:pPr>
        <w:spacing w:line="240" w:lineRule="auto"/>
        <w:ind w:firstLine="640"/>
        <w:jc w:val="both"/>
      </w:pPr>
      <w:r>
        <w:rPr>
          <w:rFonts w:ascii="仿宋_GB2312" w:hAnsi="仿宋_GB2312" w:eastAsia="仿宋_GB2312"/>
          <w:b w:val="0"/>
          <w:sz w:val="32"/>
        </w:rPr>
        <w:t>三、《支出决算表》</w:t>
      </w:r>
    </w:p>
    <w:p w14:paraId="57C10FD1">
      <w:pPr>
        <w:spacing w:line="240" w:lineRule="auto"/>
        <w:ind w:firstLine="640"/>
        <w:jc w:val="both"/>
      </w:pPr>
      <w:r>
        <w:rPr>
          <w:rFonts w:ascii="仿宋_GB2312" w:hAnsi="仿宋_GB2312" w:eastAsia="仿宋_GB2312"/>
          <w:b w:val="0"/>
          <w:sz w:val="32"/>
        </w:rPr>
        <w:t>四、《财政拨款收入支出决算总表》</w:t>
      </w:r>
    </w:p>
    <w:p w14:paraId="0027BFF1">
      <w:pPr>
        <w:spacing w:line="240" w:lineRule="auto"/>
        <w:ind w:firstLine="640"/>
        <w:jc w:val="both"/>
      </w:pPr>
      <w:r>
        <w:rPr>
          <w:rFonts w:ascii="仿宋_GB2312" w:hAnsi="仿宋_GB2312" w:eastAsia="仿宋_GB2312"/>
          <w:b w:val="0"/>
          <w:sz w:val="32"/>
        </w:rPr>
        <w:t>五、《一般公共预算财政拨款支出决算表》</w:t>
      </w:r>
    </w:p>
    <w:p w14:paraId="11674D9E">
      <w:pPr>
        <w:spacing w:line="240" w:lineRule="auto"/>
        <w:ind w:firstLine="640"/>
        <w:jc w:val="both"/>
      </w:pPr>
      <w:r>
        <w:rPr>
          <w:rFonts w:ascii="仿宋_GB2312" w:hAnsi="仿宋_GB2312" w:eastAsia="仿宋_GB2312"/>
          <w:b w:val="0"/>
          <w:sz w:val="32"/>
        </w:rPr>
        <w:t>六、《一般公共预算财政拨款基本支出决算表》</w:t>
      </w:r>
    </w:p>
    <w:p w14:paraId="1CC2DAB8">
      <w:pPr>
        <w:spacing w:line="240" w:lineRule="auto"/>
        <w:ind w:firstLine="640"/>
        <w:jc w:val="both"/>
      </w:pPr>
      <w:r>
        <w:rPr>
          <w:rFonts w:ascii="仿宋_GB2312" w:hAnsi="仿宋_GB2312" w:eastAsia="仿宋_GB2312"/>
          <w:b w:val="0"/>
          <w:sz w:val="32"/>
        </w:rPr>
        <w:t>七、《政府性基金预算财政拨款收入支出决算表》</w:t>
      </w:r>
    </w:p>
    <w:p w14:paraId="45DB18FF">
      <w:pPr>
        <w:spacing w:line="240" w:lineRule="auto"/>
        <w:ind w:firstLine="640"/>
        <w:jc w:val="both"/>
      </w:pPr>
      <w:r>
        <w:rPr>
          <w:rFonts w:ascii="仿宋_GB2312" w:hAnsi="仿宋_GB2312" w:eastAsia="仿宋_GB2312"/>
          <w:b w:val="0"/>
          <w:sz w:val="32"/>
        </w:rPr>
        <w:t>八、《国有资本经营预算财政拨款收入支出决算表》</w:t>
      </w:r>
    </w:p>
    <w:p w14:paraId="7A5A45C8">
      <w:pPr>
        <w:spacing w:line="240" w:lineRule="auto"/>
        <w:ind w:firstLine="640"/>
        <w:jc w:val="both"/>
      </w:pPr>
      <w:r>
        <w:rPr>
          <w:rFonts w:ascii="仿宋_GB2312" w:hAnsi="仿宋_GB2312" w:eastAsia="仿宋_GB2312"/>
          <w:b w:val="0"/>
          <w:sz w:val="32"/>
        </w:rPr>
        <w:t>九、《财政拨款“三公”经费支出决算表》</w:t>
      </w:r>
    </w:p>
    <w:p w14:paraId="56353469">
      <w:pPr>
        <w:spacing w:line="240" w:lineRule="auto"/>
        <w:ind w:firstLine="640"/>
        <w:jc w:val="both"/>
      </w:pPr>
    </w:p>
    <w:p w14:paraId="0B1EC035">
      <w:pPr>
        <w:spacing w:line="240" w:lineRule="auto"/>
        <w:ind w:firstLine="640"/>
        <w:jc w:val="both"/>
      </w:pPr>
    </w:p>
    <w:p w14:paraId="19FAD6AE">
      <w:pPr>
        <w:spacing w:line="240" w:lineRule="auto"/>
        <w:ind w:firstLine="640"/>
        <w:jc w:val="both"/>
      </w:pPr>
    </w:p>
    <w:p w14:paraId="36026873">
      <w:pPr>
        <w:spacing w:line="240" w:lineRule="auto"/>
        <w:ind w:firstLine="640"/>
        <w:jc w:val="both"/>
      </w:pPr>
    </w:p>
    <w:p w14:paraId="55B41D0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F5516F"/>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8770B9"/>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6520</Words>
  <Characters>7596</Characters>
  <Lines>0</Lines>
  <Paragraphs>0</Paragraphs>
  <TotalTime>9</TotalTime>
  <ScaleCrop>false</ScaleCrop>
  <LinksUpToDate>false</LinksUpToDate>
  <CharactersWithSpaces>7604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2025-09-25T07:46:44Z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