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霍城县三道河乡卫生院2024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0A883DF">
      <w:r>
        <w:br w:type="page"/>
      </w:r>
    </w:p>
    <w:p w14:paraId="2D63415B">
      <w:pPr>
        <w:spacing w:line="640" w:lineRule="exact"/>
        <w:jc w:val="center"/>
        <w:outlineLvl w:val="1"/>
      </w:pPr>
      <w:r>
        <w:rPr>
          <w:rFonts w:ascii="黑体" w:hAnsi="黑体" w:eastAsia="黑体"/>
          <w:sz w:val="32"/>
        </w:rPr>
        <w:t>第一部分 单位概况</w:t>
      </w:r>
    </w:p>
    <w:p w14:paraId="7D169B52">
      <w:pPr>
        <w:spacing w:line="640" w:lineRule="exact"/>
        <w:ind w:firstLine="640"/>
        <w:jc w:val="both"/>
        <w:outlineLvl w:val="2"/>
      </w:pPr>
      <w:r>
        <w:rPr>
          <w:rFonts w:ascii="黑体" w:hAnsi="黑体" w:eastAsia="黑体"/>
          <w:sz w:val="32"/>
        </w:rPr>
        <w:t>一、主要职能</w:t>
      </w:r>
    </w:p>
    <w:p w14:paraId="5C3CC8EA">
      <w:pPr>
        <w:spacing w:line="580" w:lineRule="exact"/>
        <w:ind w:firstLine="640"/>
        <w:jc w:val="both"/>
      </w:pPr>
      <w:r>
        <w:rPr>
          <w:rFonts w:ascii="仿宋_GB2312" w:hAnsi="仿宋_GB2312" w:eastAsia="仿宋_GB2312"/>
          <w:sz w:val="32"/>
        </w:rPr>
        <w:t>以公共卫生服务为主，提供预防保健、基本医疗、康复、健康教育等为主要内容的综合性卫生服务；受县级卫生行政主管部门委托，承担所在乡镇的公共卫生管理工作；对邻近乡(镇)卫生院医疗、预防、保健等业务工作的技术指导。</w:t>
      </w:r>
    </w:p>
    <w:p w14:paraId="097065F7">
      <w:pPr>
        <w:spacing w:line="640" w:lineRule="exact"/>
        <w:ind w:firstLine="640"/>
        <w:jc w:val="both"/>
        <w:outlineLvl w:val="2"/>
      </w:pPr>
      <w:r>
        <w:rPr>
          <w:rFonts w:ascii="黑体" w:hAnsi="黑体" w:eastAsia="黑体"/>
          <w:sz w:val="32"/>
        </w:rPr>
        <w:t>二、机构设置及人员情况</w:t>
      </w:r>
    </w:p>
    <w:p w14:paraId="2A511054">
      <w:pPr>
        <w:spacing w:line="580" w:lineRule="exact"/>
        <w:ind w:firstLine="640"/>
        <w:jc w:val="both"/>
      </w:pPr>
      <w:r>
        <w:rPr>
          <w:rFonts w:ascii="仿宋_GB2312" w:hAnsi="仿宋_GB2312" w:eastAsia="仿宋_GB2312"/>
          <w:sz w:val="32"/>
        </w:rPr>
        <w:t>霍城县三道河乡卫生院2024年度，实有人数36人，其中：在职人员27人，增加0人；离休人员0人，增加0人；退休人员9人,增加0人。</w:t>
      </w:r>
    </w:p>
    <w:p w14:paraId="4255B328">
      <w:pPr>
        <w:spacing w:line="580" w:lineRule="exact"/>
        <w:ind w:firstLine="640"/>
        <w:jc w:val="both"/>
      </w:pPr>
      <w:r>
        <w:rPr>
          <w:rFonts w:ascii="仿宋_GB2312" w:hAnsi="仿宋_GB2312" w:eastAsia="仿宋_GB2312"/>
          <w:sz w:val="32"/>
        </w:rPr>
        <w:t>霍城县三道河乡卫生院无下属预算单位，下设5个科室，分别是：门诊部、住院部、公共卫生科、医技科、行政科。</w:t>
      </w:r>
    </w:p>
    <w:p w14:paraId="2B21D263">
      <w:r>
        <w:br w:type="page"/>
      </w:r>
    </w:p>
    <w:p w14:paraId="3B6BAE03">
      <w:pPr>
        <w:spacing w:line="240" w:lineRule="auto"/>
        <w:jc w:val="center"/>
        <w:outlineLvl w:val="1"/>
      </w:pPr>
      <w:r>
        <w:rPr>
          <w:rFonts w:ascii="黑体" w:hAnsi="黑体" w:eastAsia="黑体"/>
          <w:sz w:val="32"/>
        </w:rPr>
        <w:t>第二部分 部门决算情况说明</w:t>
      </w:r>
    </w:p>
    <w:p w14:paraId="54ABF6FA">
      <w:pPr>
        <w:spacing w:line="640" w:lineRule="exact"/>
        <w:ind w:firstLine="640"/>
        <w:jc w:val="both"/>
        <w:outlineLvl w:val="2"/>
      </w:pPr>
      <w:r>
        <w:rPr>
          <w:rFonts w:ascii="黑体" w:hAnsi="黑体" w:eastAsia="黑体"/>
          <w:sz w:val="32"/>
        </w:rPr>
        <w:t>一、收入支出决算总体情况说明</w:t>
      </w:r>
    </w:p>
    <w:p w14:paraId="586B8B41">
      <w:pPr>
        <w:spacing w:line="580" w:lineRule="exact"/>
        <w:ind w:firstLine="640"/>
        <w:jc w:val="both"/>
      </w:pPr>
      <w:r>
        <w:rPr>
          <w:rFonts w:ascii="仿宋_GB2312" w:hAnsi="仿宋_GB2312" w:eastAsia="仿宋_GB2312"/>
          <w:b/>
          <w:sz w:val="32"/>
        </w:rPr>
        <w:t>2024年度收入总计778.48万元，</w:t>
      </w:r>
      <w:r>
        <w:rPr>
          <w:rFonts w:ascii="仿宋_GB2312" w:hAnsi="仿宋_GB2312" w:eastAsia="仿宋_GB2312"/>
          <w:b w:val="0"/>
          <w:sz w:val="32"/>
        </w:rPr>
        <w:t>其中：本年收入合计767.07万元，使用非财政拨款结余（含专用结余）11.41万元，年初结转和结余0.00万元。</w:t>
      </w:r>
    </w:p>
    <w:p w14:paraId="0FED47E7">
      <w:pPr>
        <w:spacing w:line="580" w:lineRule="exact"/>
        <w:ind w:firstLine="640"/>
        <w:jc w:val="both"/>
      </w:pPr>
      <w:r>
        <w:rPr>
          <w:rFonts w:ascii="仿宋_GB2312" w:hAnsi="仿宋_GB2312" w:eastAsia="仿宋_GB2312"/>
          <w:b/>
          <w:sz w:val="32"/>
        </w:rPr>
        <w:t>2024年度支出总计778.48万元，</w:t>
      </w:r>
      <w:r>
        <w:rPr>
          <w:rFonts w:ascii="仿宋_GB2312" w:hAnsi="仿宋_GB2312" w:eastAsia="仿宋_GB2312"/>
          <w:b w:val="0"/>
          <w:sz w:val="32"/>
        </w:rPr>
        <w:t>其中：本年支出合计778.48万元，结余分配0.00万元，年末结转和结余0.00万元。</w:t>
      </w:r>
    </w:p>
    <w:p w14:paraId="3A16190B">
      <w:pPr>
        <w:spacing w:line="580" w:lineRule="exact"/>
        <w:ind w:firstLine="640"/>
        <w:jc w:val="both"/>
      </w:pPr>
      <w:r>
        <w:rPr>
          <w:rFonts w:ascii="仿宋_GB2312" w:hAnsi="仿宋_GB2312" w:eastAsia="仿宋_GB2312"/>
          <w:b w:val="0"/>
          <w:sz w:val="32"/>
        </w:rPr>
        <w:t>收入支出总体与上年相比，增加45.27万元，增长6.17%，主要原因是：本年在职人员工资调增，社保、公积金基数调增，人员经费增加；增加医疗服务与保障能力提升（卫生健康人才队伍建设）补助资金项目；乡级村级基本药物制度补助资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、孕产妇及儿童管理、老年人管理服务项目、突发公共卫生事件应急处理项目等经费较上年增加，导致经费较上年增加。</w:t>
      </w:r>
    </w:p>
    <w:p w14:paraId="7C27A825">
      <w:pPr>
        <w:spacing w:line="640" w:lineRule="exact"/>
        <w:ind w:firstLine="640"/>
        <w:jc w:val="both"/>
        <w:outlineLvl w:val="2"/>
      </w:pPr>
      <w:r>
        <w:rPr>
          <w:rFonts w:ascii="黑体" w:hAnsi="黑体" w:eastAsia="黑体"/>
          <w:sz w:val="32"/>
        </w:rPr>
        <w:t>二、收入决算情况说明</w:t>
      </w:r>
    </w:p>
    <w:p w14:paraId="3432562B">
      <w:pPr>
        <w:spacing w:line="580" w:lineRule="exact"/>
        <w:ind w:firstLine="640"/>
        <w:jc w:val="both"/>
      </w:pPr>
      <w:r>
        <w:rPr>
          <w:rFonts w:ascii="仿宋_GB2312" w:hAnsi="仿宋_GB2312" w:eastAsia="仿宋_GB2312"/>
          <w:b/>
          <w:sz w:val="32"/>
        </w:rPr>
        <w:t>本年收入767.07万元，</w:t>
      </w:r>
      <w:r>
        <w:rPr>
          <w:rFonts w:ascii="仿宋_GB2312" w:hAnsi="仿宋_GB2312" w:eastAsia="仿宋_GB2312"/>
          <w:b w:val="0"/>
          <w:sz w:val="32"/>
        </w:rPr>
        <w:t>其中：财政拨款收入605.63万元，占78.95%；上级补助收入0.00万元，占0.00%；事业收入148.80万元，占19.40%；经营收入0.00万元，占0.00%；附属单位上缴收入0.00万元，占0.00%；其他收入12.64万元，占1.65%。</w:t>
      </w:r>
    </w:p>
    <w:p w14:paraId="3C97A70C">
      <w:pPr>
        <w:spacing w:line="640" w:lineRule="exact"/>
        <w:ind w:firstLine="640"/>
        <w:jc w:val="both"/>
        <w:outlineLvl w:val="2"/>
      </w:pPr>
      <w:r>
        <w:rPr>
          <w:rFonts w:ascii="黑体" w:hAnsi="黑体" w:eastAsia="黑体"/>
          <w:sz w:val="32"/>
        </w:rPr>
        <w:t>三、支出决算情况说明</w:t>
      </w:r>
    </w:p>
    <w:p w14:paraId="3CCC2763">
      <w:pPr>
        <w:spacing w:line="580" w:lineRule="exact"/>
        <w:ind w:firstLine="640"/>
        <w:jc w:val="both"/>
      </w:pPr>
      <w:r>
        <w:rPr>
          <w:rFonts w:ascii="仿宋_GB2312" w:hAnsi="仿宋_GB2312" w:eastAsia="仿宋_GB2312"/>
          <w:b/>
          <w:sz w:val="32"/>
        </w:rPr>
        <w:t>本年支出778.48万元，</w:t>
      </w:r>
      <w:r>
        <w:rPr>
          <w:rFonts w:ascii="仿宋_GB2312" w:hAnsi="仿宋_GB2312" w:eastAsia="仿宋_GB2312"/>
          <w:b w:val="0"/>
          <w:sz w:val="32"/>
        </w:rPr>
        <w:t>其中：基本支出619.75万元，占79.61%；项目支出158.74万元，占20.39%；上缴上级支出0.00万元，占0.00%；经营支出0.00万元，占0.00%；对附属单位补助支出0.00万元，占0.00%。</w:t>
      </w:r>
    </w:p>
    <w:p w14:paraId="1218D3BA">
      <w:pPr>
        <w:spacing w:line="640" w:lineRule="exact"/>
        <w:ind w:firstLine="640"/>
        <w:jc w:val="both"/>
        <w:outlineLvl w:val="2"/>
      </w:pPr>
      <w:r>
        <w:rPr>
          <w:rFonts w:ascii="黑体" w:hAnsi="黑体" w:eastAsia="黑体"/>
          <w:sz w:val="32"/>
        </w:rPr>
        <w:t>四、财政拨款收入支出决算总体情况说明</w:t>
      </w:r>
    </w:p>
    <w:p w14:paraId="06833351">
      <w:pPr>
        <w:spacing w:line="580" w:lineRule="exact"/>
        <w:ind w:firstLine="640"/>
        <w:jc w:val="both"/>
      </w:pPr>
      <w:r>
        <w:rPr>
          <w:rFonts w:ascii="仿宋_GB2312" w:hAnsi="仿宋_GB2312" w:eastAsia="仿宋_GB2312"/>
          <w:b/>
          <w:sz w:val="32"/>
        </w:rPr>
        <w:t>2024年度财政拨款收入总计605.63万元，</w:t>
      </w:r>
      <w:r>
        <w:rPr>
          <w:rFonts w:ascii="仿宋_GB2312" w:hAnsi="仿宋_GB2312" w:eastAsia="仿宋_GB2312"/>
          <w:b w:val="0"/>
          <w:sz w:val="32"/>
        </w:rPr>
        <w:t>其中：年初财政拨款结转和结余0.00万元，本年财政拨款收入605.63万元。</w:t>
      </w:r>
      <w:r>
        <w:rPr>
          <w:rFonts w:ascii="仿宋_GB2312" w:hAnsi="仿宋_GB2312" w:eastAsia="仿宋_GB2312"/>
          <w:b/>
          <w:sz w:val="32"/>
        </w:rPr>
        <w:t>财政拨款支出总计605.63万元，</w:t>
      </w:r>
      <w:r>
        <w:rPr>
          <w:rFonts w:ascii="仿宋_GB2312" w:hAnsi="仿宋_GB2312" w:eastAsia="仿宋_GB2312"/>
          <w:b w:val="0"/>
          <w:sz w:val="32"/>
        </w:rPr>
        <w:t>其中：年末财政拨款结转和结余0.00万元，本年财政拨款支出605.63万元。</w:t>
      </w:r>
    </w:p>
    <w:p w14:paraId="349F66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42.35万元，增长7.52%，主要原因是：本年在职人员工资调增，社保、公积金基数调增，人员经费增加；增加医疗服务与保障能力提升（卫生健康人才队伍建设）补助资金项目；乡级村级基本药物制度补助资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、孕产妇及儿童管理、老年人管理服务项目、突发公共卫生事件应急处理项目等经费较上年增加，导致经费较上年增加。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年初预算数400.26万元，决算数605.63万元，预决算差异率51.31%，主要原因是：1.年中追加人员工资、社保、公积金基数调增部分资金，导致预决算存在差异；2.年中追加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专项彩票公益金支持地方社会公益事业发展（医疗救助）资金项目，80岁以上老年人免费体检补助资金项目，导致预决算存在差异。</w:t>
      </w:r>
    </w:p>
    <w:p w14:paraId="42D2A781">
      <w:pPr>
        <w:spacing w:line="640" w:lineRule="exact"/>
        <w:ind w:firstLine="640"/>
        <w:jc w:val="both"/>
        <w:outlineLvl w:val="2"/>
      </w:pPr>
      <w:r>
        <w:rPr>
          <w:rFonts w:ascii="黑体" w:hAnsi="黑体" w:eastAsia="黑体"/>
          <w:sz w:val="32"/>
        </w:rPr>
        <w:t>五、一般公共预算财政拨款支出决算情况说明</w:t>
      </w:r>
    </w:p>
    <w:p w14:paraId="6FA1235F">
      <w:pPr>
        <w:spacing w:line="640" w:lineRule="exact"/>
        <w:ind w:firstLine="640"/>
        <w:jc w:val="both"/>
        <w:outlineLvl w:val="3"/>
      </w:pPr>
      <w:r>
        <w:rPr>
          <w:rFonts w:ascii="楷体_GB2312" w:hAnsi="楷体_GB2312" w:eastAsia="楷体_GB2312"/>
          <w:b/>
          <w:sz w:val="32"/>
        </w:rPr>
        <w:t>（一）一般公共预算财政拨款支出决算总体情况</w:t>
      </w:r>
    </w:p>
    <w:p w14:paraId="4D9254AC">
      <w:pPr>
        <w:spacing w:line="580" w:lineRule="exact"/>
        <w:ind w:firstLine="640"/>
        <w:jc w:val="both"/>
      </w:pPr>
      <w:r>
        <w:rPr>
          <w:rFonts w:ascii="仿宋_GB2312" w:hAnsi="仿宋_GB2312" w:eastAsia="仿宋_GB2312"/>
          <w:b/>
          <w:sz w:val="32"/>
        </w:rPr>
        <w:t>2024年度一般公共预算财政拨款支出604.45万元，</w:t>
      </w:r>
      <w:r>
        <w:rPr>
          <w:rFonts w:ascii="仿宋_GB2312" w:hAnsi="仿宋_GB2312" w:eastAsia="仿宋_GB2312"/>
          <w:b w:val="0"/>
          <w:sz w:val="32"/>
        </w:rPr>
        <w:t>占本年支出合计的77.64%。</w:t>
      </w:r>
      <w:r>
        <w:rPr>
          <w:rFonts w:ascii="仿宋_GB2312" w:hAnsi="仿宋_GB2312" w:eastAsia="仿宋_GB2312"/>
          <w:b/>
          <w:sz w:val="32"/>
        </w:rPr>
        <w:t>与上年相比，</w:t>
      </w:r>
      <w:r>
        <w:rPr>
          <w:rFonts w:ascii="仿宋_GB2312" w:hAnsi="仿宋_GB2312" w:eastAsia="仿宋_GB2312"/>
          <w:b w:val="0"/>
          <w:sz w:val="32"/>
        </w:rPr>
        <w:t>增加42.40万元，增长7.54%，主要原因是：本年在职人员工资调增，社保、公积金基数调增，人员经费增加；增加医疗服务与保障能力提升（卫生健康人才队伍建设）补助资金项目；乡级村级基本药物制度补助资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、孕产妇及儿童管理、老年人管理服务项目、突发公共卫生事件应急处理项目等经费较上年增加，导致经费较上年增加。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年初预算数400.26万元，决算数604.45万元，预决算差异率51.01%，主要原因是：1.年中追加人员工资、社保、公积金基数调增部分资金，导致预决算存在差异；2.年中追加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导致预决算存在差异。</w:t>
      </w:r>
    </w:p>
    <w:p w14:paraId="7506F4AF">
      <w:pPr>
        <w:spacing w:line="640" w:lineRule="exact"/>
        <w:ind w:firstLine="640"/>
        <w:jc w:val="both"/>
        <w:outlineLvl w:val="3"/>
      </w:pPr>
      <w:r>
        <w:rPr>
          <w:rFonts w:ascii="楷体_GB2312" w:hAnsi="楷体_GB2312" w:eastAsia="楷体_GB2312"/>
          <w:b/>
          <w:sz w:val="32"/>
        </w:rPr>
        <w:t>（二）一般公共预算财政拨款支出决算结构情况</w:t>
      </w:r>
    </w:p>
    <w:p w14:paraId="10A91317">
      <w:pPr>
        <w:spacing w:line="580" w:lineRule="exact"/>
        <w:ind w:firstLine="640"/>
        <w:jc w:val="both"/>
      </w:pPr>
      <w:r>
        <w:rPr>
          <w:rFonts w:ascii="仿宋_GB2312" w:hAnsi="仿宋_GB2312" w:eastAsia="仿宋_GB2312"/>
          <w:b w:val="0"/>
          <w:sz w:val="32"/>
        </w:rPr>
        <w:t>1.社会保障和就业支出(类)53.72万元,占8.89%。</w:t>
      </w:r>
    </w:p>
    <w:p w14:paraId="6E0D6EFE">
      <w:pPr>
        <w:spacing w:line="580" w:lineRule="exact"/>
        <w:ind w:firstLine="640"/>
        <w:jc w:val="both"/>
      </w:pPr>
      <w:r>
        <w:rPr>
          <w:rFonts w:ascii="仿宋_GB2312" w:hAnsi="仿宋_GB2312" w:eastAsia="仿宋_GB2312"/>
          <w:b w:val="0"/>
          <w:sz w:val="32"/>
        </w:rPr>
        <w:t>2.卫生健康支出(类)514.06万元,占85.05%。</w:t>
      </w:r>
    </w:p>
    <w:p w14:paraId="0DB2007A">
      <w:pPr>
        <w:spacing w:line="580" w:lineRule="exact"/>
        <w:ind w:firstLine="640"/>
        <w:jc w:val="both"/>
      </w:pPr>
      <w:r>
        <w:rPr>
          <w:rFonts w:ascii="仿宋_GB2312" w:hAnsi="仿宋_GB2312" w:eastAsia="仿宋_GB2312"/>
          <w:b w:val="0"/>
          <w:sz w:val="32"/>
        </w:rPr>
        <w:t>3.住房保障支出(类)36.68万元,占6.07%。</w:t>
      </w:r>
    </w:p>
    <w:p w14:paraId="71F89DE2">
      <w:pPr>
        <w:spacing w:line="640" w:lineRule="exact"/>
        <w:ind w:firstLine="640"/>
        <w:jc w:val="both"/>
        <w:outlineLvl w:val="3"/>
      </w:pPr>
      <w:r>
        <w:rPr>
          <w:rFonts w:ascii="楷体_GB2312" w:hAnsi="楷体_GB2312" w:eastAsia="楷体_GB2312"/>
          <w:b/>
          <w:sz w:val="32"/>
        </w:rPr>
        <w:t>（三）一般公共预算财政拨款支出决算具体情况</w:t>
      </w:r>
    </w:p>
    <w:p w14:paraId="1A2664D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1.社会保障和就业支出(类)行政事业单位养老支出(款)事业单位离退休(项):支出决算数为6.39万元，比上年决算增加4.76万元，增长292.02%,主要原因是：本年增加退休人员基础绩效奖，退休费支出增加。</w:t>
      </w:r>
    </w:p>
    <w:p w14:paraId="2C2CB7A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43.23万元，比上年决算增加6.61万元，增长18.05%,主要原因是：本年在职人员工资基数调增，养老缴费基数上涨，相应支出增加。</w:t>
      </w:r>
    </w:p>
    <w:p w14:paraId="0BD9ED73">
      <w:pPr>
        <w:spacing w:line="580" w:lineRule="exact"/>
        <w:ind w:firstLine="640"/>
        <w:jc w:val="both"/>
      </w:pPr>
      <w:r>
        <w:rPr>
          <w:rFonts w:ascii="仿宋_GB2312" w:hAnsi="仿宋_GB2312" w:eastAsia="仿宋_GB2312"/>
          <w:b w:val="0"/>
          <w:sz w:val="32"/>
        </w:rPr>
        <w:t>3.社会保障和就业支出(类)抚恤(款)死亡抚恤(项):支出决算数为4.09万元，比上年决算增加4.09万元，增长100.00%,主要原因是：本年新增死亡人员，死亡抚恤支出增加。</w:t>
      </w:r>
    </w:p>
    <w:p w14:paraId="58C75B4C">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4.卫生健康支出(类)卫生健康管理事务(款)其他卫生健康管理事务支出(项):支出决算数为1.68万元，比上年决算减少3.64万元，下降68.42%,主要原因是：本年减少村医经费，相应支出较上年减少。</w:t>
      </w:r>
    </w:p>
    <w:p w14:paraId="3B16A921">
      <w:pPr>
        <w:spacing w:line="580" w:lineRule="exact"/>
        <w:ind w:firstLine="640"/>
        <w:jc w:val="both"/>
      </w:pPr>
      <w:r>
        <w:rPr>
          <w:rFonts w:ascii="仿宋_GB2312" w:hAnsi="仿宋_GB2312" w:eastAsia="仿宋_GB2312"/>
          <w:b w:val="0"/>
          <w:sz w:val="32"/>
        </w:rPr>
        <w:t>5.卫生健康支出(类)公立医院(款)其他公立医院支出(项):支出决算数为2.00万元，比上年决算增加2.00万元，增长100.00%,主要原因是：本年增加医疗服务与保障能力提升（卫生健康人才队伍建设）补助资金项目支出。</w:t>
      </w:r>
    </w:p>
    <w:p w14:paraId="0B054629">
      <w:pPr>
        <w:spacing w:line="580" w:lineRule="exact"/>
        <w:ind w:firstLine="640"/>
        <w:jc w:val="both"/>
      </w:pPr>
      <w:r>
        <w:rPr>
          <w:rFonts w:ascii="仿宋_GB2312" w:hAnsi="仿宋_GB2312" w:eastAsia="仿宋_GB2312"/>
          <w:b w:val="0"/>
          <w:sz w:val="32"/>
        </w:rPr>
        <w:t>6.卫生健康支出(类)基层医疗卫生机构(款)乡镇卫生院(项):支出决算数为334.88万元，比上年决算增加9.94万元，增长3.06%,主要原因是：本年在职人员工资调增，岗位晋升，增加绩效工资，人员经费支出增加。</w:t>
      </w:r>
    </w:p>
    <w:p w14:paraId="0060A9F1">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7.卫生健康支出(类)基层医疗卫生机构(款)其他基层医疗卫生机构支出(项):支出决算数为12.80万元，比上年决算增加0.36万元，增长2.89%,主要原因是：本年基本药物制度补助资金项目资金支出较上年增加。</w:t>
      </w:r>
    </w:p>
    <w:p w14:paraId="273F4301">
      <w:pPr>
        <w:spacing w:line="580" w:lineRule="exact"/>
        <w:ind w:firstLine="640"/>
        <w:jc w:val="both"/>
      </w:pPr>
      <w:r>
        <w:rPr>
          <w:rFonts w:ascii="仿宋_GB2312" w:hAnsi="仿宋_GB2312" w:eastAsia="仿宋_GB2312"/>
          <w:b w:val="0"/>
          <w:sz w:val="32"/>
        </w:rPr>
        <w:t>8.卫生健康支出(类)公共卫生(款)基本公共卫生服务(项):支出决算数为98.29万元，比上年决算增加5.52万元，增长5.95%,主要原因是：本年增加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w:t>
      </w:r>
    </w:p>
    <w:p w14:paraId="33E84BCE">
      <w:pPr>
        <w:spacing w:line="580" w:lineRule="exact"/>
        <w:ind w:firstLine="640"/>
        <w:jc w:val="both"/>
      </w:pPr>
      <w:r>
        <w:rPr>
          <w:rFonts w:ascii="仿宋_GB2312" w:hAnsi="仿宋_GB2312" w:eastAsia="仿宋_GB2312"/>
          <w:b w:val="0"/>
          <w:sz w:val="32"/>
        </w:rPr>
        <w:t>9.卫生健康支出(类)公共卫生(款)重大公共卫生服务(项):支出决算数为1.34万元，比上年决算增加1.34万元，增长100.00%,主要原因是：本年增加重大传染病防控补助资金项目。</w:t>
      </w:r>
    </w:p>
    <w:p w14:paraId="419B916A">
      <w:pPr>
        <w:spacing w:line="580" w:lineRule="exact"/>
        <w:ind w:firstLine="640"/>
        <w:jc w:val="both"/>
      </w:pPr>
      <w:r>
        <w:rPr>
          <w:rFonts w:ascii="仿宋_GB2312" w:hAnsi="仿宋_GB2312" w:eastAsia="仿宋_GB2312"/>
          <w:b w:val="0"/>
          <w:sz w:val="32"/>
        </w:rPr>
        <w:t>10.卫生健康支出(类)公共卫生(款)突发公共卫生事件应急处置(项):支出决算数为5.00万元，比上年决算增加4.35万元，增长669.23%,主要原因是：本年中央突发事件财力补助项目支出较上年增加。</w:t>
      </w:r>
    </w:p>
    <w:p w14:paraId="40D6BC95">
      <w:pPr>
        <w:spacing w:line="580" w:lineRule="exact"/>
        <w:ind w:firstLine="640"/>
        <w:jc w:val="both"/>
      </w:pPr>
      <w:r>
        <w:rPr>
          <w:rFonts w:ascii="仿宋_GB2312" w:hAnsi="仿宋_GB2312" w:eastAsia="仿宋_GB2312"/>
          <w:b w:val="0"/>
          <w:sz w:val="32"/>
        </w:rPr>
        <w:t>11.卫生健康支出(类)公共卫生(款)其他公共卫生支出(项):支出决算数为36.45万元，比上年决算增加3.59万元，增长10.93%,主要原因是：本年全民健康体检支出项目较上年增加。</w:t>
      </w:r>
    </w:p>
    <w:p w14:paraId="2EBC17F8">
      <w:pPr>
        <w:spacing w:line="580" w:lineRule="exact"/>
        <w:ind w:firstLine="640"/>
        <w:jc w:val="both"/>
      </w:pPr>
      <w:r>
        <w:rPr>
          <w:rFonts w:ascii="仿宋_GB2312" w:hAnsi="仿宋_GB2312" w:eastAsia="仿宋_GB2312"/>
          <w:b w:val="0"/>
          <w:sz w:val="32"/>
        </w:rPr>
        <w:t>12.卫生健康支出(类)行政事业单位医疗(款)事业单位医疗(项):支出决算数为21.62万元，比上年决算减少1.30万元，下降5.67%,主要原因是：因退休人员医疗保险制度改革，退休人员基本医疗不再由单位缴纳，导致经费较上年减少。</w:t>
      </w:r>
    </w:p>
    <w:p w14:paraId="206EB640">
      <w:pPr>
        <w:spacing w:line="580" w:lineRule="exact"/>
        <w:ind w:firstLine="640"/>
        <w:jc w:val="both"/>
      </w:pPr>
      <w:r>
        <w:rPr>
          <w:rFonts w:ascii="仿宋_GB2312" w:hAnsi="仿宋_GB2312" w:eastAsia="仿宋_GB2312"/>
          <w:b w:val="0"/>
          <w:sz w:val="32"/>
        </w:rPr>
        <w:t>13.住房保障支出(类)住房改革支出(款)住房公积金(项):支出决算数为36.68万元，比上年决算增加4.78万元，增长14.98%,主要原因是：本年在职人员工资基数调增，公积金缴费基数上涨，相应支出增加。</w:t>
      </w:r>
    </w:p>
    <w:p w14:paraId="1AA5DC68">
      <w:pPr>
        <w:spacing w:line="640" w:lineRule="exact"/>
        <w:ind w:firstLine="640"/>
        <w:jc w:val="both"/>
        <w:outlineLvl w:val="2"/>
      </w:pPr>
      <w:r>
        <w:rPr>
          <w:rFonts w:ascii="黑体" w:hAnsi="黑体" w:eastAsia="黑体"/>
          <w:sz w:val="32"/>
        </w:rPr>
        <w:t>六、一般公共预算财政拨款基本支出决算情况说明</w:t>
      </w:r>
    </w:p>
    <w:p w14:paraId="5B7CAA84">
      <w:pPr>
        <w:spacing w:line="580" w:lineRule="exact"/>
        <w:ind w:firstLine="640"/>
        <w:jc w:val="both"/>
      </w:pPr>
      <w:r>
        <w:rPr>
          <w:rFonts w:ascii="仿宋_GB2312" w:hAnsi="仿宋_GB2312" w:eastAsia="仿宋_GB2312"/>
          <w:b w:val="0"/>
          <w:sz w:val="32"/>
        </w:rPr>
        <w:t>2024年度一般公共预算财政拨款基本支出446.89万元，其中：</w:t>
      </w:r>
      <w:r>
        <w:rPr>
          <w:rFonts w:ascii="仿宋_GB2312" w:hAnsi="仿宋_GB2312" w:eastAsia="仿宋_GB2312"/>
          <w:b/>
          <w:sz w:val="32"/>
        </w:rPr>
        <w:t>人员经费446.39万元，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w:t>
      </w:r>
    </w:p>
    <w:p w14:paraId="35259245">
      <w:pPr>
        <w:spacing w:line="580" w:lineRule="exact"/>
        <w:ind w:firstLine="640"/>
        <w:jc w:val="both"/>
      </w:pPr>
      <w:r>
        <w:rPr>
          <w:rFonts w:ascii="仿宋_GB2312" w:hAnsi="仿宋_GB2312" w:eastAsia="仿宋_GB2312"/>
          <w:b/>
          <w:sz w:val="32"/>
        </w:rPr>
        <w:t>公用经费0.50万元，</w:t>
      </w:r>
      <w:r>
        <w:rPr>
          <w:rFonts w:ascii="仿宋_GB2312" w:hAnsi="仿宋_GB2312" w:eastAsia="仿宋_GB2312"/>
          <w:b w:val="0"/>
          <w:sz w:val="32"/>
        </w:rPr>
        <w:t>包括：工会经费、福利费。</w:t>
      </w:r>
    </w:p>
    <w:p w14:paraId="6AA0DAE5">
      <w:pPr>
        <w:spacing w:line="640" w:lineRule="exact"/>
        <w:ind w:firstLine="640"/>
        <w:jc w:val="both"/>
        <w:outlineLvl w:val="2"/>
      </w:pPr>
      <w:r>
        <w:rPr>
          <w:rFonts w:ascii="黑体" w:hAnsi="黑体" w:eastAsia="黑体"/>
          <w:sz w:val="32"/>
        </w:rPr>
        <w:t>七、政府性基金预算财政拨款收入支出决算情况说明</w:t>
      </w:r>
    </w:p>
    <w:p w14:paraId="7F3C7F5F">
      <w:pPr>
        <w:spacing w:line="580" w:lineRule="exact"/>
        <w:ind w:firstLine="640"/>
        <w:jc w:val="both"/>
      </w:pPr>
      <w:r>
        <w:rPr>
          <w:rFonts w:ascii="仿宋_GB2312" w:hAnsi="仿宋_GB2312" w:eastAsia="仿宋_GB2312"/>
          <w:b/>
          <w:sz w:val="32"/>
        </w:rPr>
        <w:t>2024年度政府性基金预算财政拨款收入总计1.18万元，</w:t>
      </w:r>
      <w:r>
        <w:rPr>
          <w:rFonts w:ascii="仿宋_GB2312" w:hAnsi="仿宋_GB2312" w:eastAsia="仿宋_GB2312"/>
          <w:b w:val="0"/>
          <w:sz w:val="32"/>
        </w:rPr>
        <w:t>其中：年初结转和结余0.00万元，本年收入1.18万元。</w:t>
      </w:r>
      <w:r>
        <w:rPr>
          <w:rFonts w:ascii="仿宋_GB2312" w:hAnsi="仿宋_GB2312" w:eastAsia="仿宋_GB2312"/>
          <w:b/>
          <w:sz w:val="32"/>
        </w:rPr>
        <w:t>政府性基金预算财政拨款支出总计1.18万元，</w:t>
      </w:r>
      <w:r>
        <w:rPr>
          <w:rFonts w:ascii="仿宋_GB2312" w:hAnsi="仿宋_GB2312" w:eastAsia="仿宋_GB2312"/>
          <w:b w:val="0"/>
          <w:sz w:val="32"/>
        </w:rPr>
        <w:t>其中：年末结转和结余0.00万元，本年支出1.18万元。</w:t>
      </w:r>
    </w:p>
    <w:p w14:paraId="5019901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减少0.05万元，下降4.07%，主要原因是：本年80岁以上老年人免费体检补助资金项目资金较上年减少，导致经费较上年减少。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年初预算数0.00万元，决算数1.18万元，预决算差异率100.00%，主要原因是：年中追加80岁以上老年人免费体检补助资金项目，导致预决算存在差异。</w:t>
      </w:r>
    </w:p>
    <w:p w14:paraId="6A7DCA62">
      <w:pPr>
        <w:spacing w:line="580" w:lineRule="exact"/>
        <w:ind w:firstLine="640"/>
        <w:jc w:val="both"/>
      </w:pPr>
      <w:r>
        <w:rPr>
          <w:rFonts w:ascii="仿宋_GB2312" w:hAnsi="仿宋_GB2312" w:eastAsia="仿宋_GB2312"/>
          <w:b w:val="0"/>
          <w:sz w:val="32"/>
        </w:rPr>
        <w:t>政府性基金预算财政拨款支出1.18万元。</w:t>
      </w:r>
    </w:p>
    <w:p w14:paraId="6641C070">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1.18万元，比上年决算减少0.05万元，下降4.07%,主要原因是：本年80岁以上老年人免费体检补助资金项目资金较上年减少，导致经费较上年减少。</w:t>
      </w:r>
    </w:p>
    <w:p w14:paraId="1B1BC474">
      <w:pPr>
        <w:spacing w:line="640" w:lineRule="exact"/>
        <w:ind w:firstLine="640"/>
        <w:jc w:val="both"/>
        <w:outlineLvl w:val="2"/>
      </w:pPr>
      <w:r>
        <w:rPr>
          <w:rFonts w:ascii="黑体" w:hAnsi="黑体" w:eastAsia="黑体"/>
          <w:sz w:val="32"/>
        </w:rPr>
        <w:t>八、国有资本经营预算财政拨款收入支出决算情况说明</w:t>
      </w:r>
    </w:p>
    <w:p w14:paraId="6E88465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C0EE5F">
      <w:pPr>
        <w:spacing w:line="640" w:lineRule="exact"/>
        <w:ind w:firstLine="640"/>
        <w:jc w:val="both"/>
        <w:outlineLvl w:val="2"/>
      </w:pPr>
      <w:r>
        <w:rPr>
          <w:rFonts w:ascii="黑体" w:hAnsi="黑体" w:eastAsia="黑体"/>
          <w:sz w:val="32"/>
        </w:rPr>
        <w:t>九、财政拨款“三公”经费支出决算情况说明</w:t>
      </w:r>
    </w:p>
    <w:p w14:paraId="611516F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3.62万元，下降100.00%，主要原因是：本年无公务用车运行维护费，导致经费较上年减少。其中：因公出国（境）费支出0.00万元，占0.00%，比上年增加0.00万元，增长0.00%，主要原因是：2023年与2024年均未安排因公出国（境）费支出。公务用车购置及运行维护费支出0.00万元，占0.00%，比上年减少3.62万元，下降100.00%，主要原因是：本年无公务用车运行维护费，导致经费较上年减少。公务接待费支出0.00万元，占0.00%，比上年增加0.00万元，增长0.00%，主要原因是：2023年与2024年均未安排公务接待费支出。</w:t>
      </w:r>
    </w:p>
    <w:p w14:paraId="5BAB7870">
      <w:pPr>
        <w:spacing w:line="580" w:lineRule="exact"/>
        <w:ind w:firstLine="640"/>
        <w:jc w:val="both"/>
      </w:pPr>
      <w:r>
        <w:rPr>
          <w:rFonts w:ascii="仿宋_GB2312" w:hAnsi="仿宋_GB2312" w:eastAsia="仿宋_GB2312"/>
          <w:b/>
          <w:sz w:val="32"/>
        </w:rPr>
        <w:t>具体情况如下：</w:t>
      </w:r>
    </w:p>
    <w:p w14:paraId="4887AE8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5C4E7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单位业务用车，车辆费用未使用财政拨款公务用车运行维护费支付，由自有资金经费保障。</w:t>
      </w:r>
    </w:p>
    <w:p w14:paraId="44937D0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D83AE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3B04DB2">
      <w:pPr>
        <w:spacing w:line="640" w:lineRule="exact"/>
        <w:ind w:firstLine="640"/>
        <w:jc w:val="both"/>
        <w:outlineLvl w:val="2"/>
      </w:pPr>
      <w:r>
        <w:rPr>
          <w:rFonts w:ascii="黑体" w:hAnsi="黑体" w:eastAsia="黑体"/>
          <w:sz w:val="32"/>
        </w:rPr>
        <w:t>十、其他重要事项的情况说明</w:t>
      </w:r>
    </w:p>
    <w:p w14:paraId="5A6BDAF7">
      <w:pPr>
        <w:spacing w:line="640" w:lineRule="exact"/>
        <w:ind w:firstLine="640"/>
        <w:jc w:val="both"/>
        <w:outlineLvl w:val="3"/>
      </w:pPr>
      <w:r>
        <w:rPr>
          <w:rFonts w:ascii="楷体_GB2312" w:hAnsi="楷体_GB2312" w:eastAsia="楷体_GB2312"/>
          <w:b/>
          <w:sz w:val="32"/>
        </w:rPr>
        <w:t>（一）机关运行经费及公用经费支出情况</w:t>
      </w:r>
    </w:p>
    <w:p w14:paraId="04DFD1BD">
      <w:pPr>
        <w:spacing w:line="580" w:lineRule="exact"/>
        <w:ind w:firstLine="640"/>
        <w:jc w:val="both"/>
      </w:pPr>
      <w:r>
        <w:rPr>
          <w:rFonts w:ascii="仿宋_GB2312" w:hAnsi="仿宋_GB2312" w:eastAsia="仿宋_GB2312"/>
          <w:b w:val="0"/>
          <w:sz w:val="32"/>
        </w:rPr>
        <w:t>2024年度霍城县三道河乡卫生院（事业单位）公用经费支出0.50万元，比上年减少0.54万元，下降51.92%，主要原因是：严格控制公用经费，合理节约办公用品，减少不必要开支。</w:t>
      </w:r>
    </w:p>
    <w:p w14:paraId="58241DB7">
      <w:pPr>
        <w:spacing w:line="640" w:lineRule="exact"/>
        <w:ind w:firstLine="640"/>
        <w:jc w:val="both"/>
        <w:outlineLvl w:val="3"/>
      </w:pPr>
      <w:r>
        <w:rPr>
          <w:rFonts w:ascii="楷体_GB2312" w:hAnsi="楷体_GB2312" w:eastAsia="楷体_GB2312"/>
          <w:b/>
          <w:sz w:val="32"/>
        </w:rPr>
        <w:t>（二）政府采购情况</w:t>
      </w:r>
    </w:p>
    <w:p w14:paraId="2FED3848">
      <w:pPr>
        <w:spacing w:line="580" w:lineRule="exact"/>
        <w:ind w:firstLine="640"/>
        <w:jc w:val="both"/>
      </w:pPr>
      <w:r>
        <w:rPr>
          <w:rFonts w:ascii="仿宋_GB2312" w:hAnsi="仿宋_GB2312" w:eastAsia="仿宋_GB2312"/>
          <w:b w:val="0"/>
          <w:sz w:val="32"/>
        </w:rPr>
        <w:t>2024年度政府采购支出总额4.81万元，其中：政府采购货物支出1.61万元、政府采购工程支出0.00万元、政府采购服务支出3.20万元。</w:t>
      </w:r>
    </w:p>
    <w:p w14:paraId="2E55DD63">
      <w:pPr>
        <w:spacing w:line="580" w:lineRule="exact"/>
        <w:ind w:firstLine="640"/>
        <w:jc w:val="both"/>
      </w:pPr>
      <w:r>
        <w:rPr>
          <w:rFonts w:ascii="仿宋_GB2312" w:hAnsi="仿宋_GB2312" w:eastAsia="仿宋_GB2312"/>
          <w:b w:val="0"/>
          <w:sz w:val="32"/>
        </w:rPr>
        <w:t>授予中小企业合同金额4.81万元，占政府采购支出总额的100.00%，其中：授予小微企业合同金额4.81万元，占政府采购支出总额的100.00%。</w:t>
      </w:r>
    </w:p>
    <w:p w14:paraId="595843D2">
      <w:pPr>
        <w:spacing w:line="640" w:lineRule="exact"/>
        <w:ind w:firstLine="640"/>
        <w:jc w:val="both"/>
        <w:outlineLvl w:val="3"/>
      </w:pPr>
      <w:r>
        <w:rPr>
          <w:rFonts w:ascii="楷体_GB2312" w:hAnsi="楷体_GB2312" w:eastAsia="楷体_GB2312"/>
          <w:b/>
          <w:sz w:val="32"/>
        </w:rPr>
        <w:t>（三）国有资产占用情况说明</w:t>
      </w:r>
    </w:p>
    <w:p w14:paraId="03FCB442">
      <w:pPr>
        <w:spacing w:line="580" w:lineRule="exact"/>
        <w:ind w:firstLine="640"/>
        <w:jc w:val="both"/>
      </w:pPr>
      <w:r>
        <w:rPr>
          <w:rFonts w:ascii="仿宋_GB2312" w:hAnsi="仿宋_GB2312" w:eastAsia="仿宋_GB2312"/>
          <w:b w:val="0"/>
          <w:sz w:val="32"/>
        </w:rPr>
        <w:t>截至2024年12月31日，房屋4,108.44平方米，价值735.51万元。车辆4辆，价值69.45万元，其中：副部（省）级及以上领导用车0辆、主要负责人用车0辆、机要通信用车0辆、应急保障用车0辆、执法执勤用车0辆、特种专业技术用车0辆、离退休干部服务用车0辆、其他用车4辆，其他用车主要是：救护车及负压救护车。单价100万元（含）以上设备（不含车辆）3台（套）。</w:t>
      </w:r>
    </w:p>
    <w:p w14:paraId="2463E5E2">
      <w:pPr>
        <w:spacing w:line="640" w:lineRule="exact"/>
        <w:ind w:firstLine="640"/>
        <w:jc w:val="both"/>
        <w:outlineLvl w:val="2"/>
      </w:pPr>
      <w:r>
        <w:rPr>
          <w:rFonts w:ascii="黑体" w:hAnsi="黑体" w:eastAsia="黑体"/>
          <w:sz w:val="32"/>
        </w:rPr>
        <w:t>十一、预算绩效的情况说明</w:t>
      </w:r>
    </w:p>
    <w:p w14:paraId="378AA97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778.48万元，实际执行总额778.48万元；预算绩效评价项目1个，全年预算数172.85万元，全年执行数172.85万元。预算绩效管理取得的成效：本项目的综合评价基于对项目各方面绩效的深入分析与评估。从项目目标的达成情况来看，该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三是规范固定资产的报废、出售、捐赠等处置行为，明确处置审批程序，对处置收入和损失进行及时、准确的账务处理。四是制定详细的盘点方案，定期对固定资产进行全面盘点，核实资产的数量、状态等，对盘盈盘亏资产及时查明原因并进行处理。具体附整体支出绩效自评表，项目支出绩效自评表和评价报告。</w:t>
      </w:r>
    </w:p>
    <w:p w14:paraId="74A10B5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A48BD1D">
        <w:tblPrEx>
          <w:tblCellMar>
            <w:top w:w="0" w:type="dxa"/>
            <w:left w:w="108" w:type="dxa"/>
            <w:bottom w:w="0" w:type="dxa"/>
            <w:right w:w="108" w:type="dxa"/>
          </w:tblCellMar>
        </w:tblPrEx>
        <w:tc>
          <w:tcPr>
            <w:tcW w:w="8840" w:type="dxa"/>
            <w:gridSpan w:val="8"/>
            <w:vAlign w:val="center"/>
          </w:tcPr>
          <w:p w14:paraId="7B851A2D">
            <w:pPr>
              <w:jc w:val="center"/>
            </w:pPr>
            <w:r>
              <w:rPr>
                <w:rFonts w:ascii="宋体" w:hAnsi="宋体" w:eastAsia="宋体"/>
                <w:sz w:val="24"/>
              </w:rPr>
              <w:t>单位整体支出绩效自评表</w:t>
            </w:r>
          </w:p>
        </w:tc>
      </w:tr>
      <w:tr w14:paraId="7EB3275C">
        <w:tblPrEx>
          <w:tblCellMar>
            <w:top w:w="0" w:type="dxa"/>
            <w:left w:w="108" w:type="dxa"/>
            <w:bottom w:w="0" w:type="dxa"/>
            <w:right w:w="108" w:type="dxa"/>
          </w:tblCellMar>
        </w:tblPrEx>
        <w:tc>
          <w:tcPr>
            <w:tcW w:w="8840" w:type="dxa"/>
            <w:gridSpan w:val="8"/>
            <w:vAlign w:val="center"/>
          </w:tcPr>
          <w:p w14:paraId="488CFE67">
            <w:pPr>
              <w:jc w:val="center"/>
            </w:pPr>
            <w:r>
              <w:rPr>
                <w:rFonts w:ascii="宋体" w:hAnsi="宋体" w:eastAsia="宋体"/>
                <w:sz w:val="24"/>
              </w:rPr>
              <w:t>（2024年度）</w:t>
            </w:r>
          </w:p>
        </w:tc>
      </w:tr>
      <w:tr w14:paraId="3AEBE20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5FBE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A65E8">
            <w:pPr>
              <w:jc w:val="center"/>
            </w:pPr>
            <w:r>
              <w:rPr>
                <w:rFonts w:ascii="宋体" w:hAnsi="宋体" w:eastAsia="宋体"/>
                <w:sz w:val="16"/>
              </w:rPr>
              <w:t>霍城县三道河乡卫生院</w:t>
            </w:r>
          </w:p>
        </w:tc>
      </w:tr>
      <w:tr w14:paraId="40004AC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8115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2443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B425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452B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DC6E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BD1F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0162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378ED">
            <w:pPr>
              <w:jc w:val="center"/>
            </w:pPr>
            <w:r>
              <w:rPr>
                <w:rFonts w:ascii="宋体" w:hAnsi="宋体" w:eastAsia="宋体"/>
                <w:sz w:val="16"/>
              </w:rPr>
              <w:t>得分</w:t>
            </w:r>
          </w:p>
        </w:tc>
      </w:tr>
      <w:tr w14:paraId="044220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88FD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3F16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D2BF8">
            <w:pPr>
              <w:jc w:val="center"/>
            </w:pPr>
            <w:r>
              <w:rPr>
                <w:rFonts w:ascii="宋体" w:hAnsi="宋体" w:eastAsia="宋体"/>
                <w:sz w:val="16"/>
              </w:rPr>
              <w:t>586.36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B4C44">
            <w:pPr>
              <w:jc w:val="center"/>
            </w:pPr>
            <w:r>
              <w:rPr>
                <w:rFonts w:ascii="宋体" w:hAnsi="宋体" w:eastAsia="宋体"/>
                <w:sz w:val="16"/>
              </w:rPr>
              <w:t>778.48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24D25">
            <w:pPr>
              <w:jc w:val="center"/>
            </w:pPr>
            <w:r>
              <w:rPr>
                <w:rFonts w:ascii="宋体" w:hAnsi="宋体" w:eastAsia="宋体"/>
                <w:sz w:val="16"/>
              </w:rPr>
              <w:t>778.48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8EE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AB24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39383">
            <w:pPr>
              <w:jc w:val="center"/>
            </w:pPr>
            <w:r>
              <w:rPr>
                <w:rFonts w:ascii="宋体" w:hAnsi="宋体" w:eastAsia="宋体"/>
                <w:sz w:val="16"/>
              </w:rPr>
              <w:t>10</w:t>
            </w:r>
          </w:p>
        </w:tc>
      </w:tr>
      <w:tr w14:paraId="15EDA8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62F8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BE41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BFD2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C1315">
            <w:pPr>
              <w:jc w:val="center"/>
            </w:pPr>
            <w:r>
              <w:rPr>
                <w:rFonts w:ascii="宋体" w:hAnsi="宋体" w:eastAsia="宋体"/>
                <w:sz w:val="16"/>
              </w:rPr>
              <w:t>158.74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4A68A">
            <w:pPr>
              <w:jc w:val="center"/>
            </w:pPr>
            <w:r>
              <w:rPr>
                <w:rFonts w:ascii="宋体" w:hAnsi="宋体" w:eastAsia="宋体"/>
                <w:sz w:val="16"/>
              </w:rPr>
              <w:t>158.74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EA4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F7C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45680">
            <w:pPr>
              <w:jc w:val="center"/>
            </w:pPr>
            <w:r>
              <w:rPr>
                <w:rFonts w:ascii="宋体" w:hAnsi="宋体" w:eastAsia="宋体"/>
                <w:sz w:val="16"/>
              </w:rPr>
              <w:t>-</w:t>
            </w:r>
          </w:p>
        </w:tc>
      </w:tr>
      <w:tr w14:paraId="09237E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0DA6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2123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E0140">
            <w:pPr>
              <w:jc w:val="center"/>
            </w:pPr>
            <w:r>
              <w:rPr>
                <w:rFonts w:ascii="宋体" w:hAnsi="宋体" w:eastAsia="宋体"/>
                <w:sz w:val="16"/>
              </w:rPr>
              <w:t>400.26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CE6D9">
            <w:pPr>
              <w:jc w:val="center"/>
            </w:pPr>
            <w:r>
              <w:rPr>
                <w:rFonts w:ascii="宋体" w:hAnsi="宋体" w:eastAsia="宋体"/>
                <w:sz w:val="16"/>
              </w:rPr>
              <w:t>446.89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8937B">
            <w:pPr>
              <w:jc w:val="center"/>
            </w:pPr>
            <w:r>
              <w:rPr>
                <w:rFonts w:ascii="宋体" w:hAnsi="宋体" w:eastAsia="宋体"/>
                <w:sz w:val="16"/>
              </w:rPr>
              <w:t>446.89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EE9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376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72FFA">
            <w:pPr>
              <w:jc w:val="center"/>
            </w:pPr>
            <w:r>
              <w:rPr>
                <w:rFonts w:ascii="宋体" w:hAnsi="宋体" w:eastAsia="宋体"/>
                <w:sz w:val="16"/>
              </w:rPr>
              <w:t>-</w:t>
            </w:r>
          </w:p>
        </w:tc>
      </w:tr>
      <w:tr w14:paraId="4412EB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CC1A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2951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6A108">
            <w:pPr>
              <w:jc w:val="center"/>
            </w:pPr>
            <w:r>
              <w:rPr>
                <w:rFonts w:ascii="宋体" w:hAnsi="宋体" w:eastAsia="宋体"/>
                <w:sz w:val="16"/>
              </w:rPr>
              <w:t>186.10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16524">
            <w:pPr>
              <w:jc w:val="center"/>
            </w:pPr>
            <w:r>
              <w:rPr>
                <w:rFonts w:ascii="宋体" w:hAnsi="宋体" w:eastAsia="宋体"/>
                <w:sz w:val="16"/>
              </w:rPr>
              <w:t>172.85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D934A">
            <w:pPr>
              <w:jc w:val="center"/>
            </w:pPr>
            <w:r>
              <w:rPr>
                <w:rFonts w:ascii="宋体" w:hAnsi="宋体" w:eastAsia="宋体"/>
                <w:sz w:val="16"/>
              </w:rPr>
              <w:t>172.85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CA0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EEB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A91E6">
            <w:pPr>
              <w:jc w:val="center"/>
            </w:pPr>
            <w:r>
              <w:rPr>
                <w:rFonts w:ascii="宋体" w:hAnsi="宋体" w:eastAsia="宋体"/>
                <w:sz w:val="16"/>
              </w:rPr>
              <w:t>-</w:t>
            </w:r>
          </w:p>
        </w:tc>
      </w:tr>
      <w:tr w14:paraId="6C345E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8805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53F3E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0ABA62">
            <w:pPr>
              <w:jc w:val="center"/>
            </w:pPr>
            <w:r>
              <w:rPr>
                <w:rFonts w:ascii="宋体" w:hAnsi="宋体" w:eastAsia="宋体"/>
                <w:sz w:val="16"/>
              </w:rPr>
              <w:t>实际完成情况</w:t>
            </w:r>
          </w:p>
        </w:tc>
      </w:tr>
      <w:tr w14:paraId="692D5C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FE8E9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FFC19A">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1.以公共卫生服务为主，提供预防保健、基本医疗、康复、健康教育和JHSY技术服务等综合性卫生服务，完成高血压、2型糖尿病患者基层规范管理服务，加强适龄儿童免疫规划疫苗接种，稳步推进基本公共卫生服务指标逐项完成。2.实施健康行动，做实做细家庭医生签约服务，达到国家目标要求。3.持续推动全民免费健康体检，保障区域内常见病、多发病的就诊医治，加强慢性病预防、治疗和控制。4.建立健全的监督和评估机制，对基本药物的执行情况进行定期检查和评估，及时发现问题并加以解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4DA7B4">
            <w:pPr>
              <w:jc w:val="both"/>
            </w:pPr>
            <w:r>
              <w:rPr>
                <w:rFonts w:ascii="宋体" w:hAnsi="宋体" w:eastAsia="宋体"/>
                <w:sz w:val="16"/>
              </w:rPr>
              <w:t>1.</w:t>
            </w:r>
            <w:r>
              <w:rPr>
                <w:rFonts w:hint="eastAsia" w:ascii="宋体" w:hAnsi="宋体"/>
                <w:sz w:val="16"/>
                <w:lang w:eastAsia="zh-CN"/>
              </w:rPr>
              <w:t>截至2024</w:t>
            </w:r>
            <w:r>
              <w:rPr>
                <w:rFonts w:ascii="宋体" w:hAnsi="宋体" w:eastAsia="宋体"/>
                <w:sz w:val="16"/>
              </w:rPr>
              <w:t>年12月31日免疫规划疫苗接种数为乙肝301支，脊灰疫苗（针剂285支、滴剂1302人/201支），百白破283支，麻腮风254支、A+C流脑585支，A群流脑365人/317支、甲肝327支，白破431人/298支，2024年共用注射器1825支，损耗55支；非免疫规划疫苗接种数</w:t>
            </w:r>
            <w:r>
              <w:rPr>
                <w:rFonts w:hint="eastAsia" w:ascii="宋体" w:hAnsi="宋体"/>
                <w:sz w:val="16"/>
                <w:lang w:eastAsia="zh-CN"/>
              </w:rPr>
              <w:t>为</w:t>
            </w:r>
            <w:r>
              <w:rPr>
                <w:rFonts w:ascii="宋体" w:hAnsi="宋体" w:eastAsia="宋体"/>
                <w:sz w:val="16"/>
              </w:rPr>
              <w:t>狂犬疫苗68支，乙肝10ug74支，乙肝20ug 45支，乙肝60ug24支，水痘228支，宫颈癌疫苗238支，流感疫苗469支，手足口病疫苗58支，23价肺炎疫苗19支，麻腮风疫苗4054支；2.签约常住人口8401人，签约率88.80%；重点人群签约数6418人，签约率93.72%；3.高血压患者登记管理1035人，规范管理率84.44%。已体检高血压1035人，体检率100%；糖尿病患者登记管理387人，规范管理率80.10%。已体检糖尿病1021人，体检率100%；老年人登记管理2810人，已体检2910人，体检率104%，接受健康管理人数2750人，健康管理率97.86%；严重精神障碍患者登记管理180人，规范管理率88.46%。已体检严重精神障碍患者180人，体检率100%；肿瘤管理登记管理416人（其中169人死亡），随访率100%；4.全民健康体检已完成6593人，完成总任务的106.39%；5.通过实施基本药物制度执行率指标在衡量制度成效方面发挥了重要作用。从药品可及性提升、药品费用负担减轻到医疗行为更加规范等多方面来看，随着执行率的提高，基本药物制度取得了显著成效，为保障群众健康、促进医疗卫生事业发展做出了积极贡献。然而，在实际执行过程中仍可能存在一些问题，如部分偏远地区药品配送困难、个别医疗机构基本药物使用比例有待进一步提高等，需要持续关注和改进，以推动基本药物制度更好地实施。</w:t>
            </w:r>
          </w:p>
        </w:tc>
      </w:tr>
      <w:tr w14:paraId="6E0587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AFB7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2420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C82E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4282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B0F8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3AEB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A395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B028A">
            <w:pPr>
              <w:jc w:val="center"/>
            </w:pPr>
            <w:r>
              <w:rPr>
                <w:rFonts w:ascii="宋体" w:hAnsi="宋体" w:eastAsia="宋体"/>
                <w:sz w:val="16"/>
              </w:rPr>
              <w:t>得分</w:t>
            </w:r>
          </w:p>
        </w:tc>
      </w:tr>
      <w:tr w14:paraId="44CACA7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67D5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7EAF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A6A26">
            <w:pPr>
              <w:jc w:val="center"/>
            </w:pPr>
            <w:r>
              <w:rPr>
                <w:rFonts w:ascii="宋体" w:hAnsi="宋体" w:eastAsia="宋体"/>
                <w:sz w:val="16"/>
              </w:rPr>
              <w:t>家庭医生签约覆盖率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9AA5A">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83781">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08746">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9356A">
            <w:pPr>
              <w:jc w:val="center"/>
            </w:pPr>
            <w:r>
              <w:rPr>
                <w:rFonts w:ascii="宋体" w:hAnsi="宋体" w:eastAsia="宋体"/>
                <w:sz w:val="16"/>
              </w:rPr>
              <w:t>88.8%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B5BDF">
            <w:pPr>
              <w:jc w:val="center"/>
            </w:pPr>
            <w:r>
              <w:rPr>
                <w:rFonts w:ascii="宋体" w:hAnsi="宋体" w:eastAsia="宋体"/>
                <w:sz w:val="16"/>
              </w:rPr>
              <w:t>19</w:t>
            </w:r>
          </w:p>
        </w:tc>
      </w:tr>
      <w:tr w14:paraId="3991A7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C4F5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61F2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EDF8B">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16BD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AF81F">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8EE9E">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7B148">
            <w:pPr>
              <w:jc w:val="center"/>
            </w:pPr>
            <w:r>
              <w:rPr>
                <w:rFonts w:ascii="宋体" w:hAnsi="宋体" w:eastAsia="宋体"/>
                <w:sz w:val="16"/>
              </w:rPr>
              <w:t>99.31%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A15A6">
            <w:pPr>
              <w:jc w:val="center"/>
            </w:pPr>
            <w:r>
              <w:rPr>
                <w:rFonts w:ascii="宋体" w:hAnsi="宋体" w:eastAsia="宋体"/>
                <w:sz w:val="16"/>
              </w:rPr>
              <w:t>19</w:t>
            </w:r>
          </w:p>
        </w:tc>
      </w:tr>
      <w:tr w14:paraId="3D89A5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7768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73B9B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27332">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0E34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F7A39">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1689E">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9728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2DB76">
            <w:pPr>
              <w:jc w:val="center"/>
            </w:pPr>
            <w:r>
              <w:rPr>
                <w:rFonts w:ascii="宋体" w:hAnsi="宋体" w:eastAsia="宋体"/>
                <w:sz w:val="16"/>
              </w:rPr>
              <w:t>17</w:t>
            </w:r>
          </w:p>
        </w:tc>
      </w:tr>
      <w:tr w14:paraId="1A8D16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940C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796F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4B67D">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B36CD">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70560">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8E122">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2391B">
            <w:pPr>
              <w:jc w:val="center"/>
            </w:pPr>
            <w:r>
              <w:rPr>
                <w:rFonts w:ascii="宋体" w:hAnsi="宋体" w:eastAsia="宋体"/>
                <w:sz w:val="16"/>
              </w:rPr>
              <w:t>82.27%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F7F1B">
            <w:pPr>
              <w:jc w:val="center"/>
            </w:pPr>
            <w:r>
              <w:rPr>
                <w:rFonts w:ascii="宋体" w:hAnsi="宋体" w:eastAsia="宋体"/>
                <w:sz w:val="16"/>
              </w:rPr>
              <w:t>17</w:t>
            </w:r>
          </w:p>
        </w:tc>
      </w:tr>
      <w:tr w14:paraId="0B3771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ADDB6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B4EF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F050B">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16B86">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6F6B5">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43CF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97E34">
            <w:pPr>
              <w:jc w:val="center"/>
            </w:pPr>
            <w:r>
              <w:rPr>
                <w:rFonts w:ascii="宋体" w:hAnsi="宋体" w:eastAsia="宋体"/>
                <w:sz w:val="16"/>
              </w:rPr>
              <w:t>106.39%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D92C7">
            <w:pPr>
              <w:jc w:val="center"/>
            </w:pPr>
            <w:r>
              <w:rPr>
                <w:rFonts w:ascii="宋体" w:hAnsi="宋体" w:eastAsia="宋体"/>
                <w:sz w:val="16"/>
              </w:rPr>
              <w:t>18</w:t>
            </w:r>
          </w:p>
        </w:tc>
      </w:tr>
    </w:tbl>
    <w:p w14:paraId="710A51DE">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588"/>
        <w:gridCol w:w="602"/>
        <w:gridCol w:w="936"/>
        <w:gridCol w:w="776"/>
        <w:gridCol w:w="776"/>
        <w:gridCol w:w="602"/>
        <w:gridCol w:w="588"/>
        <w:gridCol w:w="588"/>
        <w:gridCol w:w="591"/>
        <w:gridCol w:w="591"/>
        <w:gridCol w:w="630"/>
      </w:tblGrid>
      <w:tr w14:paraId="68BC5366">
        <w:tblPrEx>
          <w:tblCellMar>
            <w:top w:w="0" w:type="dxa"/>
            <w:left w:w="108" w:type="dxa"/>
            <w:bottom w:w="0" w:type="dxa"/>
            <w:right w:w="108" w:type="dxa"/>
          </w:tblCellMar>
        </w:tblPrEx>
        <w:tc>
          <w:tcPr>
            <w:tcW w:w="8848" w:type="dxa"/>
            <w:gridSpan w:val="14"/>
            <w:vAlign w:val="center"/>
          </w:tcPr>
          <w:p w14:paraId="59C12D75">
            <w:pPr>
              <w:jc w:val="center"/>
            </w:pPr>
            <w:r>
              <w:rPr>
                <w:rFonts w:ascii="宋体" w:hAnsi="宋体" w:eastAsia="宋体"/>
                <w:sz w:val="24"/>
              </w:rPr>
              <w:t>项目支出绩效自评表</w:t>
            </w:r>
          </w:p>
        </w:tc>
      </w:tr>
      <w:tr w14:paraId="43F33DC3">
        <w:tblPrEx>
          <w:tblCellMar>
            <w:top w:w="0" w:type="dxa"/>
            <w:left w:w="108" w:type="dxa"/>
            <w:bottom w:w="0" w:type="dxa"/>
            <w:right w:w="108" w:type="dxa"/>
          </w:tblCellMar>
        </w:tblPrEx>
        <w:tc>
          <w:tcPr>
            <w:tcW w:w="8848" w:type="dxa"/>
            <w:gridSpan w:val="14"/>
            <w:vAlign w:val="center"/>
          </w:tcPr>
          <w:p w14:paraId="4549B09C">
            <w:pPr>
              <w:jc w:val="center"/>
            </w:pPr>
            <w:r>
              <w:rPr>
                <w:rFonts w:ascii="宋体" w:hAnsi="宋体" w:eastAsia="宋体"/>
                <w:sz w:val="24"/>
              </w:rPr>
              <w:t>(2024年度)</w:t>
            </w:r>
          </w:p>
        </w:tc>
      </w:tr>
      <w:tr w14:paraId="40E1C1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A6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35361E">
            <w:pPr>
              <w:jc w:val="center"/>
            </w:pPr>
            <w:r>
              <w:rPr>
                <w:rFonts w:ascii="宋体" w:hAnsi="宋体" w:eastAsia="宋体"/>
                <w:sz w:val="16"/>
              </w:rPr>
              <w:t>2024年事业收入（自有资金）</w:t>
            </w:r>
          </w:p>
        </w:tc>
      </w:tr>
      <w:tr w14:paraId="1AC6C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39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F0CF9">
            <w:pPr>
              <w:jc w:val="center"/>
            </w:pPr>
            <w:r>
              <w:rPr>
                <w:rFonts w:ascii="宋体" w:hAnsi="宋体" w:eastAsia="宋体"/>
                <w:sz w:val="16"/>
              </w:rPr>
              <w:t>霍城县三道河乡卫生院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DD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6EA4E">
            <w:pPr>
              <w:jc w:val="center"/>
            </w:pPr>
            <w:r>
              <w:rPr>
                <w:rFonts w:ascii="宋体" w:hAnsi="宋体" w:eastAsia="宋体"/>
                <w:sz w:val="16"/>
              </w:rPr>
              <w:t>霍城县三道河乡卫生院</w:t>
            </w:r>
          </w:p>
        </w:tc>
      </w:tr>
      <w:tr w14:paraId="5EB007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8746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0E5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779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2F3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7B8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E87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5A2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2A39">
            <w:pPr>
              <w:jc w:val="center"/>
            </w:pPr>
            <w:r>
              <w:rPr>
                <w:rFonts w:ascii="宋体" w:hAnsi="宋体" w:eastAsia="宋体"/>
                <w:sz w:val="16"/>
              </w:rPr>
              <w:t>得分</w:t>
            </w:r>
          </w:p>
        </w:tc>
      </w:tr>
      <w:tr w14:paraId="61CBA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F3F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7DC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66AD6">
            <w:pPr>
              <w:jc w:val="center"/>
            </w:pPr>
            <w:r>
              <w:rPr>
                <w:rFonts w:ascii="宋体" w:hAnsi="宋体" w:eastAsia="宋体"/>
                <w:sz w:val="16"/>
              </w:rPr>
              <w:t>186.10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7ED6">
            <w:pPr>
              <w:jc w:val="center"/>
            </w:pPr>
            <w:r>
              <w:rPr>
                <w:rFonts w:ascii="宋体" w:hAnsi="宋体" w:eastAsia="宋体"/>
                <w:sz w:val="16"/>
              </w:rPr>
              <w:t>172.85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BCEB7">
            <w:pPr>
              <w:jc w:val="center"/>
            </w:pPr>
            <w:r>
              <w:rPr>
                <w:rFonts w:ascii="宋体" w:hAnsi="宋体" w:eastAsia="宋体"/>
                <w:sz w:val="16"/>
              </w:rPr>
              <w:t>172.85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F95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981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B481">
            <w:pPr>
              <w:jc w:val="center"/>
            </w:pPr>
            <w:r>
              <w:rPr>
                <w:rFonts w:ascii="宋体" w:hAnsi="宋体" w:eastAsia="宋体"/>
                <w:sz w:val="16"/>
              </w:rPr>
              <w:t>10.00</w:t>
            </w:r>
          </w:p>
        </w:tc>
      </w:tr>
      <w:tr w14:paraId="02E84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2B3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4CB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31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7C4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9B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EA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F3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099D">
            <w:pPr>
              <w:jc w:val="center"/>
            </w:pPr>
            <w:r>
              <w:rPr>
                <w:rFonts w:ascii="宋体" w:hAnsi="宋体" w:eastAsia="宋体"/>
                <w:sz w:val="16"/>
              </w:rPr>
              <w:t>—</w:t>
            </w:r>
          </w:p>
        </w:tc>
      </w:tr>
      <w:tr w14:paraId="0E58E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5B5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203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7D3E4">
            <w:pPr>
              <w:jc w:val="center"/>
            </w:pPr>
            <w:r>
              <w:rPr>
                <w:rFonts w:ascii="宋体" w:hAnsi="宋体" w:eastAsia="宋体"/>
                <w:sz w:val="16"/>
              </w:rPr>
              <w:t>186.10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EE396">
            <w:pPr>
              <w:jc w:val="center"/>
            </w:pPr>
            <w:r>
              <w:rPr>
                <w:rFonts w:ascii="宋体" w:hAnsi="宋体" w:eastAsia="宋体"/>
                <w:sz w:val="16"/>
              </w:rPr>
              <w:t>172.85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809BD">
            <w:pPr>
              <w:jc w:val="center"/>
            </w:pPr>
            <w:r>
              <w:rPr>
                <w:rFonts w:ascii="宋体" w:hAnsi="宋体" w:eastAsia="宋体"/>
                <w:sz w:val="16"/>
              </w:rPr>
              <w:t>172.85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AFC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963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19C4">
            <w:pPr>
              <w:jc w:val="center"/>
            </w:pPr>
            <w:r>
              <w:rPr>
                <w:rFonts w:ascii="宋体" w:hAnsi="宋体" w:eastAsia="宋体"/>
                <w:sz w:val="16"/>
              </w:rPr>
              <w:t>—</w:t>
            </w:r>
          </w:p>
        </w:tc>
      </w:tr>
      <w:tr w14:paraId="275C35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9C69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DB2B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372A25">
            <w:pPr>
              <w:jc w:val="center"/>
            </w:pPr>
            <w:r>
              <w:rPr>
                <w:rFonts w:ascii="宋体" w:hAnsi="宋体" w:eastAsia="宋体"/>
                <w:sz w:val="16"/>
              </w:rPr>
              <w:t>实际完成情况</w:t>
            </w:r>
          </w:p>
        </w:tc>
      </w:tr>
      <w:tr w14:paraId="1BFE5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51F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2875F">
            <w:pPr>
              <w:jc w:val="both"/>
            </w:pPr>
            <w:r>
              <w:rPr>
                <w:rFonts w:ascii="宋体" w:hAnsi="宋体" w:eastAsia="宋体"/>
                <w:sz w:val="16"/>
              </w:rPr>
              <w:t>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6E51E">
            <w:pPr>
              <w:jc w:val="both"/>
            </w:pPr>
            <w:bookmarkStart w:id="0" w:name="_GoBack"/>
            <w:r>
              <w:rPr>
                <w:rFonts w:ascii="宋体" w:hAnsi="宋体" w:eastAsia="宋体"/>
                <w:sz w:val="16"/>
              </w:rPr>
              <w:t>1、</w:t>
            </w:r>
            <w:bookmarkEnd w:id="0"/>
            <w:r>
              <w:rPr>
                <w:rFonts w:ascii="宋体" w:hAnsi="宋体" w:eastAsia="宋体"/>
                <w:sz w:val="16"/>
              </w:rPr>
              <w:t>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547BF7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0B5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B2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43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C0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45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0DC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30B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EC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F90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33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22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E2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0E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0E06">
            <w:pPr>
              <w:jc w:val="center"/>
            </w:pPr>
            <w:r>
              <w:rPr>
                <w:rFonts w:ascii="宋体" w:hAnsi="宋体" w:eastAsia="宋体"/>
                <w:sz w:val="16"/>
              </w:rPr>
              <w:t>偏差原因分析及改进措施</w:t>
            </w:r>
          </w:p>
        </w:tc>
      </w:tr>
      <w:tr w14:paraId="590B17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601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B33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CBE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4D86">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F8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512D">
            <w:pPr>
              <w:jc w:val="center"/>
            </w:pPr>
            <w:r>
              <w:rPr>
                <w:rFonts w:ascii="宋体" w:hAnsi="宋体" w:eastAsia="宋体"/>
                <w:sz w:val="16"/>
              </w:rPr>
              <w:t>&gt;=19人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8EE1">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A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86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2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95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6B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4E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23C7">
            <w:pPr>
              <w:jc w:val="center"/>
            </w:pPr>
          </w:p>
        </w:tc>
      </w:tr>
      <w:tr w14:paraId="6D4E9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225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9B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84F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FAF5">
            <w:pPr>
              <w:jc w:val="center"/>
            </w:pPr>
            <w:r>
              <w:rPr>
                <w:rFonts w:ascii="宋体" w:hAnsi="宋体" w:eastAsia="宋体"/>
                <w:sz w:val="16"/>
              </w:rPr>
              <w:t>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76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A63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7C3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F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99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4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D5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95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56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3895">
            <w:pPr>
              <w:jc w:val="center"/>
            </w:pPr>
          </w:p>
        </w:tc>
      </w:tr>
      <w:tr w14:paraId="4F4D7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AF6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EF0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FC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396A">
            <w:pPr>
              <w:jc w:val="center"/>
            </w:pPr>
            <w:r>
              <w:rPr>
                <w:rFonts w:ascii="宋体" w:hAnsi="宋体" w:eastAsia="宋体"/>
                <w:sz w:val="16"/>
              </w:rPr>
              <w:t>购买专用材料批次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4D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9F99">
            <w:pPr>
              <w:jc w:val="center"/>
            </w:pPr>
            <w:r>
              <w:rPr>
                <w:rFonts w:ascii="宋体" w:hAnsi="宋体" w:eastAsia="宋体"/>
                <w:sz w:val="16"/>
              </w:rPr>
              <w:t>&gt;=11批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62A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D5CE">
            <w:pPr>
              <w:jc w:val="center"/>
            </w:pPr>
            <w:r>
              <w:rPr>
                <w:rFonts w:ascii="宋体" w:hAnsi="宋体" w:eastAsia="宋体"/>
                <w:sz w:val="16"/>
              </w:rPr>
              <w:t>109.09%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57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5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8D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3E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07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1B0F">
            <w:pPr>
              <w:jc w:val="center"/>
            </w:pPr>
            <w:r>
              <w:rPr>
                <w:rFonts w:ascii="宋体" w:hAnsi="宋体" w:eastAsia="宋体"/>
                <w:sz w:val="16"/>
              </w:rPr>
              <w:t>保障专用材料储备，每月按照专用材料计划批次进行采购，全年采购达到12批次。</w:t>
            </w:r>
          </w:p>
        </w:tc>
      </w:tr>
      <w:tr w14:paraId="27FD5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F4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F88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41C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6E06">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03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4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F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D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2B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0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84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CB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86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6953">
            <w:pPr>
              <w:jc w:val="center"/>
            </w:pPr>
          </w:p>
        </w:tc>
      </w:tr>
      <w:tr w14:paraId="48CC2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C3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5F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94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A332">
            <w:pPr>
              <w:jc w:val="center"/>
            </w:pPr>
            <w:r>
              <w:rPr>
                <w:rFonts w:ascii="宋体" w:hAnsi="宋体" w:eastAsia="宋体"/>
                <w:sz w:val="16"/>
              </w:rPr>
              <w:t>购买专用材料质量合格率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C7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2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7D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E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19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56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E6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80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92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9EAB">
            <w:pPr>
              <w:jc w:val="center"/>
            </w:pPr>
          </w:p>
        </w:tc>
      </w:tr>
      <w:tr w14:paraId="4A8CD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0E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126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F88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DBD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9F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0F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31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2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FE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EA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89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66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9B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7D6A">
            <w:pPr>
              <w:jc w:val="center"/>
            </w:pPr>
          </w:p>
        </w:tc>
      </w:tr>
      <w:tr w14:paraId="180E9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63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10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23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15AE">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0D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BDBB">
            <w:pPr>
              <w:jc w:val="center"/>
            </w:pPr>
            <w:r>
              <w:rPr>
                <w:rFonts w:ascii="宋体" w:hAnsi="宋体" w:eastAsia="宋体"/>
                <w:sz w:val="16"/>
              </w:rPr>
              <w:t>&lt;=2024年12月25日前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596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7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C1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D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4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9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3F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8001">
            <w:pPr>
              <w:jc w:val="center"/>
            </w:pPr>
          </w:p>
        </w:tc>
      </w:tr>
      <w:tr w14:paraId="3D65A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826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DF7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956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4587">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03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D404">
            <w:pPr>
              <w:jc w:val="center"/>
            </w:pPr>
            <w:r>
              <w:rPr>
                <w:rFonts w:ascii="宋体" w:hAnsi="宋体" w:eastAsia="宋体"/>
                <w:sz w:val="16"/>
              </w:rPr>
              <w:t>&lt;=2982.46元/人/次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1DB0">
            <w:pPr>
              <w:jc w:val="center"/>
            </w:pPr>
            <w:r>
              <w:rPr>
                <w:rFonts w:ascii="宋体" w:hAnsi="宋体" w:eastAsia="宋体"/>
                <w:sz w:val="16"/>
              </w:rPr>
              <w:t>2982.46元/月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B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D3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D6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DD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0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98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B6B7">
            <w:pPr>
              <w:jc w:val="center"/>
            </w:pPr>
          </w:p>
        </w:tc>
      </w:tr>
      <w:tr w14:paraId="0591B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4F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99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0B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83C1">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53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863D">
            <w:pPr>
              <w:jc w:val="center"/>
            </w:pPr>
            <w:r>
              <w:rPr>
                <w:rFonts w:ascii="宋体" w:hAnsi="宋体" w:eastAsia="宋体"/>
                <w:sz w:val="16"/>
              </w:rPr>
              <w:t>&lt;=75.41万元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6A10">
            <w:pPr>
              <w:jc w:val="center"/>
            </w:pPr>
            <w:r>
              <w:rPr>
                <w:rFonts w:ascii="宋体" w:hAnsi="宋体" w:eastAsia="宋体"/>
                <w:sz w:val="16"/>
              </w:rPr>
              <w:t>75.41万元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C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C6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10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17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C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1E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3F6D">
            <w:pPr>
              <w:jc w:val="center"/>
            </w:pPr>
          </w:p>
        </w:tc>
      </w:tr>
      <w:tr w14:paraId="1B42A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76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B6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7B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3F3F">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71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26EF">
            <w:pPr>
              <w:jc w:val="center"/>
            </w:pPr>
            <w:r>
              <w:rPr>
                <w:rFonts w:ascii="宋体" w:hAnsi="宋体" w:eastAsia="宋体"/>
                <w:sz w:val="16"/>
              </w:rPr>
              <w:t>&lt;=29.44万元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ACFE">
            <w:pPr>
              <w:jc w:val="center"/>
            </w:pPr>
            <w:r>
              <w:rPr>
                <w:rFonts w:ascii="宋体" w:hAnsi="宋体" w:eastAsia="宋体"/>
                <w:sz w:val="16"/>
              </w:rPr>
              <w:t>29.44万元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8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FE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20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58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2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0A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1F9B">
            <w:pPr>
              <w:jc w:val="center"/>
            </w:pPr>
          </w:p>
        </w:tc>
      </w:tr>
      <w:tr w14:paraId="7C9FE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F5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D8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E1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FDDE">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EBB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8F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7E0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D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D27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1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1B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E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8E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9273">
            <w:pPr>
              <w:jc w:val="center"/>
            </w:pPr>
          </w:p>
        </w:tc>
      </w:tr>
      <w:tr w14:paraId="50C75E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7739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A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796A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A558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9F8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1BA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6B6E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0850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580F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3CC5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A0C28"/>
        </w:tc>
      </w:tr>
    </w:tbl>
    <w:p w14:paraId="6F69EA46">
      <w:r>
        <w:br w:type="page"/>
      </w:r>
    </w:p>
    <w:p w14:paraId="55D8054D">
      <w:pPr>
        <w:spacing w:line="640" w:lineRule="exact"/>
        <w:ind w:firstLine="640"/>
        <w:jc w:val="both"/>
        <w:outlineLvl w:val="2"/>
      </w:pPr>
      <w:r>
        <w:rPr>
          <w:rFonts w:ascii="黑体" w:hAnsi="黑体" w:eastAsia="黑体"/>
          <w:sz w:val="32"/>
        </w:rPr>
        <w:t>十二、其他需说明的事项</w:t>
      </w:r>
    </w:p>
    <w:p w14:paraId="695F1621">
      <w:pPr>
        <w:spacing w:line="580" w:lineRule="exact"/>
        <w:ind w:firstLine="640"/>
        <w:jc w:val="both"/>
      </w:pPr>
      <w:r>
        <w:rPr>
          <w:rFonts w:ascii="仿宋_GB2312" w:hAnsi="仿宋_GB2312" w:eastAsia="仿宋_GB2312"/>
          <w:b w:val="0"/>
          <w:sz w:val="32"/>
        </w:rPr>
        <w:t>本单位无其他需说明的事项。</w:t>
      </w:r>
    </w:p>
    <w:p w14:paraId="5A51F6AF">
      <w:r>
        <w:br w:type="page"/>
      </w:r>
    </w:p>
    <w:p w14:paraId="236E0738">
      <w:pPr>
        <w:spacing w:line="240" w:lineRule="auto"/>
        <w:jc w:val="center"/>
        <w:outlineLvl w:val="1"/>
      </w:pPr>
      <w:r>
        <w:rPr>
          <w:rFonts w:ascii="黑体" w:hAnsi="黑体" w:eastAsia="黑体"/>
          <w:sz w:val="32"/>
        </w:rPr>
        <w:t>第三部分 专业名词解释</w:t>
      </w:r>
    </w:p>
    <w:p w14:paraId="13992ED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52729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2A701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72FB8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1FE19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EA44F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4136F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42F8C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A3CCD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B18C9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11AC9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B660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6D134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35EA9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451617">
      <w:r>
        <w:br w:type="page"/>
      </w:r>
    </w:p>
    <w:p w14:paraId="2E2EC1BA">
      <w:pPr>
        <w:spacing w:line="240" w:lineRule="auto"/>
        <w:jc w:val="center"/>
        <w:outlineLvl w:val="1"/>
      </w:pPr>
      <w:r>
        <w:rPr>
          <w:rFonts w:ascii="黑体" w:hAnsi="黑体" w:eastAsia="黑体"/>
          <w:sz w:val="32"/>
        </w:rPr>
        <w:t>第四部分 部门决算报表（见附表）</w:t>
      </w:r>
    </w:p>
    <w:p w14:paraId="1BC677BC">
      <w:pPr>
        <w:spacing w:line="240" w:lineRule="auto"/>
        <w:ind w:firstLine="640"/>
        <w:jc w:val="both"/>
      </w:pPr>
      <w:r>
        <w:rPr>
          <w:rFonts w:ascii="仿宋_GB2312" w:hAnsi="仿宋_GB2312" w:eastAsia="仿宋_GB2312"/>
          <w:b w:val="0"/>
          <w:sz w:val="32"/>
        </w:rPr>
        <w:t>一、《收入支出决算总表》</w:t>
      </w:r>
    </w:p>
    <w:p w14:paraId="0057F69E">
      <w:pPr>
        <w:spacing w:line="240" w:lineRule="auto"/>
        <w:ind w:firstLine="640"/>
        <w:jc w:val="both"/>
      </w:pPr>
      <w:r>
        <w:rPr>
          <w:rFonts w:ascii="仿宋_GB2312" w:hAnsi="仿宋_GB2312" w:eastAsia="仿宋_GB2312"/>
          <w:b w:val="0"/>
          <w:sz w:val="32"/>
        </w:rPr>
        <w:t>二、《收入决算表》</w:t>
      </w:r>
    </w:p>
    <w:p w14:paraId="537D66D2">
      <w:pPr>
        <w:spacing w:line="240" w:lineRule="auto"/>
        <w:ind w:firstLine="640"/>
        <w:jc w:val="both"/>
      </w:pPr>
      <w:r>
        <w:rPr>
          <w:rFonts w:ascii="仿宋_GB2312" w:hAnsi="仿宋_GB2312" w:eastAsia="仿宋_GB2312"/>
          <w:b w:val="0"/>
          <w:sz w:val="32"/>
        </w:rPr>
        <w:t>三、《支出决算表》</w:t>
      </w:r>
    </w:p>
    <w:p w14:paraId="77D53DBA">
      <w:pPr>
        <w:spacing w:line="240" w:lineRule="auto"/>
        <w:ind w:firstLine="640"/>
        <w:jc w:val="both"/>
      </w:pPr>
      <w:r>
        <w:rPr>
          <w:rFonts w:ascii="仿宋_GB2312" w:hAnsi="仿宋_GB2312" w:eastAsia="仿宋_GB2312"/>
          <w:b w:val="0"/>
          <w:sz w:val="32"/>
        </w:rPr>
        <w:t>四、《财政拨款收入支出决算总表》</w:t>
      </w:r>
    </w:p>
    <w:p w14:paraId="2661B9C3">
      <w:pPr>
        <w:spacing w:line="240" w:lineRule="auto"/>
        <w:ind w:firstLine="640"/>
        <w:jc w:val="both"/>
      </w:pPr>
      <w:r>
        <w:rPr>
          <w:rFonts w:ascii="仿宋_GB2312" w:hAnsi="仿宋_GB2312" w:eastAsia="仿宋_GB2312"/>
          <w:b w:val="0"/>
          <w:sz w:val="32"/>
        </w:rPr>
        <w:t>五、《一般公共预算财政拨款支出决算表》</w:t>
      </w:r>
    </w:p>
    <w:p w14:paraId="287D7E7A">
      <w:pPr>
        <w:spacing w:line="240" w:lineRule="auto"/>
        <w:ind w:firstLine="640"/>
        <w:jc w:val="both"/>
      </w:pPr>
      <w:r>
        <w:rPr>
          <w:rFonts w:ascii="仿宋_GB2312" w:hAnsi="仿宋_GB2312" w:eastAsia="仿宋_GB2312"/>
          <w:b w:val="0"/>
          <w:sz w:val="32"/>
        </w:rPr>
        <w:t>六、《一般公共预算财政拨款基本支出决算表》</w:t>
      </w:r>
    </w:p>
    <w:p w14:paraId="0FF91406">
      <w:pPr>
        <w:spacing w:line="240" w:lineRule="auto"/>
        <w:ind w:firstLine="640"/>
        <w:jc w:val="both"/>
      </w:pPr>
      <w:r>
        <w:rPr>
          <w:rFonts w:ascii="仿宋_GB2312" w:hAnsi="仿宋_GB2312" w:eastAsia="仿宋_GB2312"/>
          <w:b w:val="0"/>
          <w:sz w:val="32"/>
        </w:rPr>
        <w:t>七、《政府性基金预算财政拨款收入支出决算表》</w:t>
      </w:r>
    </w:p>
    <w:p w14:paraId="6026BE59">
      <w:pPr>
        <w:spacing w:line="240" w:lineRule="auto"/>
        <w:ind w:firstLine="640"/>
        <w:jc w:val="both"/>
      </w:pPr>
      <w:r>
        <w:rPr>
          <w:rFonts w:ascii="仿宋_GB2312" w:hAnsi="仿宋_GB2312" w:eastAsia="仿宋_GB2312"/>
          <w:b w:val="0"/>
          <w:sz w:val="32"/>
        </w:rPr>
        <w:t>八、《国有资本经营预算财政拨款收入支出决算表》</w:t>
      </w:r>
    </w:p>
    <w:p w14:paraId="378CCC21">
      <w:pPr>
        <w:spacing w:line="240" w:lineRule="auto"/>
        <w:ind w:firstLine="640"/>
        <w:jc w:val="both"/>
      </w:pPr>
      <w:r>
        <w:rPr>
          <w:rFonts w:ascii="仿宋_GB2312" w:hAnsi="仿宋_GB2312" w:eastAsia="仿宋_GB2312"/>
          <w:b w:val="0"/>
          <w:sz w:val="32"/>
        </w:rPr>
        <w:t>九、《财政拨款“三公”经费支出决算表》</w:t>
      </w:r>
    </w:p>
    <w:p w14:paraId="163E2160">
      <w:pPr>
        <w:spacing w:line="240" w:lineRule="auto"/>
        <w:ind w:firstLine="640"/>
        <w:jc w:val="both"/>
      </w:pPr>
    </w:p>
    <w:p w14:paraId="313A15DD">
      <w:pPr>
        <w:spacing w:line="240" w:lineRule="auto"/>
        <w:ind w:firstLine="640"/>
        <w:jc w:val="both"/>
      </w:pPr>
    </w:p>
    <w:p w14:paraId="4E4DF6C7">
      <w:pPr>
        <w:spacing w:line="240" w:lineRule="auto"/>
        <w:ind w:firstLine="640"/>
        <w:jc w:val="both"/>
      </w:pPr>
    </w:p>
    <w:p w14:paraId="78A7310F">
      <w:pPr>
        <w:spacing w:line="240" w:lineRule="auto"/>
        <w:ind w:firstLine="640"/>
        <w:jc w:val="both"/>
      </w:pPr>
    </w:p>
    <w:p w14:paraId="5B2D29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43D384-9C71-42B8-B604-726E98421F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EBD36F6-E285-4824-BF55-421D5F107F0D}"/>
  </w:font>
  <w:font w:name="仿宋_GB2312">
    <w:panose1 w:val="02010609030101010101"/>
    <w:charset w:val="86"/>
    <w:family w:val="modern"/>
    <w:pitch w:val="default"/>
    <w:sig w:usb0="00000001" w:usb1="080E0000" w:usb2="00000000" w:usb3="00000000" w:csb0="00040000" w:csb1="00000000"/>
    <w:embedRegular r:id="rId3" w:fontKey="{787EE576-3175-44EC-B74F-1DBCBA273037}"/>
  </w:font>
  <w:font w:name="楷体_GB2312">
    <w:panose1 w:val="02010609030101010101"/>
    <w:charset w:val="86"/>
    <w:family w:val="auto"/>
    <w:pitch w:val="default"/>
    <w:sig w:usb0="00000001" w:usb1="080E0000" w:usb2="00000000" w:usb3="00000000" w:csb0="00040000" w:csb1="00000000"/>
    <w:embedRegular r:id="rId4" w:fontKey="{99CB4594-3364-49FC-BBE0-4BBDAFA0AD63}"/>
  </w:font>
  <w:font w:name="WPSEMBED13">
    <w:panose1 w:val="02010609030101010101"/>
    <w:charset w:val="86"/>
    <w:family w:val="auto"/>
    <w:pitch w:val="default"/>
    <w:sig w:usb0="00000001" w:usb1="080E0000" w:usb2="00000000" w:usb3="00000000" w:csb0="00040000" w:csb1="00000000"/>
  </w:font>
  <w:font w:name="WPSEMBED1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205076"/>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BE4E30"/>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6649</Words>
  <Characters>7431</Characters>
  <Lines>0</Lines>
  <Paragraphs>0</Paragraphs>
  <TotalTime>43</TotalTime>
  <ScaleCrop>false</ScaleCrop>
  <LinksUpToDate>false</LinksUpToDate>
  <CharactersWithSpaces>7439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2025-09-25T06:17:51Z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