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霍城县三道河乡中心学校2024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2C5243F">
      <w:r>
        <w:br w:type="page"/>
      </w:r>
    </w:p>
    <w:p w14:paraId="550C0BBE">
      <w:pPr>
        <w:spacing w:line="640" w:lineRule="exact"/>
        <w:jc w:val="center"/>
        <w:outlineLvl w:val="1"/>
      </w:pPr>
      <w:r>
        <w:rPr>
          <w:rFonts w:ascii="黑体" w:hAnsi="黑体" w:eastAsia="黑体"/>
          <w:sz w:val="32"/>
        </w:rPr>
        <w:t>第一部分 单位概况</w:t>
      </w:r>
    </w:p>
    <w:p w14:paraId="4B2FE79F">
      <w:pPr>
        <w:spacing w:line="640" w:lineRule="exact"/>
        <w:ind w:firstLine="640"/>
        <w:jc w:val="both"/>
        <w:outlineLvl w:val="2"/>
      </w:pPr>
      <w:r>
        <w:rPr>
          <w:rFonts w:ascii="黑体" w:hAnsi="黑体" w:eastAsia="黑体"/>
          <w:sz w:val="32"/>
        </w:rPr>
        <w:t>一、主要职能</w:t>
      </w:r>
    </w:p>
    <w:p w14:paraId="329FEC79">
      <w:pPr>
        <w:spacing w:line="580" w:lineRule="exact"/>
        <w:ind w:firstLine="640"/>
        <w:jc w:val="both"/>
        <w:rPr>
          <w:rFonts w:hint="eastAsia" w:eastAsia="仿宋_GB2312"/>
          <w:lang w:eastAsia="zh-CN"/>
        </w:rPr>
      </w:pPr>
      <w:r>
        <w:rPr>
          <w:rFonts w:ascii="仿宋_GB2312" w:hAnsi="仿宋_GB2312" w:eastAsia="仿宋_GB2312"/>
          <w:sz w:val="32"/>
        </w:rPr>
        <w:t>霍城县三道河乡中心学校是一所小学。下属有2所小学，3所幼儿园，主要职能是宣传贯彻执行党和国家的教育方针、政策、法律法规等，坚持依法治学，依法执教。认真执行教育教学管理，教育学生成长为品德优秀、思想端正的学生，组织教育教学，保证教学质量。具体如下</w:t>
      </w:r>
      <w:r>
        <w:rPr>
          <w:rFonts w:hint="eastAsia" w:ascii="仿宋_GB2312" w:hAnsi="仿宋_GB2312" w:eastAsia="仿宋_GB2312"/>
          <w:sz w:val="32"/>
          <w:lang w:eastAsia="zh-CN"/>
        </w:rPr>
        <w:t>：</w:t>
      </w:r>
    </w:p>
    <w:p w14:paraId="3B0BDCE1">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认真贯彻落实党的教育方针，积极配合教育行政部门做好教育教学指导工作。</w:t>
      </w:r>
    </w:p>
    <w:p w14:paraId="44A13517">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主要任务是负责实施对全乡小学教师、幼儿园教师和小学校长的继续教育。</w:t>
      </w:r>
    </w:p>
    <w:p w14:paraId="0D526B81">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为全校小学校开展教师校本培训提供指导和服务。</w:t>
      </w:r>
    </w:p>
    <w:p w14:paraId="55064F1C">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承担全校基础教育新课程、教材和教法培训等，成为全校开展中小学教师教育工作的培训、研究和服务中心。</w:t>
      </w:r>
    </w:p>
    <w:p w14:paraId="7641E4E2">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配合教育行政部门做好全校有关中小学教师继续教育和实施教师资格制度的组织、协调、评价和服务工作，成为全校中小学教师教育政策咨询和指导中心。</w:t>
      </w:r>
    </w:p>
    <w:p w14:paraId="3FAA952E">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指导中小学教师在教学实践中学习和研究，推动中小学教师开展教改实验，不断提高中小学教师的专业</w:t>
      </w:r>
      <w:r>
        <w:rPr>
          <w:rFonts w:hint="eastAsia" w:ascii="仿宋_GB2312" w:hAnsi="仿宋_GB2312" w:eastAsia="仿宋_GB2312"/>
          <w:sz w:val="32"/>
          <w:lang w:eastAsia="zh-CN"/>
        </w:rPr>
        <w:t>化水</w:t>
      </w:r>
      <w:r>
        <w:rPr>
          <w:rFonts w:ascii="仿宋_GB2312" w:hAnsi="仿宋_GB2312" w:eastAsia="仿宋_GB2312"/>
          <w:sz w:val="32"/>
        </w:rPr>
        <w:t>平。</w:t>
      </w:r>
    </w:p>
    <w:p w14:paraId="6849D652">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为全校中小学开展校本培训和日常教学提供信息技术和现代教育技术服务，为通过现代远程教育手段开展教师继续教育提供帮助和支持。</w:t>
      </w:r>
    </w:p>
    <w:p w14:paraId="08E93589">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为广大教师研修学习提供必要的场所、设施、设备和资源等良好环境，辅导和帮助广大中小学教师充分利用各种信息资源开展自主学习。</w:t>
      </w:r>
    </w:p>
    <w:p w14:paraId="3BEE5392">
      <w:pPr>
        <w:spacing w:line="640" w:lineRule="exact"/>
        <w:ind w:firstLine="640"/>
        <w:jc w:val="both"/>
        <w:outlineLvl w:val="2"/>
      </w:pPr>
      <w:r>
        <w:rPr>
          <w:rFonts w:ascii="黑体" w:hAnsi="黑体" w:eastAsia="黑体"/>
          <w:sz w:val="32"/>
        </w:rPr>
        <w:t>二、机构设置及人员情况</w:t>
      </w:r>
    </w:p>
    <w:p w14:paraId="34B38FD1">
      <w:pPr>
        <w:spacing w:line="580" w:lineRule="exact"/>
        <w:ind w:firstLine="640"/>
        <w:jc w:val="both"/>
      </w:pPr>
      <w:r>
        <w:rPr>
          <w:rFonts w:ascii="仿宋_GB2312" w:hAnsi="仿宋_GB2312" w:eastAsia="仿宋_GB2312"/>
          <w:sz w:val="32"/>
        </w:rPr>
        <w:t>霍城县三道河乡中心学校2024年度，实有人数235人，其中：在职人员185人，减少35人；离休人员0人，增加0人；退休人员50人,增加2人。</w:t>
      </w:r>
    </w:p>
    <w:p w14:paraId="1F7CF7FB">
      <w:pPr>
        <w:spacing w:line="580" w:lineRule="exact"/>
        <w:ind w:firstLine="640"/>
        <w:jc w:val="both"/>
      </w:pPr>
      <w:r>
        <w:rPr>
          <w:rFonts w:ascii="仿宋_GB2312" w:hAnsi="仿宋_GB2312" w:eastAsia="仿宋_GB2312"/>
          <w:sz w:val="32"/>
        </w:rPr>
        <w:t>霍城县三道河乡中心学校无下属预算单位，下设8个科室，分别是：总务处、办公室、教研室、教务处、政教处、财务室、平安办、党建办。</w:t>
      </w:r>
    </w:p>
    <w:p w14:paraId="395C08A4">
      <w:r>
        <w:br w:type="page"/>
      </w:r>
    </w:p>
    <w:p w14:paraId="75DDF88A">
      <w:pPr>
        <w:spacing w:line="240" w:lineRule="auto"/>
        <w:jc w:val="center"/>
        <w:outlineLvl w:val="1"/>
      </w:pPr>
      <w:r>
        <w:rPr>
          <w:rFonts w:ascii="黑体" w:hAnsi="黑体" w:eastAsia="黑体"/>
          <w:sz w:val="32"/>
        </w:rPr>
        <w:t>第二部分 部门决算情况说明</w:t>
      </w:r>
    </w:p>
    <w:p w14:paraId="05EF14BD">
      <w:pPr>
        <w:spacing w:line="640" w:lineRule="exact"/>
        <w:ind w:firstLine="640"/>
        <w:jc w:val="both"/>
        <w:outlineLvl w:val="2"/>
      </w:pPr>
      <w:r>
        <w:rPr>
          <w:rFonts w:ascii="黑体" w:hAnsi="黑体" w:eastAsia="黑体"/>
          <w:sz w:val="32"/>
        </w:rPr>
        <w:t>一、收入支出决算总体情况说明</w:t>
      </w:r>
    </w:p>
    <w:p w14:paraId="742E95E8">
      <w:pPr>
        <w:spacing w:line="580" w:lineRule="exact"/>
        <w:ind w:firstLine="640"/>
        <w:jc w:val="both"/>
      </w:pPr>
      <w:r>
        <w:rPr>
          <w:rFonts w:ascii="仿宋_GB2312" w:hAnsi="仿宋_GB2312" w:eastAsia="仿宋_GB2312"/>
          <w:b/>
          <w:sz w:val="32"/>
        </w:rPr>
        <w:t>2024年度收入总计3,428.40万元，</w:t>
      </w:r>
      <w:r>
        <w:rPr>
          <w:rFonts w:ascii="仿宋_GB2312" w:hAnsi="仿宋_GB2312" w:eastAsia="仿宋_GB2312"/>
          <w:b w:val="0"/>
          <w:sz w:val="32"/>
        </w:rPr>
        <w:t>其中：本年收入合计3,428.40万元，使用非财政拨款结余（含专用结余）0.00万元，年初结转和结余0.00万元。</w:t>
      </w:r>
    </w:p>
    <w:p w14:paraId="217E7DAD">
      <w:pPr>
        <w:spacing w:line="580" w:lineRule="exact"/>
        <w:ind w:firstLine="640"/>
        <w:jc w:val="both"/>
      </w:pPr>
      <w:r>
        <w:rPr>
          <w:rFonts w:ascii="仿宋_GB2312" w:hAnsi="仿宋_GB2312" w:eastAsia="仿宋_GB2312"/>
          <w:b/>
          <w:sz w:val="32"/>
        </w:rPr>
        <w:t>2024年度支出总计3,428.40万元，</w:t>
      </w:r>
      <w:r>
        <w:rPr>
          <w:rFonts w:ascii="仿宋_GB2312" w:hAnsi="仿宋_GB2312" w:eastAsia="仿宋_GB2312"/>
          <w:b w:val="0"/>
          <w:sz w:val="32"/>
        </w:rPr>
        <w:t>其中：本年支出合计3,428.40万元，结余分配0.00万元，年末结转和结余0.00万元。</w:t>
      </w:r>
    </w:p>
    <w:p w14:paraId="6F0BA8F1">
      <w:pPr>
        <w:spacing w:line="580" w:lineRule="exact"/>
        <w:ind w:firstLine="640"/>
        <w:jc w:val="both"/>
      </w:pPr>
      <w:r>
        <w:rPr>
          <w:rFonts w:ascii="仿宋_GB2312" w:hAnsi="仿宋_GB2312" w:eastAsia="仿宋_GB2312"/>
          <w:b w:val="0"/>
          <w:sz w:val="32"/>
        </w:rPr>
        <w:t>收入支出总体与上年相比，减少564.63万元，下降14.14%，主要原因是：本年在职人员调出，相关人员工资、社保经费、住房经费等减少，导致经费较上年减少。</w:t>
      </w:r>
    </w:p>
    <w:p w14:paraId="3E06CB81">
      <w:pPr>
        <w:spacing w:line="640" w:lineRule="exact"/>
        <w:ind w:firstLine="640"/>
        <w:jc w:val="both"/>
        <w:outlineLvl w:val="2"/>
      </w:pPr>
      <w:r>
        <w:rPr>
          <w:rFonts w:ascii="黑体" w:hAnsi="黑体" w:eastAsia="黑体"/>
          <w:sz w:val="32"/>
        </w:rPr>
        <w:t>二、收入决算情况说明</w:t>
      </w:r>
    </w:p>
    <w:p w14:paraId="7AF984CA">
      <w:pPr>
        <w:spacing w:line="580" w:lineRule="exact"/>
        <w:ind w:firstLine="640"/>
        <w:jc w:val="both"/>
      </w:pPr>
      <w:r>
        <w:rPr>
          <w:rFonts w:ascii="仿宋_GB2312" w:hAnsi="仿宋_GB2312" w:eastAsia="仿宋_GB2312"/>
          <w:b/>
          <w:sz w:val="32"/>
        </w:rPr>
        <w:t>本年收入3,428.40万元，</w:t>
      </w:r>
      <w:r>
        <w:rPr>
          <w:rFonts w:ascii="仿宋_GB2312" w:hAnsi="仿宋_GB2312" w:eastAsia="仿宋_GB2312"/>
          <w:b w:val="0"/>
          <w:sz w:val="32"/>
        </w:rPr>
        <w:t>其中：财政拨款收入3,428.40万元，占100.00%；上级补助收入0.00万元，占0.00%；事业收入0.00万元，占0.00%；经营收入0.00万元，占0.00%；附属单位上缴收入0.00万元，占0.00%；其他收入0.00万元，占0.00%。</w:t>
      </w:r>
    </w:p>
    <w:p w14:paraId="23604B28">
      <w:pPr>
        <w:spacing w:line="640" w:lineRule="exact"/>
        <w:ind w:firstLine="640"/>
        <w:jc w:val="both"/>
        <w:outlineLvl w:val="2"/>
      </w:pPr>
      <w:r>
        <w:rPr>
          <w:rFonts w:ascii="黑体" w:hAnsi="黑体" w:eastAsia="黑体"/>
          <w:sz w:val="32"/>
        </w:rPr>
        <w:t>三、支出决算情况说明</w:t>
      </w:r>
    </w:p>
    <w:p w14:paraId="54DA9D5A">
      <w:pPr>
        <w:spacing w:line="580" w:lineRule="exact"/>
        <w:ind w:firstLine="640"/>
        <w:jc w:val="both"/>
      </w:pPr>
      <w:r>
        <w:rPr>
          <w:rFonts w:ascii="仿宋_GB2312" w:hAnsi="仿宋_GB2312" w:eastAsia="仿宋_GB2312"/>
          <w:b/>
          <w:sz w:val="32"/>
        </w:rPr>
        <w:t>本年支出3,428.40万元，</w:t>
      </w:r>
      <w:r>
        <w:rPr>
          <w:rFonts w:ascii="仿宋_GB2312" w:hAnsi="仿宋_GB2312" w:eastAsia="仿宋_GB2312"/>
          <w:b w:val="0"/>
          <w:sz w:val="32"/>
        </w:rPr>
        <w:t>其中：基本支出3,428.40万元，占100.00%；项目支出0.00万元，占0.00%；上缴上级支出0.00万元，占0.00%；经营支出0.00万元，占0.00%；对附属单位补助支出0.00万元，占0.00%。</w:t>
      </w:r>
    </w:p>
    <w:p w14:paraId="68806F65">
      <w:pPr>
        <w:spacing w:line="640" w:lineRule="exact"/>
        <w:ind w:firstLine="640"/>
        <w:jc w:val="both"/>
        <w:outlineLvl w:val="2"/>
      </w:pPr>
      <w:r>
        <w:rPr>
          <w:rFonts w:ascii="黑体" w:hAnsi="黑体" w:eastAsia="黑体"/>
          <w:sz w:val="32"/>
        </w:rPr>
        <w:t>四、财政拨款收入支出决算总体情况说明</w:t>
      </w:r>
    </w:p>
    <w:p w14:paraId="35BFBA20">
      <w:pPr>
        <w:spacing w:line="580" w:lineRule="exact"/>
        <w:ind w:firstLine="640"/>
        <w:jc w:val="both"/>
      </w:pPr>
      <w:r>
        <w:rPr>
          <w:rFonts w:ascii="仿宋_GB2312" w:hAnsi="仿宋_GB2312" w:eastAsia="仿宋_GB2312"/>
          <w:b/>
          <w:sz w:val="32"/>
        </w:rPr>
        <w:t>2024年度财政拨款收入总计3,428.40万元，</w:t>
      </w:r>
      <w:r>
        <w:rPr>
          <w:rFonts w:ascii="仿宋_GB2312" w:hAnsi="仿宋_GB2312" w:eastAsia="仿宋_GB2312"/>
          <w:b w:val="0"/>
          <w:sz w:val="32"/>
        </w:rPr>
        <w:t>其中：年初财政拨款结转和结余0.00万元，本年财政拨款收入3,428.40万元。</w:t>
      </w:r>
      <w:r>
        <w:rPr>
          <w:rFonts w:ascii="仿宋_GB2312" w:hAnsi="仿宋_GB2312" w:eastAsia="仿宋_GB2312"/>
          <w:b/>
          <w:sz w:val="32"/>
        </w:rPr>
        <w:t>财政拨款支出总计3,428.40万元，</w:t>
      </w:r>
      <w:r>
        <w:rPr>
          <w:rFonts w:ascii="仿宋_GB2312" w:hAnsi="仿宋_GB2312" w:eastAsia="仿宋_GB2312"/>
          <w:b w:val="0"/>
          <w:sz w:val="32"/>
        </w:rPr>
        <w:t>其中：年末财政拨款结转和结余0.00万元，本年财政拨款支出3,428.40万元。</w:t>
      </w:r>
    </w:p>
    <w:p w14:paraId="0D9AA6B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减少564.63万元，下降14.14%，主要原因是：本年在职人员调出，相关人员工资、社保经费、住房经费等减少，导致经费较上年减少。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年初预算数3,757.86万元，决算数3,428.40万元，预决算差异率-8.77%，主要原因是：本年在职人员减少，年中调减人员经费，导致预决算存在差异。</w:t>
      </w:r>
    </w:p>
    <w:p w14:paraId="4BB9E3DD">
      <w:pPr>
        <w:spacing w:line="640" w:lineRule="exact"/>
        <w:ind w:firstLine="640"/>
        <w:jc w:val="both"/>
        <w:outlineLvl w:val="2"/>
      </w:pPr>
      <w:r>
        <w:rPr>
          <w:rFonts w:ascii="黑体" w:hAnsi="黑体" w:eastAsia="黑体"/>
          <w:sz w:val="32"/>
        </w:rPr>
        <w:t>五、一般公共预算财政拨款支出决算情况说明</w:t>
      </w:r>
    </w:p>
    <w:p w14:paraId="706B9189">
      <w:pPr>
        <w:spacing w:line="640" w:lineRule="exact"/>
        <w:ind w:firstLine="640"/>
        <w:jc w:val="both"/>
        <w:outlineLvl w:val="3"/>
      </w:pPr>
      <w:r>
        <w:rPr>
          <w:rFonts w:ascii="楷体_GB2312" w:hAnsi="楷体_GB2312" w:eastAsia="楷体_GB2312"/>
          <w:b/>
          <w:sz w:val="32"/>
        </w:rPr>
        <w:t>（一）一般公共预算财政拨款支出决算总体情况</w:t>
      </w:r>
    </w:p>
    <w:p w14:paraId="0BDE703B">
      <w:pPr>
        <w:spacing w:line="580" w:lineRule="exact"/>
        <w:ind w:firstLine="640"/>
        <w:jc w:val="both"/>
      </w:pPr>
      <w:r>
        <w:rPr>
          <w:rFonts w:ascii="仿宋_GB2312" w:hAnsi="仿宋_GB2312" w:eastAsia="仿宋_GB2312"/>
          <w:b/>
          <w:sz w:val="32"/>
        </w:rPr>
        <w:t>2024年度一般公共预算财政拨款支出3,428.40万元，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减少564.63万元，下降14.14%，主要原因是：本年在职人员调出，相关人员工资、社保经费、住房经费减少，导致经费较上年减少。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年初预算数3,757.86万元，决算数3,428.40万元，预决算差异率-8.77%，主要原因是：本年在职人员调出，年中调减人员经费，导致预决算存在差异。</w:t>
      </w:r>
    </w:p>
    <w:p w14:paraId="5362234D">
      <w:pPr>
        <w:spacing w:line="640" w:lineRule="exact"/>
        <w:ind w:firstLine="640"/>
        <w:jc w:val="both"/>
        <w:outlineLvl w:val="3"/>
      </w:pPr>
      <w:r>
        <w:rPr>
          <w:rFonts w:ascii="楷体_GB2312" w:hAnsi="楷体_GB2312" w:eastAsia="楷体_GB2312"/>
          <w:b/>
          <w:sz w:val="32"/>
        </w:rPr>
        <w:t>（二）一般公共预算财政拨款支出决算结构情况</w:t>
      </w:r>
    </w:p>
    <w:p w14:paraId="09C53F47">
      <w:pPr>
        <w:spacing w:line="580" w:lineRule="exact"/>
        <w:ind w:firstLine="640"/>
        <w:jc w:val="both"/>
      </w:pPr>
      <w:r>
        <w:rPr>
          <w:rFonts w:ascii="仿宋_GB2312" w:hAnsi="仿宋_GB2312" w:eastAsia="仿宋_GB2312"/>
          <w:b w:val="0"/>
          <w:sz w:val="32"/>
        </w:rPr>
        <w:t>1.教育支出(类)2,898.99万元,占84.56%。</w:t>
      </w:r>
    </w:p>
    <w:p w14:paraId="51AE23C8">
      <w:pPr>
        <w:spacing w:line="580" w:lineRule="exact"/>
        <w:ind w:firstLine="640"/>
        <w:jc w:val="both"/>
      </w:pPr>
      <w:r>
        <w:rPr>
          <w:rFonts w:ascii="仿宋_GB2312" w:hAnsi="仿宋_GB2312" w:eastAsia="仿宋_GB2312"/>
          <w:b w:val="0"/>
          <w:sz w:val="32"/>
        </w:rPr>
        <w:t>2.社会保障和就业支出(类)374.66万元,占10.93%。</w:t>
      </w:r>
    </w:p>
    <w:p w14:paraId="2BAAA6B0">
      <w:pPr>
        <w:spacing w:line="580" w:lineRule="exact"/>
        <w:ind w:firstLine="640"/>
        <w:jc w:val="both"/>
      </w:pPr>
      <w:r>
        <w:rPr>
          <w:rFonts w:ascii="仿宋_GB2312" w:hAnsi="仿宋_GB2312" w:eastAsia="仿宋_GB2312"/>
          <w:b w:val="0"/>
          <w:sz w:val="32"/>
        </w:rPr>
        <w:t>3.卫生健康支出(类)154.75万元,占4.51%。</w:t>
      </w:r>
    </w:p>
    <w:p w14:paraId="2F8C9F8C">
      <w:pPr>
        <w:spacing w:line="640" w:lineRule="exact"/>
        <w:ind w:firstLine="640"/>
        <w:jc w:val="both"/>
        <w:outlineLvl w:val="3"/>
      </w:pPr>
      <w:r>
        <w:rPr>
          <w:rFonts w:ascii="楷体_GB2312" w:hAnsi="楷体_GB2312" w:eastAsia="楷体_GB2312"/>
          <w:b/>
          <w:sz w:val="32"/>
        </w:rPr>
        <w:t>（三）一般公共预算财政拨款支出决算具体情况</w:t>
      </w:r>
    </w:p>
    <w:p w14:paraId="71DECE9C">
      <w:pPr>
        <w:spacing w:line="580" w:lineRule="exact"/>
        <w:ind w:firstLine="640"/>
        <w:jc w:val="both"/>
      </w:pPr>
      <w:r>
        <w:rPr>
          <w:rFonts w:ascii="仿宋_GB2312" w:hAnsi="仿宋_GB2312" w:eastAsia="仿宋_GB2312"/>
          <w:b w:val="0"/>
          <w:sz w:val="32"/>
        </w:rPr>
        <w:t>1.教育支出(类)普通教育(款)学前教育(项):支出决算数为535.74万元，比上年决算增加66.39万元，增长14.15%,主要原因是：本年学前人员工资增加，工资等相关人员经费增加，导致经费较上年增加。本年功能科目调整，部分人员经费上年在其他教育费附加安排的支出</w:t>
      </w:r>
      <w:r>
        <w:rPr>
          <w:rFonts w:hint="eastAsia" w:ascii="仿宋_GB2312" w:hAnsi="仿宋_GB2312" w:eastAsia="仿宋_GB2312"/>
          <w:b w:val="0"/>
          <w:sz w:val="32"/>
          <w:lang w:val="en-US" w:eastAsia="zh-CN"/>
        </w:rPr>
        <w:t>及</w:t>
      </w:r>
      <w:r>
        <w:rPr>
          <w:rFonts w:ascii="仿宋_GB2312" w:hAnsi="仿宋_GB2312" w:eastAsia="仿宋_GB2312"/>
          <w:b w:val="0"/>
          <w:sz w:val="32"/>
        </w:rPr>
        <w:t>其他教育支出列支，本年调整至学前教育科目列支，导致经费较上年</w:t>
      </w:r>
      <w:r>
        <w:rPr>
          <w:rFonts w:hint="eastAsia" w:ascii="仿宋_GB2312" w:hAnsi="仿宋_GB2312" w:eastAsia="仿宋_GB2312"/>
          <w:b w:val="0"/>
          <w:sz w:val="32"/>
          <w:lang w:val="en-US" w:eastAsia="zh-CN"/>
        </w:rPr>
        <w:t>增加</w:t>
      </w:r>
      <w:r>
        <w:rPr>
          <w:rFonts w:ascii="仿宋_GB2312" w:hAnsi="仿宋_GB2312" w:eastAsia="仿宋_GB2312"/>
          <w:b w:val="0"/>
          <w:sz w:val="32"/>
        </w:rPr>
        <w:t>。</w:t>
      </w:r>
    </w:p>
    <w:p w14:paraId="51EB6FBE">
      <w:pPr>
        <w:spacing w:line="580" w:lineRule="exact"/>
        <w:ind w:firstLine="640"/>
        <w:jc w:val="both"/>
      </w:pPr>
      <w:r>
        <w:rPr>
          <w:rFonts w:ascii="仿宋_GB2312" w:hAnsi="仿宋_GB2312" w:eastAsia="仿宋_GB2312"/>
          <w:b w:val="0"/>
          <w:sz w:val="32"/>
        </w:rPr>
        <w:t>2.教育支出(类)普通教育(款)小学教育(项):支出决算数为2,171.94万元，比上年决算减少303.52万元，下降12.26%,主要原因是：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义教学生人数减少，公用经费减少；小学在职教职工人员减少，人员相关经费减少。</w:t>
      </w:r>
    </w:p>
    <w:p w14:paraId="2AC747DE">
      <w:pPr>
        <w:spacing w:line="580" w:lineRule="exact"/>
        <w:ind w:firstLine="640"/>
        <w:jc w:val="both"/>
      </w:pPr>
      <w:r>
        <w:rPr>
          <w:rFonts w:ascii="仿宋_GB2312" w:hAnsi="仿宋_GB2312" w:eastAsia="仿宋_GB2312"/>
          <w:b w:val="0"/>
          <w:sz w:val="32"/>
        </w:rPr>
        <w:t>3.教育支出(类)普通教育(款)其他普通教育支出(项):支出决算数为191.31万元，比上年决算减少19.38万元，下降9.20%,主要原因是：本年度临聘人员减少，相关人员经费减少，导致经费较上年减少。</w:t>
      </w:r>
    </w:p>
    <w:p w14:paraId="1A282A76">
      <w:pPr>
        <w:spacing w:line="580" w:lineRule="exact"/>
        <w:ind w:firstLine="640"/>
        <w:jc w:val="both"/>
      </w:pPr>
      <w:r>
        <w:rPr>
          <w:rFonts w:ascii="仿宋_GB2312" w:hAnsi="仿宋_GB2312" w:eastAsia="仿宋_GB2312"/>
          <w:b w:val="0"/>
          <w:sz w:val="32"/>
        </w:rPr>
        <w:t>4.教育支出(类)教育费附加安排的支出(款)其他教育费附加安排的支出(项):支出决算数为0.00万元，比上年决算减少0.97万元，下降100.00%,主要原因是：本年功能科目调整，部分人员经费上年在此科目列支，本年调整至学前教育科目列支，导致经费较上年减少。</w:t>
      </w:r>
    </w:p>
    <w:p w14:paraId="5AC69B50">
      <w:pPr>
        <w:spacing w:line="580" w:lineRule="exact"/>
        <w:ind w:firstLine="640"/>
        <w:jc w:val="both"/>
      </w:pPr>
      <w:r>
        <w:rPr>
          <w:rFonts w:ascii="仿宋_GB2312" w:hAnsi="仿宋_GB2312" w:eastAsia="仿宋_GB2312"/>
          <w:b w:val="0"/>
          <w:sz w:val="32"/>
        </w:rPr>
        <w:t>5.教育支出(类)其他教育支出(款)其他教育支出(项):支出决算数为0.00万元，比上年决算减少3.11万元，下降100.00%,主要原因是：本年功能科目调整，部分人员经费上年在此科目列支，本年调整至学前教育科目列支，导致经费较上年减少。</w:t>
      </w:r>
    </w:p>
    <w:p w14:paraId="00033E75">
      <w:pPr>
        <w:spacing w:line="580" w:lineRule="exact"/>
        <w:ind w:firstLine="640"/>
        <w:jc w:val="both"/>
      </w:pPr>
      <w:r>
        <w:rPr>
          <w:rFonts w:ascii="仿宋_GB2312" w:hAnsi="仿宋_GB2312" w:eastAsia="仿宋_GB2312"/>
          <w:b w:val="0"/>
          <w:sz w:val="32"/>
        </w:rPr>
        <w:t>6.社会保障和就业支出(类)行政事业单位养老支出(款)事业单位离退休(项):支出决算数为35.17万元，比上年决算增加26.00万元，增长283.53%,主要原因是：本年度增加退休人员基础绩效奖，退休费支出增加。</w:t>
      </w:r>
    </w:p>
    <w:p w14:paraId="31D4B135">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309.50万元，比上年决算减少15.54万元，下降4.78%,主要原因是：本年在职人员减少，单位基本养老保险缴费较上年减少。</w:t>
      </w:r>
    </w:p>
    <w:p w14:paraId="388C3E81">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16.23万元，比上年决算增加1.14万元，增长7.55%,主要原因是：本年退休人员较上年增加，职业年金缴费较上年增长。</w:t>
      </w:r>
    </w:p>
    <w:p w14:paraId="105B6527">
      <w:pPr>
        <w:spacing w:line="580" w:lineRule="exact"/>
        <w:ind w:firstLine="640"/>
        <w:jc w:val="both"/>
      </w:pPr>
      <w:r>
        <w:rPr>
          <w:rFonts w:ascii="仿宋_GB2312" w:hAnsi="仿宋_GB2312" w:eastAsia="仿宋_GB2312"/>
          <w:b w:val="0"/>
          <w:sz w:val="32"/>
        </w:rPr>
        <w:t>9.社会保障和就业支出(类)抚恤(款)死亡抚恤(项):支出决算数为13.76万元，比上年决算减少8.21万元，下降37.37%,主要原因是：本年无新增死亡人员，死亡抚恤金支出较上年减少。</w:t>
      </w:r>
    </w:p>
    <w:p w14:paraId="37910548">
      <w:pPr>
        <w:spacing w:line="580" w:lineRule="exact"/>
        <w:ind w:firstLine="640"/>
        <w:jc w:val="both"/>
      </w:pPr>
      <w:r>
        <w:rPr>
          <w:rFonts w:ascii="仿宋_GB2312" w:hAnsi="仿宋_GB2312" w:eastAsia="仿宋_GB2312"/>
          <w:b w:val="0"/>
          <w:sz w:val="32"/>
        </w:rPr>
        <w:t>10.卫生健康支出(类)行政事业单位医疗(款)事业单位医疗(项):支出决算数为154.75万元，比上年决算减少35.22万元，下降18.54%,主要原因是：本年在职人员减少，事业单位医疗支出较上年减少。</w:t>
      </w:r>
    </w:p>
    <w:p w14:paraId="32521322">
      <w:pPr>
        <w:spacing w:line="580" w:lineRule="exact"/>
        <w:ind w:firstLine="640"/>
        <w:jc w:val="both"/>
      </w:pPr>
      <w:r>
        <w:rPr>
          <w:rFonts w:ascii="仿宋_GB2312" w:hAnsi="仿宋_GB2312" w:eastAsia="仿宋_GB2312"/>
          <w:b w:val="0"/>
          <w:sz w:val="32"/>
        </w:rPr>
        <w:t>11.住房保障支出(类)住房改革支出(款)住房公积金(项):支出决算数为0.00万元，比上年决算减少272.21万元，下降100.00%,主要原因是：本年功能科目调整，住房公积金上年度单独列支，本年调整至</w:t>
      </w:r>
      <w:r>
        <w:rPr>
          <w:rFonts w:hint="eastAsia" w:ascii="仿宋_GB2312" w:hAnsi="仿宋_GB2312" w:eastAsia="仿宋_GB2312"/>
          <w:b w:val="0"/>
          <w:sz w:val="32"/>
          <w:lang w:val="en-US" w:eastAsia="zh-CN"/>
        </w:rPr>
        <w:t>小学教育</w:t>
      </w:r>
      <w:r>
        <w:rPr>
          <w:rFonts w:ascii="仿宋_GB2312" w:hAnsi="仿宋_GB2312" w:eastAsia="仿宋_GB2312"/>
          <w:b w:val="0"/>
          <w:sz w:val="32"/>
        </w:rPr>
        <w:t>列支，导致经费较上年减少。</w:t>
      </w:r>
    </w:p>
    <w:p w14:paraId="3157178E">
      <w:pPr>
        <w:spacing w:line="640" w:lineRule="exact"/>
        <w:ind w:firstLine="640"/>
        <w:jc w:val="both"/>
        <w:outlineLvl w:val="2"/>
      </w:pPr>
      <w:r>
        <w:rPr>
          <w:rFonts w:ascii="黑体" w:hAnsi="黑体" w:eastAsia="黑体"/>
          <w:sz w:val="32"/>
        </w:rPr>
        <w:t>六、一般公共预算财政拨款基本支出决算情况说明</w:t>
      </w:r>
    </w:p>
    <w:p w14:paraId="16BBA7D9">
      <w:pPr>
        <w:spacing w:line="580" w:lineRule="exact"/>
        <w:ind w:firstLine="640"/>
        <w:jc w:val="both"/>
      </w:pPr>
      <w:r>
        <w:rPr>
          <w:rFonts w:ascii="仿宋_GB2312" w:hAnsi="仿宋_GB2312" w:eastAsia="仿宋_GB2312"/>
          <w:b w:val="0"/>
          <w:sz w:val="32"/>
        </w:rPr>
        <w:t>2024年度一般公共预算财政拨款基本支出3,428.40万元，其中：</w:t>
      </w:r>
      <w:r>
        <w:rPr>
          <w:rFonts w:ascii="仿宋_GB2312" w:hAnsi="仿宋_GB2312" w:eastAsia="仿宋_GB2312"/>
          <w:b/>
          <w:sz w:val="32"/>
        </w:rPr>
        <w:t>人员经费3,311.07万元，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助学金、奖励金。</w:t>
      </w:r>
    </w:p>
    <w:p w14:paraId="4FFC1FAA">
      <w:pPr>
        <w:spacing w:line="580" w:lineRule="exact"/>
        <w:ind w:firstLine="640"/>
        <w:jc w:val="both"/>
      </w:pPr>
      <w:r>
        <w:rPr>
          <w:rFonts w:ascii="仿宋_GB2312" w:hAnsi="仿宋_GB2312" w:eastAsia="仿宋_GB2312"/>
          <w:b/>
          <w:sz w:val="32"/>
        </w:rPr>
        <w:t>公用经费117.33万元，</w:t>
      </w:r>
      <w:r>
        <w:rPr>
          <w:rFonts w:ascii="仿宋_GB2312" w:hAnsi="仿宋_GB2312" w:eastAsia="仿宋_GB2312"/>
          <w:b w:val="0"/>
          <w:sz w:val="32"/>
        </w:rPr>
        <w:t>包括：办公费、印刷费、电费、邮电费、取暖费、物业管理费、差旅费、维修（护）费、培训费、专用材料费、工会经费、福利费。</w:t>
      </w:r>
    </w:p>
    <w:p w14:paraId="4430C8EF">
      <w:pPr>
        <w:spacing w:line="640" w:lineRule="exact"/>
        <w:ind w:firstLine="640"/>
        <w:jc w:val="both"/>
        <w:outlineLvl w:val="2"/>
      </w:pPr>
      <w:r>
        <w:rPr>
          <w:rFonts w:ascii="黑体" w:hAnsi="黑体" w:eastAsia="黑体"/>
          <w:sz w:val="32"/>
        </w:rPr>
        <w:t>七、政府性基金预算财政拨款收入支出决算情况说明</w:t>
      </w:r>
    </w:p>
    <w:p w14:paraId="210BAEF1">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2A56C71">
      <w:pPr>
        <w:spacing w:line="640" w:lineRule="exact"/>
        <w:ind w:firstLine="640"/>
        <w:jc w:val="both"/>
        <w:outlineLvl w:val="2"/>
      </w:pPr>
      <w:r>
        <w:rPr>
          <w:rFonts w:ascii="黑体" w:hAnsi="黑体" w:eastAsia="黑体"/>
          <w:sz w:val="32"/>
        </w:rPr>
        <w:t>八、国有资本经营预算财政拨款收入支出决算情况说明</w:t>
      </w:r>
    </w:p>
    <w:p w14:paraId="39A9D59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2180FA0">
      <w:pPr>
        <w:spacing w:line="640" w:lineRule="exact"/>
        <w:ind w:firstLine="640"/>
        <w:jc w:val="both"/>
        <w:outlineLvl w:val="2"/>
      </w:pPr>
      <w:r>
        <w:rPr>
          <w:rFonts w:ascii="黑体" w:hAnsi="黑体" w:eastAsia="黑体"/>
          <w:sz w:val="32"/>
        </w:rPr>
        <w:t>九、财政拨款“三公”经费支出决算情况说明</w:t>
      </w:r>
    </w:p>
    <w:p w14:paraId="1E90949D">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569C29E6">
      <w:pPr>
        <w:spacing w:line="580" w:lineRule="exact"/>
        <w:ind w:firstLine="640"/>
        <w:jc w:val="both"/>
      </w:pPr>
      <w:r>
        <w:rPr>
          <w:rFonts w:ascii="仿宋_GB2312" w:hAnsi="仿宋_GB2312" w:eastAsia="仿宋_GB2312"/>
          <w:b/>
          <w:sz w:val="32"/>
        </w:rPr>
        <w:t>具体情况如下：</w:t>
      </w:r>
    </w:p>
    <w:p w14:paraId="3887EC7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D073A9A">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699455F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8D40D8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EFCDCC3">
      <w:pPr>
        <w:spacing w:line="640" w:lineRule="exact"/>
        <w:ind w:firstLine="640"/>
        <w:jc w:val="both"/>
        <w:outlineLvl w:val="2"/>
      </w:pPr>
      <w:r>
        <w:rPr>
          <w:rFonts w:ascii="黑体" w:hAnsi="黑体" w:eastAsia="黑体"/>
          <w:sz w:val="32"/>
        </w:rPr>
        <w:t>十、其他重要事项的情况说明</w:t>
      </w:r>
    </w:p>
    <w:p w14:paraId="3469AA43">
      <w:pPr>
        <w:spacing w:line="640" w:lineRule="exact"/>
        <w:ind w:firstLine="640"/>
        <w:jc w:val="both"/>
        <w:outlineLvl w:val="3"/>
      </w:pPr>
      <w:r>
        <w:rPr>
          <w:rFonts w:ascii="楷体_GB2312" w:hAnsi="楷体_GB2312" w:eastAsia="楷体_GB2312"/>
          <w:b/>
          <w:sz w:val="32"/>
        </w:rPr>
        <w:t>（一）机关运行经费及公用经费支出情况</w:t>
      </w:r>
    </w:p>
    <w:p w14:paraId="3C4A592B">
      <w:pPr>
        <w:spacing w:line="580" w:lineRule="exact"/>
        <w:ind w:firstLine="640"/>
        <w:jc w:val="both"/>
      </w:pPr>
      <w:r>
        <w:rPr>
          <w:rFonts w:ascii="仿宋_GB2312" w:hAnsi="仿宋_GB2312" w:eastAsia="仿宋_GB2312"/>
          <w:b w:val="0"/>
          <w:sz w:val="32"/>
        </w:rPr>
        <w:t>2024年度霍城县三道河乡中心学校（事业单位）公用经费支出117.33万元，比上年减少19.89万元，下降14.49%，主要原因是：本年</w:t>
      </w:r>
      <w:bookmarkStart w:id="0" w:name="_GoBack"/>
      <w:r>
        <w:rPr>
          <w:rFonts w:ascii="仿宋_GB2312" w:hAnsi="仿宋_GB2312" w:eastAsia="仿宋_GB2312"/>
          <w:b w:val="0"/>
          <w:sz w:val="32"/>
        </w:rPr>
        <w:t>学生人数减少，导致本年度公用经费支出减少。</w:t>
      </w:r>
    </w:p>
    <w:bookmarkEnd w:id="0"/>
    <w:p w14:paraId="07BDEF47">
      <w:pPr>
        <w:spacing w:line="640" w:lineRule="exact"/>
        <w:ind w:firstLine="640"/>
        <w:jc w:val="both"/>
        <w:outlineLvl w:val="3"/>
      </w:pPr>
      <w:r>
        <w:rPr>
          <w:rFonts w:ascii="楷体_GB2312" w:hAnsi="楷体_GB2312" w:eastAsia="楷体_GB2312"/>
          <w:b/>
          <w:sz w:val="32"/>
        </w:rPr>
        <w:t>（二）政府采购情况</w:t>
      </w:r>
    </w:p>
    <w:p w14:paraId="64758CD5">
      <w:pPr>
        <w:spacing w:line="580" w:lineRule="exact"/>
        <w:ind w:firstLine="640"/>
        <w:jc w:val="both"/>
      </w:pPr>
      <w:r>
        <w:rPr>
          <w:rFonts w:ascii="仿宋_GB2312" w:hAnsi="仿宋_GB2312" w:eastAsia="仿宋_GB2312"/>
          <w:b w:val="0"/>
          <w:sz w:val="32"/>
        </w:rPr>
        <w:t>2024年度政府采购支出总额1.05万元，其中：政府采购货物支出0.93万元、政府采购工程支出0.00万元、政府采购服务支出0.12万元。</w:t>
      </w:r>
    </w:p>
    <w:p w14:paraId="6C056A1E">
      <w:pPr>
        <w:spacing w:line="580" w:lineRule="exact"/>
        <w:ind w:firstLine="640"/>
        <w:jc w:val="both"/>
      </w:pPr>
      <w:r>
        <w:rPr>
          <w:rFonts w:ascii="仿宋_GB2312" w:hAnsi="仿宋_GB2312" w:eastAsia="仿宋_GB2312"/>
          <w:b w:val="0"/>
          <w:sz w:val="32"/>
        </w:rPr>
        <w:t>授予中小企业合同金额1.05万元，占政府采购支出总额的100.00%，其中：授予小微企业合同金额1.05万元，占政府采购支出总额的100.00%。</w:t>
      </w:r>
    </w:p>
    <w:p w14:paraId="50E7D95C">
      <w:pPr>
        <w:spacing w:line="640" w:lineRule="exact"/>
        <w:ind w:firstLine="640"/>
        <w:jc w:val="both"/>
        <w:outlineLvl w:val="3"/>
      </w:pPr>
      <w:r>
        <w:rPr>
          <w:rFonts w:ascii="楷体_GB2312" w:hAnsi="楷体_GB2312" w:eastAsia="楷体_GB2312"/>
          <w:b/>
          <w:sz w:val="32"/>
        </w:rPr>
        <w:t>（三）国有资产占用情况说明</w:t>
      </w:r>
    </w:p>
    <w:p w14:paraId="7C97F134">
      <w:pPr>
        <w:spacing w:line="580" w:lineRule="exact"/>
        <w:ind w:firstLine="640"/>
        <w:jc w:val="both"/>
      </w:pPr>
      <w:r>
        <w:rPr>
          <w:rFonts w:ascii="仿宋_GB2312" w:hAnsi="仿宋_GB2312" w:eastAsia="仿宋_GB2312"/>
          <w:b w:val="0"/>
          <w:sz w:val="32"/>
        </w:rPr>
        <w:t>截至2024年12月31日，房屋12,006.76平方米，价值1,385.19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76DF516A">
      <w:pPr>
        <w:spacing w:line="640" w:lineRule="exact"/>
        <w:ind w:firstLine="640"/>
        <w:jc w:val="both"/>
        <w:outlineLvl w:val="2"/>
      </w:pPr>
      <w:r>
        <w:rPr>
          <w:rFonts w:ascii="黑体" w:hAnsi="黑体" w:eastAsia="黑体"/>
          <w:sz w:val="32"/>
        </w:rPr>
        <w:t>十一、预算绩效的情况说明</w:t>
      </w:r>
    </w:p>
    <w:p w14:paraId="710C3421">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3,428.40万元，实际执行总额3,428.40万元；预算绩效评价项目0个，全年预算数0.00万元，全年执行数0.00万元。预算绩效管理取得的成效：一是目标达成率提高：明确的预算绩效目标和定期的评估机制，使得学校各项工作计划的目标达成率显著提升，如教学质量的改善、科研成果的增加等。二是成本控制有效：对各项支出进行严格的监控和分析，有效控制了不必要的开支，降低了学校的运营成本。发现的问题及原因：一是人员绩效意识薄弱：部分教职工对预算绩效管理的重要性认识不足，参与度不高，导致工作执行不到位。这可能是由于培训宣传不足，缺乏激励机制。二是预算调整机制不灵活：当外部环境变化或学校发展需求调整时，预算调整的流程繁琐，不够灵活，影响了工作的推进。原因在于预算管理制度的僵化，缺乏应对突发情况的弹性条款。下一步改进措施：一是强化培训与宣传：开展预算绩效管理的培训活动，提高教职工的绩效意识，建立相应的激励机制，鼓励积极参与。二是优化预算调整流程：制定灵活的预算调整规则，明确调整的条件和程序，提高预算对学校发展变化的适应性。具体附整体支出绩效自评表。</w:t>
      </w:r>
    </w:p>
    <w:p w14:paraId="43289C9E">
      <w:r>
        <w:br w:type="page"/>
      </w:r>
    </w:p>
    <w:tbl>
      <w:tblPr>
        <w:tblStyle w:val="9"/>
        <w:tblW w:w="0" w:type="auto"/>
        <w:tblInd w:w="0" w:type="dxa"/>
        <w:tblLayout w:type="autofit"/>
        <w:tblCellMar>
          <w:top w:w="0" w:type="dxa"/>
          <w:left w:w="108" w:type="dxa"/>
          <w:bottom w:w="0" w:type="dxa"/>
          <w:right w:w="108" w:type="dxa"/>
        </w:tblCellMar>
      </w:tblPr>
      <w:tblGrid>
        <w:gridCol w:w="1105"/>
        <w:gridCol w:w="800"/>
        <w:gridCol w:w="305"/>
        <w:gridCol w:w="1105"/>
        <w:gridCol w:w="1105"/>
        <w:gridCol w:w="1105"/>
        <w:gridCol w:w="225"/>
        <w:gridCol w:w="880"/>
        <w:gridCol w:w="1105"/>
        <w:gridCol w:w="1105"/>
      </w:tblGrid>
      <w:tr w14:paraId="784784B6">
        <w:tblPrEx>
          <w:tblCellMar>
            <w:top w:w="0" w:type="dxa"/>
            <w:left w:w="108" w:type="dxa"/>
            <w:bottom w:w="0" w:type="dxa"/>
            <w:right w:w="108" w:type="dxa"/>
          </w:tblCellMar>
        </w:tblPrEx>
        <w:tc>
          <w:tcPr>
            <w:tcW w:w="8840" w:type="dxa"/>
            <w:gridSpan w:val="10"/>
            <w:vAlign w:val="center"/>
          </w:tcPr>
          <w:p w14:paraId="63271325">
            <w:pPr>
              <w:jc w:val="center"/>
            </w:pPr>
            <w:r>
              <w:rPr>
                <w:rFonts w:ascii="宋体" w:hAnsi="宋体" w:eastAsia="宋体"/>
                <w:sz w:val="24"/>
              </w:rPr>
              <w:t>单位整体支出绩效自评表</w:t>
            </w:r>
          </w:p>
        </w:tc>
      </w:tr>
      <w:tr w14:paraId="1DC0B96F">
        <w:tblPrEx>
          <w:tblCellMar>
            <w:top w:w="0" w:type="dxa"/>
            <w:left w:w="108" w:type="dxa"/>
            <w:bottom w:w="0" w:type="dxa"/>
            <w:right w:w="108" w:type="dxa"/>
          </w:tblCellMar>
        </w:tblPrEx>
        <w:tc>
          <w:tcPr>
            <w:tcW w:w="8840" w:type="dxa"/>
            <w:gridSpan w:val="10"/>
            <w:vAlign w:val="center"/>
          </w:tcPr>
          <w:p w14:paraId="46D85DA3">
            <w:pPr>
              <w:jc w:val="center"/>
            </w:pPr>
            <w:r>
              <w:rPr>
                <w:rFonts w:ascii="宋体" w:hAnsi="宋体" w:eastAsia="宋体"/>
                <w:sz w:val="24"/>
              </w:rPr>
              <w:t>（2024年度）</w:t>
            </w:r>
          </w:p>
        </w:tc>
      </w:tr>
      <w:tr w14:paraId="56B29CE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93D9BD">
            <w:pPr>
              <w:jc w:val="center"/>
            </w:pPr>
            <w:r>
              <w:rPr>
                <w:rFonts w:ascii="宋体" w:hAnsi="宋体" w:eastAsia="宋体"/>
                <w:sz w:val="16"/>
              </w:rPr>
              <w:t>单位名称</w:t>
            </w:r>
          </w:p>
        </w:tc>
        <w:tc>
          <w:tcPr>
            <w:tcW w:w="7735"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35E39CF3">
            <w:pPr>
              <w:jc w:val="center"/>
            </w:pPr>
            <w:r>
              <w:rPr>
                <w:rFonts w:ascii="宋体" w:hAnsi="宋体" w:eastAsia="宋体"/>
                <w:sz w:val="16"/>
              </w:rPr>
              <w:t>霍城县三道河乡中心学校</w:t>
            </w:r>
          </w:p>
        </w:tc>
      </w:tr>
      <w:tr w14:paraId="10829A5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3C40F2">
            <w:pPr>
              <w:jc w:val="center"/>
            </w:pPr>
            <w:r>
              <w:rPr>
                <w:rFonts w:ascii="宋体" w:hAnsi="宋体" w:eastAsia="宋体"/>
                <w:sz w:val="16"/>
              </w:rPr>
              <w:t>部门资金（万元）</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77FB3">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B52B9B">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0E1324">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D3BF45">
            <w:pPr>
              <w:jc w:val="center"/>
            </w:pPr>
            <w:r>
              <w:rPr>
                <w:rFonts w:ascii="宋体" w:hAnsi="宋体" w:eastAsia="宋体"/>
                <w:sz w:val="16"/>
              </w:rPr>
              <w:t>全年执行数</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12184">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A77065">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0F9D6C">
            <w:pPr>
              <w:jc w:val="center"/>
            </w:pPr>
            <w:r>
              <w:rPr>
                <w:rFonts w:ascii="宋体" w:hAnsi="宋体" w:eastAsia="宋体"/>
                <w:sz w:val="16"/>
              </w:rPr>
              <w:t>得分</w:t>
            </w:r>
          </w:p>
        </w:tc>
      </w:tr>
      <w:tr w14:paraId="1D59675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3E1388"/>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4E27C">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78ABB6">
            <w:pPr>
              <w:jc w:val="center"/>
            </w:pPr>
            <w:r>
              <w:rPr>
                <w:rFonts w:ascii="宋体" w:hAnsi="宋体" w:eastAsia="宋体"/>
                <w:sz w:val="16"/>
              </w:rPr>
              <w:t>3,757.85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E25797">
            <w:pPr>
              <w:jc w:val="center"/>
            </w:pPr>
            <w:r>
              <w:rPr>
                <w:rFonts w:ascii="宋体" w:hAnsi="宋体" w:eastAsia="宋体"/>
                <w:sz w:val="16"/>
              </w:rPr>
              <w:t>3,428.40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61C728">
            <w:pPr>
              <w:jc w:val="center"/>
            </w:pPr>
            <w:r>
              <w:rPr>
                <w:rFonts w:ascii="宋体" w:hAnsi="宋体" w:eastAsia="宋体"/>
                <w:sz w:val="16"/>
              </w:rPr>
              <w:t>3,428.40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F966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8DAF4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F900D3">
            <w:pPr>
              <w:jc w:val="center"/>
            </w:pPr>
            <w:r>
              <w:rPr>
                <w:rFonts w:ascii="宋体" w:hAnsi="宋体" w:eastAsia="宋体"/>
                <w:sz w:val="16"/>
              </w:rPr>
              <w:t>10</w:t>
            </w:r>
          </w:p>
        </w:tc>
      </w:tr>
      <w:tr w14:paraId="69FFC93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30011F7"/>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89C91">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8A30CC">
            <w:pPr>
              <w:jc w:val="center"/>
            </w:pPr>
            <w:r>
              <w:rPr>
                <w:rFonts w:ascii="宋体" w:hAnsi="宋体" w:eastAsia="宋体"/>
                <w:sz w:val="16"/>
              </w:rPr>
              <w:t>195.58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ADBD1F">
            <w:pPr>
              <w:jc w:val="center"/>
            </w:pPr>
            <w:r>
              <w:rPr>
                <w:rFonts w:ascii="宋体" w:hAnsi="宋体" w:eastAsia="宋体"/>
                <w:sz w:val="16"/>
              </w:rPr>
              <w:t>157.92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A60772">
            <w:pPr>
              <w:jc w:val="center"/>
            </w:pPr>
            <w:r>
              <w:rPr>
                <w:rFonts w:ascii="宋体" w:hAnsi="宋体" w:eastAsia="宋体"/>
                <w:sz w:val="16"/>
              </w:rPr>
              <w:t>157.92</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2560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25E1D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FE6659">
            <w:pPr>
              <w:jc w:val="center"/>
            </w:pPr>
            <w:r>
              <w:rPr>
                <w:rFonts w:ascii="宋体" w:hAnsi="宋体" w:eastAsia="宋体"/>
                <w:sz w:val="16"/>
              </w:rPr>
              <w:t>-</w:t>
            </w:r>
          </w:p>
        </w:tc>
      </w:tr>
      <w:tr w14:paraId="211F62E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B078954"/>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2261E">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869045">
            <w:pPr>
              <w:jc w:val="center"/>
            </w:pPr>
            <w:r>
              <w:rPr>
                <w:rFonts w:ascii="宋体" w:hAnsi="宋体" w:eastAsia="宋体"/>
                <w:sz w:val="16"/>
              </w:rPr>
              <w:t>3,562.27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B92A73">
            <w:pPr>
              <w:jc w:val="center"/>
            </w:pPr>
            <w:r>
              <w:rPr>
                <w:rFonts w:ascii="宋体" w:hAnsi="宋体" w:eastAsia="宋体"/>
                <w:sz w:val="16"/>
              </w:rPr>
              <w:t>3,270.48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E1C983">
            <w:pPr>
              <w:jc w:val="center"/>
            </w:pPr>
            <w:r>
              <w:rPr>
                <w:rFonts w:ascii="宋体" w:hAnsi="宋体" w:eastAsia="宋体"/>
                <w:sz w:val="16"/>
              </w:rPr>
              <w:t>3,270.48</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ADDF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5CAF1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68FE9F">
            <w:pPr>
              <w:jc w:val="center"/>
            </w:pPr>
            <w:r>
              <w:rPr>
                <w:rFonts w:ascii="宋体" w:hAnsi="宋体" w:eastAsia="宋体"/>
                <w:sz w:val="16"/>
              </w:rPr>
              <w:t>-</w:t>
            </w:r>
          </w:p>
        </w:tc>
      </w:tr>
      <w:tr w14:paraId="4A8A242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A4A131A"/>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B9D6E5">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38108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A1ADD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A671C2">
            <w:pPr>
              <w:jc w:val="center"/>
            </w:pPr>
            <w:r>
              <w:rPr>
                <w:rFonts w:ascii="宋体" w:hAnsi="宋体" w:eastAsia="宋体"/>
                <w:sz w:val="16"/>
              </w:rPr>
              <w:t>0.00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A7AF7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19085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9126F3">
            <w:pPr>
              <w:jc w:val="center"/>
            </w:pPr>
            <w:r>
              <w:rPr>
                <w:rFonts w:ascii="宋体" w:hAnsi="宋体" w:eastAsia="宋体"/>
                <w:sz w:val="16"/>
              </w:rPr>
              <w:t>-</w:t>
            </w:r>
          </w:p>
        </w:tc>
      </w:tr>
      <w:tr w14:paraId="25727BD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E21338">
            <w:pPr>
              <w:jc w:val="center"/>
            </w:pPr>
            <w:r>
              <w:rPr>
                <w:rFonts w:ascii="宋体" w:hAnsi="宋体" w:eastAsia="宋体"/>
                <w:sz w:val="16"/>
              </w:rPr>
              <w:t>年度总体目标</w:t>
            </w:r>
          </w:p>
        </w:tc>
        <w:tc>
          <w:tcPr>
            <w:tcW w:w="442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A60157E">
            <w:pPr>
              <w:jc w:val="center"/>
            </w:pPr>
            <w:r>
              <w:rPr>
                <w:rFonts w:ascii="宋体" w:hAnsi="宋体" w:eastAsia="宋体"/>
                <w:sz w:val="16"/>
              </w:rPr>
              <w:t>预期目标</w:t>
            </w:r>
          </w:p>
        </w:tc>
        <w:tc>
          <w:tcPr>
            <w:tcW w:w="3315"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B4CBD97">
            <w:pPr>
              <w:jc w:val="center"/>
            </w:pPr>
            <w:r>
              <w:rPr>
                <w:rFonts w:ascii="宋体" w:hAnsi="宋体" w:eastAsia="宋体"/>
                <w:sz w:val="16"/>
              </w:rPr>
              <w:t>实际完成情况</w:t>
            </w:r>
          </w:p>
        </w:tc>
      </w:tr>
      <w:tr w14:paraId="5E1B073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3ABCD32"/>
        </w:tc>
        <w:tc>
          <w:tcPr>
            <w:tcW w:w="442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8DAED93">
            <w:pPr>
              <w:jc w:val="both"/>
            </w:pPr>
            <w:r>
              <w:rPr>
                <w:rFonts w:ascii="宋体" w:hAnsi="宋体" w:eastAsia="宋体"/>
                <w:sz w:val="16"/>
              </w:rPr>
              <w:t>贯彻落实中央、自治区党委决策部署的各项重大工作决定和安排，一、充分发挥教育经费保障教育发展、推动教育改革、推进教育公平、提高教育质量的政策引领作用，进一步优化结构、深化改革、强化监管，花好每一分钱，把教育经费用到最关键处，切实提高教育经费使用效益。二、完善城乡义务教育经费保障机制，保障小学正常运转，保证学校校舍安全。三、按照</w:t>
            </w:r>
            <w:r>
              <w:rPr>
                <w:rFonts w:hint="eastAsia" w:ascii="宋体" w:hAnsi="宋体"/>
                <w:sz w:val="16"/>
                <w:lang w:eastAsia="zh-CN"/>
              </w:rPr>
              <w:t>加快建设高质量教育体系</w:t>
            </w:r>
            <w:r>
              <w:rPr>
                <w:rFonts w:ascii="宋体" w:hAnsi="宋体" w:eastAsia="宋体"/>
                <w:sz w:val="16"/>
              </w:rPr>
              <w:t>部署要求，全面贯彻党的教育方针，坚持立德树人，健全学校家庭社会协同育人机制，增强学生文明素养、社会责任意识、实践本领，重视青少年身体素质和心理健康教育，加强师德师风建设，培养德智体美劳全面发展的社会主义建设者和接班人。四、加强资源统筹，构建终身教育体系，服务群众终身学习和全面发展。</w:t>
            </w:r>
          </w:p>
        </w:tc>
        <w:tc>
          <w:tcPr>
            <w:tcW w:w="3315"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3ADDAC5">
            <w:pPr>
              <w:jc w:val="both"/>
            </w:pPr>
            <w:r>
              <w:rPr>
                <w:rFonts w:ascii="宋体" w:hAnsi="宋体" w:eastAsia="宋体"/>
                <w:sz w:val="16"/>
              </w:rPr>
              <w:t>一是在协同育人与学生素养培养上，构建了较为完善的学校、家庭、社会协同育人机制。通过家校互动活动、社区实践项目，有效增强了学生文明素养、责任意识与实践能力。同时，学校增设了心理健康课程和体育特色活动，青少年身心健康发展得到有力保障。二是师德师风建设方面，开展了多场专题培训与师德楷模评选活动，教师职业道德水平显著提升，为培养德智体美劳全面发展的学生奠定了坚实基础。三是教育经费使用上，严格贯彻中央及自治区党委要求，充分发挥经费政策引领作用。通过优化资源配置，深化教育改革项目，强化财务监管，将每一分钱都用在刀刃上，提升了经费使用效益，有力推动了教育公平与质量提升。</w:t>
            </w:r>
          </w:p>
        </w:tc>
      </w:tr>
      <w:tr w14:paraId="772905F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5B74C5">
            <w:pPr>
              <w:jc w:val="center"/>
            </w:pPr>
            <w:r>
              <w:rPr>
                <w:rFonts w:ascii="宋体" w:hAnsi="宋体" w:eastAsia="宋体"/>
                <w:sz w:val="16"/>
              </w:rPr>
              <w:t>一级指标</w:t>
            </w:r>
          </w:p>
        </w:tc>
        <w:tc>
          <w:tcPr>
            <w:tcW w:w="800" w:type="dxa"/>
            <w:tcBorders>
              <w:top w:val="single" w:color="auto" w:sz="10" w:space="0"/>
              <w:left w:val="single" w:color="auto" w:sz="10" w:space="0"/>
              <w:bottom w:val="single" w:color="auto" w:sz="10" w:space="0"/>
              <w:right w:val="single" w:color="auto" w:sz="10" w:space="0"/>
              <w:insideV w:val="single" w:sz="10" w:space="0"/>
            </w:tcBorders>
            <w:vAlign w:val="center"/>
          </w:tcPr>
          <w:p w14:paraId="4ACA976A">
            <w:pPr>
              <w:jc w:val="center"/>
            </w:pPr>
            <w:r>
              <w:rPr>
                <w:rFonts w:ascii="宋体" w:hAnsi="宋体" w:eastAsia="宋体"/>
                <w:sz w:val="16"/>
              </w:rPr>
              <w:t>二级指标</w:t>
            </w:r>
          </w:p>
        </w:tc>
        <w:tc>
          <w:tcPr>
            <w:tcW w:w="14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4DD2F">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9AAAA3">
            <w:pPr>
              <w:jc w:val="center"/>
            </w:pPr>
            <w:r>
              <w:rPr>
                <w:rFonts w:ascii="宋体" w:hAnsi="宋体" w:eastAsia="宋体"/>
                <w:sz w:val="16"/>
              </w:rPr>
              <w:t>预期指标值</w:t>
            </w:r>
          </w:p>
        </w:tc>
        <w:tc>
          <w:tcPr>
            <w:tcW w:w="13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03398">
            <w:pPr>
              <w:jc w:val="center"/>
            </w:pPr>
            <w:r>
              <w:rPr>
                <w:rFonts w:ascii="宋体" w:hAnsi="宋体" w:eastAsia="宋体"/>
                <w:sz w:val="16"/>
              </w:rPr>
              <w:t>指标值设定依据</w:t>
            </w:r>
          </w:p>
        </w:tc>
        <w:tc>
          <w:tcPr>
            <w:tcW w:w="880" w:type="dxa"/>
            <w:tcBorders>
              <w:top w:val="single" w:color="auto" w:sz="10" w:space="0"/>
              <w:left w:val="single" w:color="auto" w:sz="10" w:space="0"/>
              <w:bottom w:val="single" w:color="auto" w:sz="10" w:space="0"/>
              <w:right w:val="single" w:color="auto" w:sz="10" w:space="0"/>
              <w:insideV w:val="single" w:sz="10" w:space="0"/>
            </w:tcBorders>
            <w:vAlign w:val="center"/>
          </w:tcPr>
          <w:p w14:paraId="3ECCD2A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AF434F">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389F92">
            <w:pPr>
              <w:jc w:val="center"/>
            </w:pPr>
            <w:r>
              <w:rPr>
                <w:rFonts w:ascii="宋体" w:hAnsi="宋体" w:eastAsia="宋体"/>
                <w:sz w:val="16"/>
              </w:rPr>
              <w:t>得分</w:t>
            </w:r>
          </w:p>
        </w:tc>
      </w:tr>
      <w:tr w14:paraId="49C326E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E21BA8">
            <w:pPr>
              <w:jc w:val="center"/>
            </w:pPr>
            <w:r>
              <w:rPr>
                <w:rFonts w:ascii="宋体" w:hAnsi="宋体" w:eastAsia="宋体"/>
                <w:sz w:val="16"/>
              </w:rPr>
              <w:t>履职效能</w:t>
            </w:r>
          </w:p>
        </w:tc>
        <w:tc>
          <w:tcPr>
            <w:tcW w:w="8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3B5F7D">
            <w:pPr>
              <w:jc w:val="center"/>
            </w:pPr>
            <w:r>
              <w:rPr>
                <w:rFonts w:ascii="宋体" w:hAnsi="宋体" w:eastAsia="宋体"/>
                <w:sz w:val="16"/>
              </w:rPr>
              <w:t>数量指标</w:t>
            </w:r>
          </w:p>
        </w:tc>
        <w:tc>
          <w:tcPr>
            <w:tcW w:w="14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9440D">
            <w:pPr>
              <w:jc w:val="center"/>
            </w:pPr>
            <w:r>
              <w:rPr>
                <w:rFonts w:ascii="宋体" w:hAnsi="宋体" w:eastAsia="宋体"/>
                <w:sz w:val="16"/>
              </w:rPr>
              <w:t>适龄儿童入学率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6542B1">
            <w:pPr>
              <w:jc w:val="center"/>
            </w:pPr>
            <w:r>
              <w:rPr>
                <w:rFonts w:ascii="宋体" w:hAnsi="宋体" w:eastAsia="宋体"/>
                <w:sz w:val="16"/>
              </w:rPr>
              <w:t>&gt;=98%</w:t>
            </w:r>
          </w:p>
        </w:tc>
        <w:tc>
          <w:tcPr>
            <w:tcW w:w="13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51E2A">
            <w:pPr>
              <w:jc w:val="center"/>
            </w:pPr>
            <w:r>
              <w:rPr>
                <w:rFonts w:ascii="宋体" w:hAnsi="宋体" w:eastAsia="宋体"/>
                <w:sz w:val="16"/>
              </w:rPr>
              <w:t>霍城县</w:t>
            </w:r>
            <w:r>
              <w:rPr>
                <w:rFonts w:hint="eastAsia" w:ascii="宋体" w:hAnsi="宋体"/>
                <w:sz w:val="16"/>
                <w:lang w:eastAsia="zh-CN"/>
              </w:rPr>
              <w:t>“十四五”规划</w:t>
            </w:r>
            <w:r>
              <w:rPr>
                <w:rFonts w:ascii="宋体" w:hAnsi="宋体" w:eastAsia="宋体"/>
                <w:sz w:val="16"/>
              </w:rPr>
              <w:t>纲要</w:t>
            </w:r>
          </w:p>
        </w:tc>
        <w:tc>
          <w:tcPr>
            <w:tcW w:w="880" w:type="dxa"/>
            <w:tcBorders>
              <w:top w:val="single" w:color="auto" w:sz="10" w:space="0"/>
              <w:left w:val="single" w:color="auto" w:sz="10" w:space="0"/>
              <w:bottom w:val="single" w:color="auto" w:sz="10" w:space="0"/>
              <w:right w:val="single" w:color="auto" w:sz="10" w:space="0"/>
              <w:insideV w:val="single" w:sz="10" w:space="0"/>
            </w:tcBorders>
            <w:vAlign w:val="center"/>
          </w:tcPr>
          <w:p w14:paraId="21104A6E">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35EBB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7E03EF">
            <w:pPr>
              <w:jc w:val="center"/>
            </w:pPr>
            <w:r>
              <w:rPr>
                <w:rFonts w:ascii="宋体" w:hAnsi="宋体" w:eastAsia="宋体"/>
                <w:sz w:val="16"/>
              </w:rPr>
              <w:t>15</w:t>
            </w:r>
          </w:p>
        </w:tc>
      </w:tr>
      <w:tr w14:paraId="2BBB351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B85F85E"/>
        </w:tc>
        <w:tc>
          <w:tcPr>
            <w:tcW w:w="800" w:type="dxa"/>
            <w:vMerge w:val="continue"/>
            <w:tcBorders>
              <w:top w:val="single" w:color="auto" w:sz="10" w:space="0"/>
              <w:left w:val="single" w:color="auto" w:sz="10" w:space="0"/>
              <w:bottom w:val="single" w:color="auto" w:sz="10" w:space="0"/>
              <w:right w:val="single" w:color="auto" w:sz="10" w:space="0"/>
              <w:insideV w:val="single" w:sz="10" w:space="0"/>
            </w:tcBorders>
          </w:tcPr>
          <w:p w14:paraId="7CC8AACA"/>
        </w:tc>
        <w:tc>
          <w:tcPr>
            <w:tcW w:w="14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48182">
            <w:pPr>
              <w:jc w:val="center"/>
            </w:pPr>
            <w:r>
              <w:rPr>
                <w:rFonts w:ascii="宋体" w:hAnsi="宋体" w:eastAsia="宋体"/>
                <w:sz w:val="16"/>
              </w:rPr>
              <w:t>创办平安校园活动举办次数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63EAF5">
            <w:pPr>
              <w:jc w:val="center"/>
            </w:pPr>
            <w:r>
              <w:rPr>
                <w:rFonts w:ascii="宋体" w:hAnsi="宋体" w:eastAsia="宋体"/>
                <w:sz w:val="16"/>
              </w:rPr>
              <w:t>&gt;=5次</w:t>
            </w:r>
          </w:p>
        </w:tc>
        <w:tc>
          <w:tcPr>
            <w:tcW w:w="13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15564">
            <w:pPr>
              <w:jc w:val="center"/>
            </w:pPr>
            <w:r>
              <w:rPr>
                <w:rFonts w:ascii="宋体" w:hAnsi="宋体" w:eastAsia="宋体"/>
                <w:sz w:val="16"/>
              </w:rPr>
              <w:t>学校工作计划</w:t>
            </w:r>
          </w:p>
        </w:tc>
        <w:tc>
          <w:tcPr>
            <w:tcW w:w="880" w:type="dxa"/>
            <w:tcBorders>
              <w:top w:val="single" w:color="auto" w:sz="10" w:space="0"/>
              <w:left w:val="single" w:color="auto" w:sz="10" w:space="0"/>
              <w:bottom w:val="single" w:color="auto" w:sz="10" w:space="0"/>
              <w:right w:val="single" w:color="auto" w:sz="10" w:space="0"/>
              <w:insideV w:val="single" w:sz="10" w:space="0"/>
            </w:tcBorders>
            <w:vAlign w:val="center"/>
          </w:tcPr>
          <w:p w14:paraId="610FFAE7">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D8C483">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07C731">
            <w:pPr>
              <w:jc w:val="center"/>
            </w:pPr>
            <w:r>
              <w:rPr>
                <w:rFonts w:ascii="宋体" w:hAnsi="宋体" w:eastAsia="宋体"/>
                <w:sz w:val="16"/>
              </w:rPr>
              <w:t>15</w:t>
            </w:r>
          </w:p>
        </w:tc>
      </w:tr>
      <w:tr w14:paraId="61C02DB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EC717BD"/>
        </w:tc>
        <w:tc>
          <w:tcPr>
            <w:tcW w:w="800" w:type="dxa"/>
            <w:vMerge w:val="continue"/>
            <w:tcBorders>
              <w:top w:val="single" w:color="auto" w:sz="10" w:space="0"/>
              <w:left w:val="single" w:color="auto" w:sz="10" w:space="0"/>
              <w:bottom w:val="single" w:color="auto" w:sz="10" w:space="0"/>
              <w:right w:val="single" w:color="auto" w:sz="10" w:space="0"/>
              <w:insideV w:val="single" w:sz="10" w:space="0"/>
            </w:tcBorders>
          </w:tcPr>
          <w:p w14:paraId="63D95F9F"/>
        </w:tc>
        <w:tc>
          <w:tcPr>
            <w:tcW w:w="14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4CC56">
            <w:pPr>
              <w:jc w:val="center"/>
            </w:pPr>
            <w:r>
              <w:rPr>
                <w:rFonts w:ascii="宋体" w:hAnsi="宋体" w:eastAsia="宋体"/>
                <w:sz w:val="16"/>
              </w:rPr>
              <w:t>消除义务教育大班额</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1BB617">
            <w:pPr>
              <w:jc w:val="center"/>
            </w:pPr>
            <w:r>
              <w:rPr>
                <w:rFonts w:ascii="宋体" w:hAnsi="宋体" w:eastAsia="宋体"/>
                <w:sz w:val="16"/>
              </w:rPr>
              <w:t>&gt;=95%</w:t>
            </w:r>
          </w:p>
        </w:tc>
        <w:tc>
          <w:tcPr>
            <w:tcW w:w="13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AB7B7">
            <w:pPr>
              <w:jc w:val="center"/>
            </w:pPr>
            <w:r>
              <w:rPr>
                <w:rFonts w:ascii="宋体" w:hAnsi="宋体" w:eastAsia="宋体"/>
                <w:sz w:val="16"/>
              </w:rPr>
              <w:t>霍城县</w:t>
            </w:r>
            <w:r>
              <w:rPr>
                <w:rFonts w:hint="eastAsia" w:ascii="宋体" w:hAnsi="宋体"/>
                <w:sz w:val="16"/>
                <w:lang w:eastAsia="zh-CN"/>
              </w:rPr>
              <w:t>“十四五”规划</w:t>
            </w:r>
            <w:r>
              <w:rPr>
                <w:rFonts w:ascii="宋体" w:hAnsi="宋体" w:eastAsia="宋体"/>
                <w:sz w:val="16"/>
              </w:rPr>
              <w:t>纲要</w:t>
            </w:r>
          </w:p>
        </w:tc>
        <w:tc>
          <w:tcPr>
            <w:tcW w:w="880" w:type="dxa"/>
            <w:tcBorders>
              <w:top w:val="single" w:color="auto" w:sz="10" w:space="0"/>
              <w:left w:val="single" w:color="auto" w:sz="10" w:space="0"/>
              <w:bottom w:val="single" w:color="auto" w:sz="10" w:space="0"/>
              <w:right w:val="single" w:color="auto" w:sz="10" w:space="0"/>
              <w:insideV w:val="single" w:sz="10" w:space="0"/>
            </w:tcBorders>
            <w:vAlign w:val="center"/>
          </w:tcPr>
          <w:p w14:paraId="4B66B6CE">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7C9461">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BCEEB8">
            <w:pPr>
              <w:jc w:val="center"/>
            </w:pPr>
            <w:r>
              <w:rPr>
                <w:rFonts w:ascii="宋体" w:hAnsi="宋体" w:eastAsia="宋体"/>
                <w:sz w:val="16"/>
              </w:rPr>
              <w:t>15</w:t>
            </w:r>
          </w:p>
        </w:tc>
      </w:tr>
      <w:tr w14:paraId="2EFCD81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8A031A2"/>
        </w:tc>
        <w:tc>
          <w:tcPr>
            <w:tcW w:w="800" w:type="dxa"/>
            <w:vMerge w:val="continue"/>
            <w:tcBorders>
              <w:top w:val="single" w:color="auto" w:sz="10" w:space="0"/>
              <w:left w:val="single" w:color="auto" w:sz="10" w:space="0"/>
              <w:bottom w:val="single" w:color="auto" w:sz="10" w:space="0"/>
              <w:right w:val="single" w:color="auto" w:sz="10" w:space="0"/>
              <w:insideV w:val="single" w:sz="10" w:space="0"/>
            </w:tcBorders>
          </w:tcPr>
          <w:p w14:paraId="335F8802"/>
        </w:tc>
        <w:tc>
          <w:tcPr>
            <w:tcW w:w="14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407E7">
            <w:pPr>
              <w:jc w:val="center"/>
            </w:pPr>
            <w:r>
              <w:rPr>
                <w:rFonts w:ascii="宋体" w:hAnsi="宋体" w:eastAsia="宋体"/>
                <w:sz w:val="16"/>
              </w:rPr>
              <w:t>义务教育学生人数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4F6B48">
            <w:pPr>
              <w:jc w:val="center"/>
            </w:pPr>
            <w:r>
              <w:rPr>
                <w:rFonts w:ascii="宋体" w:hAnsi="宋体" w:eastAsia="宋体"/>
                <w:sz w:val="16"/>
              </w:rPr>
              <w:t>=1039人</w:t>
            </w:r>
          </w:p>
        </w:tc>
        <w:tc>
          <w:tcPr>
            <w:tcW w:w="13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0742F">
            <w:pPr>
              <w:jc w:val="center"/>
            </w:pPr>
            <w:r>
              <w:rPr>
                <w:rFonts w:ascii="宋体" w:hAnsi="宋体" w:eastAsia="宋体"/>
                <w:sz w:val="16"/>
              </w:rPr>
              <w:t>教育事业综合统计调查表</w:t>
            </w:r>
          </w:p>
        </w:tc>
        <w:tc>
          <w:tcPr>
            <w:tcW w:w="880" w:type="dxa"/>
            <w:tcBorders>
              <w:top w:val="single" w:color="auto" w:sz="10" w:space="0"/>
              <w:left w:val="single" w:color="auto" w:sz="10" w:space="0"/>
              <w:bottom w:val="single" w:color="auto" w:sz="10" w:space="0"/>
              <w:right w:val="single" w:color="auto" w:sz="10" w:space="0"/>
              <w:insideV w:val="single" w:sz="10" w:space="0"/>
            </w:tcBorders>
            <w:vAlign w:val="center"/>
          </w:tcPr>
          <w:p w14:paraId="69801F56">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DD6852">
            <w:pPr>
              <w:jc w:val="center"/>
            </w:pPr>
            <w:r>
              <w:rPr>
                <w:rFonts w:ascii="宋体" w:hAnsi="宋体" w:eastAsia="宋体"/>
                <w:sz w:val="16"/>
              </w:rPr>
              <w:t>1039人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5F6531">
            <w:pPr>
              <w:jc w:val="center"/>
            </w:pPr>
            <w:r>
              <w:rPr>
                <w:rFonts w:ascii="宋体" w:hAnsi="宋体" w:eastAsia="宋体"/>
                <w:sz w:val="16"/>
              </w:rPr>
              <w:t>15</w:t>
            </w:r>
          </w:p>
        </w:tc>
      </w:tr>
      <w:tr w14:paraId="01E58C3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EA436DA"/>
        </w:tc>
        <w:tc>
          <w:tcPr>
            <w:tcW w:w="800" w:type="dxa"/>
            <w:tcBorders>
              <w:top w:val="single" w:color="auto" w:sz="10" w:space="0"/>
              <w:left w:val="single" w:color="auto" w:sz="10" w:space="0"/>
              <w:bottom w:val="single" w:color="auto" w:sz="10" w:space="0"/>
              <w:right w:val="single" w:color="auto" w:sz="10" w:space="0"/>
              <w:insideV w:val="single" w:sz="10" w:space="0"/>
            </w:tcBorders>
            <w:vAlign w:val="center"/>
          </w:tcPr>
          <w:p w14:paraId="3E2D805F">
            <w:pPr>
              <w:jc w:val="center"/>
            </w:pPr>
            <w:r>
              <w:rPr>
                <w:rFonts w:ascii="宋体" w:hAnsi="宋体" w:eastAsia="宋体"/>
                <w:sz w:val="16"/>
              </w:rPr>
              <w:t>质量指标</w:t>
            </w:r>
          </w:p>
        </w:tc>
        <w:tc>
          <w:tcPr>
            <w:tcW w:w="14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AC6C7">
            <w:pPr>
              <w:jc w:val="center"/>
            </w:pPr>
            <w:r>
              <w:rPr>
                <w:rFonts w:ascii="宋体" w:hAnsi="宋体" w:eastAsia="宋体"/>
                <w:sz w:val="16"/>
              </w:rPr>
              <w:t>国家通用语言文字教育教学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BB5021">
            <w:pPr>
              <w:jc w:val="center"/>
            </w:pPr>
            <w:r>
              <w:rPr>
                <w:rFonts w:ascii="宋体" w:hAnsi="宋体" w:eastAsia="宋体"/>
                <w:sz w:val="16"/>
              </w:rPr>
              <w:t>=100%</w:t>
            </w:r>
          </w:p>
        </w:tc>
        <w:tc>
          <w:tcPr>
            <w:tcW w:w="13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046CC">
            <w:pPr>
              <w:jc w:val="center"/>
            </w:pPr>
            <w:r>
              <w:rPr>
                <w:rFonts w:ascii="宋体" w:hAnsi="宋体" w:eastAsia="宋体"/>
                <w:sz w:val="16"/>
              </w:rPr>
              <w:t>霍城县</w:t>
            </w:r>
            <w:r>
              <w:rPr>
                <w:rFonts w:hint="eastAsia" w:ascii="宋体" w:hAnsi="宋体"/>
                <w:sz w:val="16"/>
                <w:lang w:eastAsia="zh-CN"/>
              </w:rPr>
              <w:t>“十四五”规划</w:t>
            </w:r>
            <w:r>
              <w:rPr>
                <w:rFonts w:ascii="宋体" w:hAnsi="宋体" w:eastAsia="宋体"/>
                <w:sz w:val="16"/>
              </w:rPr>
              <w:t>纲要</w:t>
            </w:r>
          </w:p>
        </w:tc>
        <w:tc>
          <w:tcPr>
            <w:tcW w:w="880" w:type="dxa"/>
            <w:tcBorders>
              <w:top w:val="single" w:color="auto" w:sz="10" w:space="0"/>
              <w:left w:val="single" w:color="auto" w:sz="10" w:space="0"/>
              <w:bottom w:val="single" w:color="auto" w:sz="10" w:space="0"/>
              <w:right w:val="single" w:color="auto" w:sz="10" w:space="0"/>
              <w:insideV w:val="single" w:sz="10" w:space="0"/>
            </w:tcBorders>
            <w:vAlign w:val="center"/>
          </w:tcPr>
          <w:p w14:paraId="3EABD2AE">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2FC77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0D1901">
            <w:pPr>
              <w:jc w:val="center"/>
            </w:pPr>
            <w:r>
              <w:rPr>
                <w:rFonts w:ascii="宋体" w:hAnsi="宋体" w:eastAsia="宋体"/>
                <w:sz w:val="16"/>
              </w:rPr>
              <w:t>15</w:t>
            </w:r>
          </w:p>
        </w:tc>
      </w:tr>
      <w:tr w14:paraId="4EF06F4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1455A0B"/>
        </w:tc>
        <w:tc>
          <w:tcPr>
            <w:tcW w:w="800" w:type="dxa"/>
            <w:tcBorders>
              <w:top w:val="single" w:color="auto" w:sz="10" w:space="0"/>
              <w:left w:val="single" w:color="auto" w:sz="10" w:space="0"/>
              <w:bottom w:val="single" w:color="auto" w:sz="10" w:space="0"/>
              <w:right w:val="single" w:color="auto" w:sz="10" w:space="0"/>
              <w:insideV w:val="single" w:sz="10" w:space="0"/>
            </w:tcBorders>
          </w:tcPr>
          <w:p w14:paraId="572092E6"/>
        </w:tc>
        <w:tc>
          <w:tcPr>
            <w:tcW w:w="14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8E35E">
            <w:pPr>
              <w:jc w:val="center"/>
            </w:pPr>
            <w:r>
              <w:rPr>
                <w:rFonts w:ascii="宋体" w:hAnsi="宋体" w:eastAsia="宋体"/>
                <w:sz w:val="16"/>
              </w:rPr>
              <w:t>义务教育优质均衡率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60A27A">
            <w:pPr>
              <w:jc w:val="center"/>
            </w:pPr>
            <w:r>
              <w:rPr>
                <w:rFonts w:ascii="宋体" w:hAnsi="宋体" w:eastAsia="宋体"/>
                <w:sz w:val="16"/>
              </w:rPr>
              <w:t>&gt;=95%</w:t>
            </w:r>
          </w:p>
        </w:tc>
        <w:tc>
          <w:tcPr>
            <w:tcW w:w="13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3E65C">
            <w:pPr>
              <w:jc w:val="center"/>
            </w:pPr>
            <w:r>
              <w:rPr>
                <w:rFonts w:ascii="宋体" w:hAnsi="宋体" w:eastAsia="宋体"/>
                <w:sz w:val="16"/>
              </w:rPr>
              <w:t>霍城县</w:t>
            </w:r>
            <w:r>
              <w:rPr>
                <w:rFonts w:hint="eastAsia" w:ascii="宋体" w:hAnsi="宋体"/>
                <w:sz w:val="16"/>
                <w:lang w:eastAsia="zh-CN"/>
              </w:rPr>
              <w:t>“十四五”规划</w:t>
            </w:r>
            <w:r>
              <w:rPr>
                <w:rFonts w:ascii="宋体" w:hAnsi="宋体" w:eastAsia="宋体"/>
                <w:sz w:val="16"/>
              </w:rPr>
              <w:t>纲要</w:t>
            </w:r>
          </w:p>
        </w:tc>
        <w:tc>
          <w:tcPr>
            <w:tcW w:w="880" w:type="dxa"/>
            <w:tcBorders>
              <w:top w:val="single" w:color="auto" w:sz="10" w:space="0"/>
              <w:left w:val="single" w:color="auto" w:sz="10" w:space="0"/>
              <w:bottom w:val="single" w:color="auto" w:sz="10" w:space="0"/>
              <w:right w:val="single" w:color="auto" w:sz="10" w:space="0"/>
              <w:insideV w:val="single" w:sz="10" w:space="0"/>
            </w:tcBorders>
            <w:vAlign w:val="center"/>
          </w:tcPr>
          <w:p w14:paraId="5E863C70">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F8344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88D307">
            <w:pPr>
              <w:jc w:val="center"/>
            </w:pPr>
            <w:r>
              <w:rPr>
                <w:rFonts w:ascii="宋体" w:hAnsi="宋体" w:eastAsia="宋体"/>
                <w:sz w:val="16"/>
              </w:rPr>
              <w:t>15</w:t>
            </w:r>
          </w:p>
        </w:tc>
      </w:tr>
    </w:tbl>
    <w:p w14:paraId="77693707">
      <w:r>
        <w:br w:type="page"/>
      </w:r>
    </w:p>
    <w:p w14:paraId="0910C802">
      <w:pPr>
        <w:spacing w:line="640" w:lineRule="exact"/>
        <w:ind w:firstLine="640"/>
        <w:jc w:val="both"/>
        <w:outlineLvl w:val="2"/>
      </w:pPr>
      <w:r>
        <w:rPr>
          <w:rFonts w:ascii="黑体" w:hAnsi="黑体" w:eastAsia="黑体"/>
          <w:sz w:val="32"/>
        </w:rPr>
        <w:t>十二、其他需说明的事项</w:t>
      </w:r>
    </w:p>
    <w:p w14:paraId="0E5B14C4">
      <w:pPr>
        <w:spacing w:line="580" w:lineRule="exact"/>
        <w:ind w:firstLine="640"/>
        <w:jc w:val="both"/>
      </w:pPr>
      <w:r>
        <w:rPr>
          <w:rFonts w:ascii="仿宋_GB2312" w:hAnsi="仿宋_GB2312" w:eastAsia="仿宋_GB2312"/>
          <w:b w:val="0"/>
          <w:sz w:val="32"/>
        </w:rPr>
        <w:t>本单位无其他需说明的事项。</w:t>
      </w:r>
    </w:p>
    <w:p w14:paraId="2DE8F9BC">
      <w:r>
        <w:br w:type="page"/>
      </w:r>
    </w:p>
    <w:p w14:paraId="3A3582B0">
      <w:pPr>
        <w:spacing w:line="240" w:lineRule="auto"/>
        <w:jc w:val="center"/>
        <w:outlineLvl w:val="1"/>
      </w:pPr>
      <w:r>
        <w:rPr>
          <w:rFonts w:ascii="黑体" w:hAnsi="黑体" w:eastAsia="黑体"/>
          <w:sz w:val="32"/>
        </w:rPr>
        <w:t>第三部分 专业名词解释</w:t>
      </w:r>
    </w:p>
    <w:p w14:paraId="7464C30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8DF34AA">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AE0579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A6D0594">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991E4F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D17465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97D26B3">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93CE095">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EBF995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A827A6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3AE6C7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CBA6D2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25DC386">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E93C47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70CBC07">
      <w:r>
        <w:br w:type="page"/>
      </w:r>
    </w:p>
    <w:p w14:paraId="38AB441D">
      <w:pPr>
        <w:spacing w:line="240" w:lineRule="auto"/>
        <w:jc w:val="center"/>
        <w:outlineLvl w:val="1"/>
      </w:pPr>
      <w:r>
        <w:rPr>
          <w:rFonts w:ascii="黑体" w:hAnsi="黑体" w:eastAsia="黑体"/>
          <w:sz w:val="32"/>
        </w:rPr>
        <w:t>第四部分 部门决算报表（见附表）</w:t>
      </w:r>
    </w:p>
    <w:p w14:paraId="4D82DE0E">
      <w:pPr>
        <w:spacing w:line="240" w:lineRule="auto"/>
        <w:ind w:firstLine="640"/>
        <w:jc w:val="both"/>
      </w:pPr>
      <w:r>
        <w:rPr>
          <w:rFonts w:ascii="仿宋_GB2312" w:hAnsi="仿宋_GB2312" w:eastAsia="仿宋_GB2312"/>
          <w:b w:val="0"/>
          <w:sz w:val="32"/>
        </w:rPr>
        <w:t>一、《收入支出决算总表》</w:t>
      </w:r>
    </w:p>
    <w:p w14:paraId="50E64771">
      <w:pPr>
        <w:spacing w:line="240" w:lineRule="auto"/>
        <w:ind w:firstLine="640"/>
        <w:jc w:val="both"/>
      </w:pPr>
      <w:r>
        <w:rPr>
          <w:rFonts w:ascii="仿宋_GB2312" w:hAnsi="仿宋_GB2312" w:eastAsia="仿宋_GB2312"/>
          <w:b w:val="0"/>
          <w:sz w:val="32"/>
        </w:rPr>
        <w:t>二、《收入决算表》</w:t>
      </w:r>
    </w:p>
    <w:p w14:paraId="7C009B2D">
      <w:pPr>
        <w:spacing w:line="240" w:lineRule="auto"/>
        <w:ind w:firstLine="640"/>
        <w:jc w:val="both"/>
      </w:pPr>
      <w:r>
        <w:rPr>
          <w:rFonts w:ascii="仿宋_GB2312" w:hAnsi="仿宋_GB2312" w:eastAsia="仿宋_GB2312"/>
          <w:b w:val="0"/>
          <w:sz w:val="32"/>
        </w:rPr>
        <w:t>三、《支出决算表》</w:t>
      </w:r>
    </w:p>
    <w:p w14:paraId="4E0D682C">
      <w:pPr>
        <w:spacing w:line="240" w:lineRule="auto"/>
        <w:ind w:firstLine="640"/>
        <w:jc w:val="both"/>
      </w:pPr>
      <w:r>
        <w:rPr>
          <w:rFonts w:ascii="仿宋_GB2312" w:hAnsi="仿宋_GB2312" w:eastAsia="仿宋_GB2312"/>
          <w:b w:val="0"/>
          <w:sz w:val="32"/>
        </w:rPr>
        <w:t>四、《财政拨款收入支出决算总表》</w:t>
      </w:r>
    </w:p>
    <w:p w14:paraId="1C99D9E6">
      <w:pPr>
        <w:spacing w:line="240" w:lineRule="auto"/>
        <w:ind w:firstLine="640"/>
        <w:jc w:val="both"/>
      </w:pPr>
      <w:r>
        <w:rPr>
          <w:rFonts w:ascii="仿宋_GB2312" w:hAnsi="仿宋_GB2312" w:eastAsia="仿宋_GB2312"/>
          <w:b w:val="0"/>
          <w:sz w:val="32"/>
        </w:rPr>
        <w:t>五、《一般公共预算财政拨款支出决算表》</w:t>
      </w:r>
    </w:p>
    <w:p w14:paraId="0DAB7726">
      <w:pPr>
        <w:spacing w:line="240" w:lineRule="auto"/>
        <w:ind w:firstLine="640"/>
        <w:jc w:val="both"/>
      </w:pPr>
      <w:r>
        <w:rPr>
          <w:rFonts w:ascii="仿宋_GB2312" w:hAnsi="仿宋_GB2312" w:eastAsia="仿宋_GB2312"/>
          <w:b w:val="0"/>
          <w:sz w:val="32"/>
        </w:rPr>
        <w:t>六、《一般公共预算财政拨款基本支出决算表》</w:t>
      </w:r>
    </w:p>
    <w:p w14:paraId="0FC652C2">
      <w:pPr>
        <w:spacing w:line="240" w:lineRule="auto"/>
        <w:ind w:firstLine="640"/>
        <w:jc w:val="both"/>
      </w:pPr>
      <w:r>
        <w:rPr>
          <w:rFonts w:ascii="仿宋_GB2312" w:hAnsi="仿宋_GB2312" w:eastAsia="仿宋_GB2312"/>
          <w:b w:val="0"/>
          <w:sz w:val="32"/>
        </w:rPr>
        <w:t>七、《政府性基金预算财政拨款收入支出决算表》</w:t>
      </w:r>
    </w:p>
    <w:p w14:paraId="619582E9">
      <w:pPr>
        <w:spacing w:line="240" w:lineRule="auto"/>
        <w:ind w:firstLine="640"/>
        <w:jc w:val="both"/>
      </w:pPr>
      <w:r>
        <w:rPr>
          <w:rFonts w:ascii="仿宋_GB2312" w:hAnsi="仿宋_GB2312" w:eastAsia="仿宋_GB2312"/>
          <w:b w:val="0"/>
          <w:sz w:val="32"/>
        </w:rPr>
        <w:t>八、《国有资本经营预算财政拨款收入支出决算表》</w:t>
      </w:r>
    </w:p>
    <w:p w14:paraId="269AFF01">
      <w:pPr>
        <w:spacing w:line="240" w:lineRule="auto"/>
        <w:ind w:firstLine="640"/>
        <w:jc w:val="both"/>
      </w:pPr>
      <w:r>
        <w:rPr>
          <w:rFonts w:ascii="仿宋_GB2312" w:hAnsi="仿宋_GB2312" w:eastAsia="仿宋_GB2312"/>
          <w:b w:val="0"/>
          <w:sz w:val="32"/>
        </w:rPr>
        <w:t>九、《财政拨款“三公”经费支出决算表》</w:t>
      </w:r>
    </w:p>
    <w:p w14:paraId="0BC63DCF">
      <w:pPr>
        <w:spacing w:line="240" w:lineRule="auto"/>
        <w:ind w:firstLine="640"/>
        <w:jc w:val="both"/>
      </w:pPr>
    </w:p>
    <w:p w14:paraId="68767FF6">
      <w:pPr>
        <w:spacing w:line="240" w:lineRule="auto"/>
        <w:ind w:firstLine="640"/>
        <w:jc w:val="both"/>
      </w:pPr>
    </w:p>
    <w:p w14:paraId="37D75F4E">
      <w:pPr>
        <w:spacing w:line="240" w:lineRule="auto"/>
        <w:ind w:firstLine="640"/>
        <w:jc w:val="both"/>
      </w:pPr>
    </w:p>
    <w:p w14:paraId="723DC41F">
      <w:pPr>
        <w:spacing w:line="240" w:lineRule="auto"/>
        <w:ind w:firstLine="640"/>
        <w:jc w:val="both"/>
      </w:pPr>
    </w:p>
    <w:p w14:paraId="6D262CF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10AB5FC-781E-4E23-9F8D-88F5240F2F5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F52B4F69-5DBA-45A2-8414-183B9BE115B6}"/>
  </w:font>
  <w:font w:name="仿宋_GB2312">
    <w:altName w:val="仿宋"/>
    <w:panose1 w:val="02010609030101010101"/>
    <w:charset w:val="86"/>
    <w:family w:val="modern"/>
    <w:pitch w:val="default"/>
    <w:sig w:usb0="00000000" w:usb1="00000000" w:usb2="00000000" w:usb3="00000000" w:csb0="00040000" w:csb1="00000000"/>
    <w:embedRegular r:id="rId3" w:fontKey="{58F793AD-DE39-4BDF-905F-9A88078DA2B7}"/>
  </w:font>
  <w:font w:name="楷体_GB2312">
    <w:altName w:val="楷体"/>
    <w:panose1 w:val="02010609030101010101"/>
    <w:charset w:val="86"/>
    <w:family w:val="auto"/>
    <w:pitch w:val="default"/>
    <w:sig w:usb0="00000000" w:usb1="00000000" w:usb2="00000000" w:usb3="00000000" w:csb0="00040000" w:csb1="00000000"/>
    <w:embedRegular r:id="rId4" w:fontKey="{41E21567-8D34-42DA-B544-1040D68E5E3D}"/>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78C51AD"/>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BDA0371"/>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5174</Words>
  <Characters>5951</Characters>
  <Lines>0</Lines>
  <Paragraphs>0</Paragraphs>
  <TotalTime>4</TotalTime>
  <ScaleCrop>false</ScaleCrop>
  <LinksUpToDate>false</LinksUpToDate>
  <CharactersWithSpaces>5959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2025-09-25T04:40:41Z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