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中国共产党霍城县纪律检查委员会2024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C8798F">
      <w:r>
        <w:br w:type="page"/>
      </w:r>
    </w:p>
    <w:p w14:paraId="676CB56B">
      <w:pPr>
        <w:spacing w:line="640" w:lineRule="exact"/>
        <w:jc w:val="center"/>
        <w:outlineLvl w:val="1"/>
      </w:pPr>
      <w:r>
        <w:rPr>
          <w:rFonts w:ascii="黑体" w:hAnsi="黑体" w:eastAsia="黑体"/>
          <w:sz w:val="32"/>
        </w:rPr>
        <w:t>第一部分 单位概况</w:t>
      </w:r>
    </w:p>
    <w:p w14:paraId="2B596D6D">
      <w:pPr>
        <w:spacing w:line="640" w:lineRule="exact"/>
        <w:ind w:firstLine="640"/>
        <w:jc w:val="both"/>
        <w:outlineLvl w:val="2"/>
      </w:pPr>
      <w:r>
        <w:rPr>
          <w:rFonts w:ascii="黑体" w:hAnsi="黑体" w:eastAsia="黑体"/>
          <w:sz w:val="32"/>
        </w:rPr>
        <w:t>一、主要职能</w:t>
      </w:r>
    </w:p>
    <w:p w14:paraId="703DF0E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纪律检查委员会是党内监督的专责机关，负责党的纪律检查工作，主要任务是：维护党的章程和其他党内法规，依照党的章程和其他党内法规履行监督、执纪、问责职责。检查党的路线、方针、政策和决议的执行情况，协助党的委员会推进全面从严治党、党风廉政建设和反腐败宣传教育工作。</w:t>
      </w:r>
    </w:p>
    <w:p w14:paraId="0182A05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在县委领导下组织开展巡察工作，配合县委巡察工作领导小组指导乡镇（中心）党委，县委有关部门、县人民政府有关部门巡察工作。</w:t>
      </w:r>
    </w:p>
    <w:p w14:paraId="21746E4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负责全县监察工作。</w:t>
      </w:r>
    </w:p>
    <w:p w14:paraId="3CF92BE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依照法律规定履行监督、调查、处置职责。</w:t>
      </w:r>
    </w:p>
    <w:p w14:paraId="38739E0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负责组织协调全县全面从严治党、党风廉政建设和反腐败宣传教育工作。</w:t>
      </w:r>
    </w:p>
    <w:p w14:paraId="116E0112">
      <w:pPr>
        <w:spacing w:line="640" w:lineRule="exact"/>
        <w:ind w:firstLine="640"/>
        <w:jc w:val="both"/>
        <w:outlineLvl w:val="2"/>
      </w:pPr>
      <w:r>
        <w:rPr>
          <w:rFonts w:ascii="黑体" w:hAnsi="黑体" w:eastAsia="黑体"/>
          <w:sz w:val="32"/>
        </w:rPr>
        <w:t>二、机构设置及人员情况</w:t>
      </w:r>
    </w:p>
    <w:p w14:paraId="259177AE">
      <w:pPr>
        <w:spacing w:line="580" w:lineRule="exact"/>
        <w:ind w:firstLine="640"/>
        <w:jc w:val="both"/>
      </w:pPr>
      <w:r>
        <w:rPr>
          <w:rFonts w:ascii="仿宋_GB2312" w:hAnsi="仿宋_GB2312" w:eastAsia="仿宋_GB2312"/>
          <w:sz w:val="32"/>
        </w:rPr>
        <w:t>中国共产党霍城县纪律检查委员会2024年度，实有人数136人，其中：在职人员117人，增加11人；离休人员0人，增加0人；退休人员19人,增加2人。</w:t>
      </w:r>
    </w:p>
    <w:p w14:paraId="5AFF8A2F">
      <w:pPr>
        <w:spacing w:line="580" w:lineRule="exact"/>
        <w:ind w:firstLine="640"/>
        <w:jc w:val="both"/>
      </w:pPr>
      <w:r>
        <w:rPr>
          <w:rFonts w:ascii="仿宋_GB2312" w:hAnsi="仿宋_GB2312" w:eastAsia="仿宋_GB2312"/>
          <w:sz w:val="32"/>
        </w:rPr>
        <w:t>中国共产党霍城县纪律检查委员会无下属预算单位，下设15个科室，分别是：办公室、组宣部、党风政风监督室、信访室、案件监督管理室、第一纪检监察室、第二纪检监察室、第三纪检监察室、案件审理室、第一纪检监察组、第二纪检监察组、第三纪检监察组、第四纪检监察组、第五纪检监察组、第六纪检监察组。</w:t>
      </w:r>
    </w:p>
    <w:p w14:paraId="74CD072A">
      <w:r>
        <w:br w:type="page"/>
      </w:r>
    </w:p>
    <w:p w14:paraId="21BC57FA">
      <w:pPr>
        <w:spacing w:line="240" w:lineRule="auto"/>
        <w:jc w:val="center"/>
        <w:outlineLvl w:val="1"/>
      </w:pPr>
      <w:r>
        <w:rPr>
          <w:rFonts w:ascii="黑体" w:hAnsi="黑体" w:eastAsia="黑体"/>
          <w:sz w:val="32"/>
        </w:rPr>
        <w:t>第二部分 部门决算情况说明</w:t>
      </w:r>
    </w:p>
    <w:p w14:paraId="28D29B76">
      <w:pPr>
        <w:spacing w:line="640" w:lineRule="exact"/>
        <w:ind w:firstLine="640"/>
        <w:jc w:val="both"/>
        <w:outlineLvl w:val="2"/>
      </w:pPr>
      <w:r>
        <w:rPr>
          <w:rFonts w:ascii="黑体" w:hAnsi="黑体" w:eastAsia="黑体"/>
          <w:sz w:val="32"/>
        </w:rPr>
        <w:t>一、收入支出决算总体情况说明</w:t>
      </w:r>
    </w:p>
    <w:p w14:paraId="1478BBB9">
      <w:pPr>
        <w:spacing w:line="580" w:lineRule="exact"/>
        <w:ind w:firstLine="640"/>
        <w:jc w:val="both"/>
      </w:pPr>
      <w:r>
        <w:rPr>
          <w:rFonts w:ascii="仿宋_GB2312" w:hAnsi="仿宋_GB2312" w:eastAsia="仿宋_GB2312"/>
          <w:b/>
          <w:sz w:val="32"/>
        </w:rPr>
        <w:t>2024年度收入总计2,253.90万元，</w:t>
      </w:r>
      <w:r>
        <w:rPr>
          <w:rFonts w:ascii="仿宋_GB2312" w:hAnsi="仿宋_GB2312" w:eastAsia="仿宋_GB2312"/>
          <w:b w:val="0"/>
          <w:sz w:val="32"/>
        </w:rPr>
        <w:t>其中：本年收入合计2,253.90万元，使用非财政拨款结余（含专用结余）0.00万元，年初结转和结余0.00万元。</w:t>
      </w:r>
    </w:p>
    <w:p w14:paraId="22EBC46C">
      <w:pPr>
        <w:spacing w:line="580" w:lineRule="exact"/>
        <w:ind w:firstLine="640"/>
        <w:jc w:val="both"/>
      </w:pPr>
      <w:r>
        <w:rPr>
          <w:rFonts w:ascii="仿宋_GB2312" w:hAnsi="仿宋_GB2312" w:eastAsia="仿宋_GB2312"/>
          <w:b/>
          <w:sz w:val="32"/>
        </w:rPr>
        <w:t>2024年度支出总计2,253.90万元，</w:t>
      </w:r>
      <w:r>
        <w:rPr>
          <w:rFonts w:ascii="仿宋_GB2312" w:hAnsi="仿宋_GB2312" w:eastAsia="仿宋_GB2312"/>
          <w:b w:val="0"/>
          <w:sz w:val="32"/>
        </w:rPr>
        <w:t>其中：本年支出合计2,252.50万元，结余分配0.00万元，年末结转和结余1.40万元。</w:t>
      </w:r>
    </w:p>
    <w:p w14:paraId="4D9D4DED">
      <w:pPr>
        <w:spacing w:line="580" w:lineRule="exact"/>
        <w:ind w:firstLine="640"/>
        <w:jc w:val="both"/>
      </w:pPr>
      <w:r>
        <w:rPr>
          <w:rFonts w:ascii="仿宋_GB2312" w:hAnsi="仿宋_GB2312" w:eastAsia="仿宋_GB2312"/>
          <w:b w:val="0"/>
          <w:sz w:val="32"/>
        </w:rPr>
        <w:t>收入支出总体与上年相比，增加377.17万元，增长20.10%，主要原因是：本年在职人员增加，人员工资、社保、公积金等相关人员经费增加；根据相关政策2024年调整了在职人员工资，纪委监委66人晋升</w:t>
      </w:r>
      <w:r>
        <w:rPr>
          <w:rFonts w:hint="eastAsia" w:ascii="仿宋_GB2312" w:hAnsi="仿宋_GB2312" w:eastAsia="仿宋_GB2312"/>
          <w:b w:val="0"/>
          <w:sz w:val="32"/>
          <w:lang w:eastAsia="zh-CN"/>
        </w:rPr>
        <w:t>，</w:t>
      </w:r>
      <w:r>
        <w:rPr>
          <w:rFonts w:ascii="仿宋_GB2312" w:hAnsi="仿宋_GB2312" w:eastAsia="仿宋_GB2312"/>
          <w:b w:val="0"/>
          <w:sz w:val="32"/>
        </w:rPr>
        <w:t>工资</w:t>
      </w:r>
      <w:r>
        <w:rPr>
          <w:rFonts w:hint="eastAsia" w:ascii="仿宋_GB2312" w:hAnsi="仿宋_GB2312" w:eastAsia="仿宋_GB2312"/>
          <w:b w:val="0"/>
          <w:sz w:val="32"/>
          <w:lang w:val="en-US" w:eastAsia="zh-CN"/>
        </w:rPr>
        <w:t>基数调整</w:t>
      </w:r>
      <w:r>
        <w:rPr>
          <w:rFonts w:ascii="仿宋_GB2312" w:hAnsi="仿宋_GB2312" w:eastAsia="仿宋_GB2312"/>
          <w:b w:val="0"/>
          <w:sz w:val="32"/>
        </w:rPr>
        <w:t>，2024年7月调整了住房公积金基数，所产生的人员经费增加；根据工作需要购买执法执勤车及公务用车，导致经费支出增加。本年增加财政拨入存量资金，主要用于纪委办公用房改造项目、新建职工餐厅项目及办公费。</w:t>
      </w:r>
    </w:p>
    <w:p w14:paraId="4808B2F3">
      <w:pPr>
        <w:spacing w:line="640" w:lineRule="exact"/>
        <w:ind w:firstLine="640"/>
        <w:jc w:val="both"/>
        <w:outlineLvl w:val="2"/>
      </w:pPr>
      <w:r>
        <w:rPr>
          <w:rFonts w:ascii="黑体" w:hAnsi="黑体" w:eastAsia="黑体"/>
          <w:sz w:val="32"/>
        </w:rPr>
        <w:t>二、收入决算情况说明</w:t>
      </w:r>
    </w:p>
    <w:p w14:paraId="24BDBA77">
      <w:pPr>
        <w:spacing w:line="580" w:lineRule="exact"/>
        <w:ind w:firstLine="640"/>
        <w:jc w:val="both"/>
      </w:pPr>
      <w:r>
        <w:rPr>
          <w:rFonts w:ascii="仿宋_GB2312" w:hAnsi="仿宋_GB2312" w:eastAsia="仿宋_GB2312"/>
          <w:b/>
          <w:sz w:val="32"/>
        </w:rPr>
        <w:t>本年收入2,253.90万元，</w:t>
      </w:r>
      <w:r>
        <w:rPr>
          <w:rFonts w:ascii="仿宋_GB2312" w:hAnsi="仿宋_GB2312" w:eastAsia="仿宋_GB2312"/>
          <w:b w:val="0"/>
          <w:sz w:val="32"/>
        </w:rPr>
        <w:t>其中：财政拨款收入2,088.77万元，占92.67%；上级补助收入0.00万元，占0.00%；事业收入0.00万元，占0.00%；经营收入0.00万元，占0.00%；附属单位上缴收入0.00万元，占0.00%；其他收入165.12万元，占7.33%。</w:t>
      </w:r>
    </w:p>
    <w:p w14:paraId="55ACCAD3">
      <w:pPr>
        <w:spacing w:line="640" w:lineRule="exact"/>
        <w:ind w:firstLine="640"/>
        <w:jc w:val="both"/>
        <w:outlineLvl w:val="2"/>
      </w:pPr>
      <w:r>
        <w:rPr>
          <w:rFonts w:ascii="黑体" w:hAnsi="黑体" w:eastAsia="黑体"/>
          <w:sz w:val="32"/>
        </w:rPr>
        <w:t>三、支出决算情况说明</w:t>
      </w:r>
    </w:p>
    <w:p w14:paraId="331ED82D">
      <w:pPr>
        <w:spacing w:line="580" w:lineRule="exact"/>
        <w:ind w:firstLine="640"/>
        <w:jc w:val="both"/>
      </w:pPr>
      <w:r>
        <w:rPr>
          <w:rFonts w:ascii="仿宋_GB2312" w:hAnsi="仿宋_GB2312" w:eastAsia="仿宋_GB2312"/>
          <w:b/>
          <w:sz w:val="32"/>
        </w:rPr>
        <w:t>本年支出2,252.50万元，</w:t>
      </w:r>
      <w:r>
        <w:rPr>
          <w:rFonts w:ascii="仿宋_GB2312" w:hAnsi="仿宋_GB2312" w:eastAsia="仿宋_GB2312"/>
          <w:b w:val="0"/>
          <w:sz w:val="32"/>
        </w:rPr>
        <w:t>其中：基本支出2,097.21万元，占93.11%；项目支出155.29万元，占6.89%；上缴上级支出0.00万元，占0.00%；经营支出0.00万元，占0.00%；对附属单位补助支出0.00万元，占0.00%。</w:t>
      </w:r>
    </w:p>
    <w:p w14:paraId="4389DA46">
      <w:pPr>
        <w:spacing w:line="640" w:lineRule="exact"/>
        <w:ind w:firstLine="640"/>
        <w:jc w:val="both"/>
        <w:outlineLvl w:val="2"/>
      </w:pPr>
      <w:r>
        <w:rPr>
          <w:rFonts w:ascii="黑体" w:hAnsi="黑体" w:eastAsia="黑体"/>
          <w:sz w:val="32"/>
        </w:rPr>
        <w:t>四、财政拨款收入支出决算总体情况说明</w:t>
      </w:r>
    </w:p>
    <w:p w14:paraId="059EB669">
      <w:pPr>
        <w:spacing w:line="580" w:lineRule="exact"/>
        <w:ind w:firstLine="640"/>
        <w:jc w:val="both"/>
      </w:pPr>
      <w:r>
        <w:rPr>
          <w:rFonts w:ascii="仿宋_GB2312" w:hAnsi="仿宋_GB2312" w:eastAsia="仿宋_GB2312"/>
          <w:b/>
          <w:sz w:val="32"/>
        </w:rPr>
        <w:t>2024年度财政拨款收入总计2,088.77万元，</w:t>
      </w:r>
      <w:r>
        <w:rPr>
          <w:rFonts w:ascii="仿宋_GB2312" w:hAnsi="仿宋_GB2312" w:eastAsia="仿宋_GB2312"/>
          <w:b w:val="0"/>
          <w:sz w:val="32"/>
        </w:rPr>
        <w:t>其中：年初财政拨款结转和结余0.00万元，本年财政拨款收入2,088.77万元。</w:t>
      </w:r>
      <w:r>
        <w:rPr>
          <w:rFonts w:ascii="仿宋_GB2312" w:hAnsi="仿宋_GB2312" w:eastAsia="仿宋_GB2312"/>
          <w:b/>
          <w:sz w:val="32"/>
        </w:rPr>
        <w:t>财政拨款支出总计2,088.77万元，</w:t>
      </w:r>
      <w:r>
        <w:rPr>
          <w:rFonts w:ascii="仿宋_GB2312" w:hAnsi="仿宋_GB2312" w:eastAsia="仿宋_GB2312"/>
          <w:b w:val="0"/>
          <w:sz w:val="32"/>
        </w:rPr>
        <w:t>其中：年末财政拨款结转和结余0.00万元，本年财政拨款支出2,088.77万元。</w:t>
      </w:r>
    </w:p>
    <w:p w14:paraId="739714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增加212.04万元，增长11.30%，主要原因是：本年在职人员增加，人员工资、社保、公积金等相关人员经费增加；根据相关政策2024年调整了在职人员工资，纪委监委66人晋升</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工资基数调增</w:t>
      </w:r>
      <w:r>
        <w:rPr>
          <w:rFonts w:ascii="仿宋_GB2312" w:hAnsi="仿宋_GB2312" w:eastAsia="仿宋_GB2312"/>
          <w:b w:val="0"/>
          <w:sz w:val="32"/>
        </w:rPr>
        <w:t>，2024年7月调整了住房公积金基数，所产生的人员经费增加；根据工作需要购买执法执勤车及公务用车，导致经费支出增加。</w:t>
      </w:r>
      <w:r>
        <w:rPr>
          <w:rFonts w:ascii="仿宋_GB2312" w:hAnsi="仿宋_GB2312" w:eastAsia="仿宋_GB2312"/>
          <w:b/>
          <w:sz w:val="32"/>
        </w:rPr>
        <w:t>与年初预算相比，</w:t>
      </w:r>
      <w:r>
        <w:rPr>
          <w:rFonts w:ascii="仿宋_GB2312" w:hAnsi="仿宋_GB2312" w:eastAsia="仿宋_GB2312"/>
          <w:b w:val="0"/>
          <w:sz w:val="32"/>
        </w:rPr>
        <w:t>年初预算数1,864.39万元，决算数2,088.77万元，预决算差异率12.04%，主要原因是：本年在职人员增加，年中追加人员经费及人员工资、社保、公积金基数调增部分资金，年中追加公务用车购置费及办公经费，导致预决算存在差异。</w:t>
      </w:r>
    </w:p>
    <w:p w14:paraId="29ED80B9">
      <w:pPr>
        <w:spacing w:line="640" w:lineRule="exact"/>
        <w:ind w:firstLine="640"/>
        <w:jc w:val="both"/>
        <w:outlineLvl w:val="2"/>
      </w:pPr>
      <w:r>
        <w:rPr>
          <w:rFonts w:ascii="黑体" w:hAnsi="黑体" w:eastAsia="黑体"/>
          <w:sz w:val="32"/>
        </w:rPr>
        <w:t>五、一般公共预算财政拨款支出决算情况说明</w:t>
      </w:r>
    </w:p>
    <w:p w14:paraId="4B5DA31E">
      <w:pPr>
        <w:spacing w:line="640" w:lineRule="exact"/>
        <w:ind w:firstLine="640"/>
        <w:jc w:val="both"/>
        <w:outlineLvl w:val="3"/>
      </w:pPr>
      <w:r>
        <w:rPr>
          <w:rFonts w:ascii="楷体_GB2312" w:hAnsi="楷体_GB2312" w:eastAsia="楷体_GB2312"/>
          <w:b/>
          <w:sz w:val="32"/>
        </w:rPr>
        <w:t>（一）一般公共预算财政拨款支出决算总体情况</w:t>
      </w:r>
    </w:p>
    <w:p w14:paraId="7540D8C7">
      <w:pPr>
        <w:spacing w:line="580" w:lineRule="exact"/>
        <w:ind w:firstLine="640"/>
        <w:jc w:val="both"/>
      </w:pPr>
      <w:r>
        <w:rPr>
          <w:rFonts w:ascii="仿宋_GB2312" w:hAnsi="仿宋_GB2312" w:eastAsia="仿宋_GB2312"/>
          <w:b/>
          <w:sz w:val="32"/>
        </w:rPr>
        <w:t>2024年度一般公共预算财政拨款支出2,088.77万元，</w:t>
      </w:r>
      <w:r>
        <w:rPr>
          <w:rFonts w:ascii="仿宋_GB2312" w:hAnsi="仿宋_GB2312" w:eastAsia="仿宋_GB2312"/>
          <w:b w:val="0"/>
          <w:sz w:val="32"/>
        </w:rPr>
        <w:t>占本年支出合计的92.73%。</w:t>
      </w:r>
      <w:r>
        <w:rPr>
          <w:rFonts w:ascii="仿宋_GB2312" w:hAnsi="仿宋_GB2312" w:eastAsia="仿宋_GB2312"/>
          <w:b/>
          <w:sz w:val="32"/>
        </w:rPr>
        <w:t>与上年相比，</w:t>
      </w:r>
      <w:r>
        <w:rPr>
          <w:rFonts w:ascii="仿宋_GB2312" w:hAnsi="仿宋_GB2312" w:eastAsia="仿宋_GB2312"/>
          <w:b w:val="0"/>
          <w:sz w:val="32"/>
        </w:rPr>
        <w:t>增加212.04万元，增长11.30%，主要原因是：本年在职人员增加，人员工资、社保、公积金等相关人员经费增加；根据相关政策2024年调整了在职人员工资，纪委监委66人晋升</w:t>
      </w:r>
      <w:r>
        <w:rPr>
          <w:rFonts w:hint="eastAsia" w:ascii="仿宋_GB2312" w:hAnsi="仿宋_GB2312" w:eastAsia="仿宋_GB2312"/>
          <w:b w:val="0"/>
          <w:sz w:val="32"/>
          <w:lang w:eastAsia="zh-CN"/>
        </w:rPr>
        <w:t>，</w:t>
      </w:r>
      <w:r>
        <w:rPr>
          <w:rFonts w:ascii="仿宋_GB2312" w:hAnsi="仿宋_GB2312" w:eastAsia="仿宋_GB2312"/>
          <w:b w:val="0"/>
          <w:sz w:val="32"/>
        </w:rPr>
        <w:t>工资</w:t>
      </w:r>
      <w:r>
        <w:rPr>
          <w:rFonts w:hint="eastAsia" w:ascii="仿宋_GB2312" w:hAnsi="仿宋_GB2312" w:eastAsia="仿宋_GB2312"/>
          <w:b w:val="0"/>
          <w:sz w:val="32"/>
          <w:lang w:val="en-US" w:eastAsia="zh-CN"/>
        </w:rPr>
        <w:t>基数调整</w:t>
      </w:r>
      <w:r>
        <w:rPr>
          <w:rFonts w:ascii="仿宋_GB2312" w:hAnsi="仿宋_GB2312" w:eastAsia="仿宋_GB2312"/>
          <w:b w:val="0"/>
          <w:sz w:val="32"/>
        </w:rPr>
        <w:t>，2024年7月调整了住房公积金基数，所产生的人员经费增加；根据工作需要购买执法执勤车及公务用车，导致经费支出增加。</w:t>
      </w:r>
      <w:r>
        <w:rPr>
          <w:rFonts w:ascii="仿宋_GB2312" w:hAnsi="仿宋_GB2312" w:eastAsia="仿宋_GB2312"/>
          <w:b/>
          <w:sz w:val="32"/>
        </w:rPr>
        <w:t>与年初预算相比,</w:t>
      </w:r>
      <w:r>
        <w:rPr>
          <w:rFonts w:ascii="仿宋_GB2312" w:hAnsi="仿宋_GB2312" w:eastAsia="仿宋_GB2312"/>
          <w:b w:val="0"/>
          <w:sz w:val="32"/>
        </w:rPr>
        <w:t>年初预算数1,864.39万元，决算数2,088.77万元，预决算差异率12.04%，主要原因是：本年在职人员增加，年中追加人员经费及人员工资、社保、公积金基数调增部分资金，年中追加公务用车购置费及办公经费，导致预决算存在差异。</w:t>
      </w:r>
    </w:p>
    <w:p w14:paraId="625CF99A">
      <w:pPr>
        <w:spacing w:line="640" w:lineRule="exact"/>
        <w:ind w:firstLine="640"/>
        <w:jc w:val="both"/>
        <w:outlineLvl w:val="3"/>
      </w:pPr>
      <w:r>
        <w:rPr>
          <w:rFonts w:ascii="楷体_GB2312" w:hAnsi="楷体_GB2312" w:eastAsia="楷体_GB2312"/>
          <w:b/>
          <w:sz w:val="32"/>
        </w:rPr>
        <w:t>（二）一般公共预算财政拨款支出决算结构情况</w:t>
      </w:r>
    </w:p>
    <w:p w14:paraId="37FA6B9F">
      <w:pPr>
        <w:spacing w:line="580" w:lineRule="exact"/>
        <w:ind w:firstLine="640"/>
        <w:jc w:val="both"/>
      </w:pPr>
      <w:r>
        <w:rPr>
          <w:rFonts w:ascii="仿宋_GB2312" w:hAnsi="仿宋_GB2312" w:eastAsia="仿宋_GB2312"/>
          <w:b w:val="0"/>
          <w:sz w:val="32"/>
        </w:rPr>
        <w:t>1.一般公共服务支出(类)1,626.59万元,占77.87%。</w:t>
      </w:r>
    </w:p>
    <w:p w14:paraId="2F85960B">
      <w:pPr>
        <w:spacing w:line="580" w:lineRule="exact"/>
        <w:ind w:firstLine="640"/>
        <w:jc w:val="both"/>
      </w:pPr>
      <w:r>
        <w:rPr>
          <w:rFonts w:ascii="仿宋_GB2312" w:hAnsi="仿宋_GB2312" w:eastAsia="仿宋_GB2312"/>
          <w:b w:val="0"/>
          <w:sz w:val="32"/>
        </w:rPr>
        <w:t>2.社会保障和就业支出(类)225.76万元,占10.81%。</w:t>
      </w:r>
    </w:p>
    <w:p w14:paraId="055BAABA">
      <w:pPr>
        <w:spacing w:line="580" w:lineRule="exact"/>
        <w:ind w:firstLine="640"/>
        <w:jc w:val="both"/>
      </w:pPr>
      <w:r>
        <w:rPr>
          <w:rFonts w:ascii="仿宋_GB2312" w:hAnsi="仿宋_GB2312" w:eastAsia="仿宋_GB2312"/>
          <w:b w:val="0"/>
          <w:sz w:val="32"/>
        </w:rPr>
        <w:t>3.卫生健康支出(类)91.64万元,占4.39%。</w:t>
      </w:r>
    </w:p>
    <w:p w14:paraId="75E9518F">
      <w:pPr>
        <w:spacing w:line="580" w:lineRule="exact"/>
        <w:ind w:firstLine="640"/>
        <w:jc w:val="both"/>
      </w:pPr>
      <w:r>
        <w:rPr>
          <w:rFonts w:ascii="仿宋_GB2312" w:hAnsi="仿宋_GB2312" w:eastAsia="仿宋_GB2312"/>
          <w:b w:val="0"/>
          <w:sz w:val="32"/>
        </w:rPr>
        <w:t>4.住房保障支出(类)144.79万元,占6.93%。</w:t>
      </w:r>
    </w:p>
    <w:p w14:paraId="52B584C1">
      <w:pPr>
        <w:spacing w:line="640" w:lineRule="exact"/>
        <w:ind w:firstLine="640"/>
        <w:jc w:val="both"/>
        <w:outlineLvl w:val="3"/>
      </w:pPr>
      <w:r>
        <w:rPr>
          <w:rFonts w:ascii="楷体_GB2312" w:hAnsi="楷体_GB2312" w:eastAsia="楷体_GB2312"/>
          <w:b/>
          <w:sz w:val="32"/>
        </w:rPr>
        <w:t>（三）一般公共预算财政拨款支出决算具体情况</w:t>
      </w:r>
    </w:p>
    <w:p w14:paraId="6DC16B80">
      <w:pPr>
        <w:spacing w:line="580" w:lineRule="exact"/>
        <w:ind w:firstLine="640"/>
        <w:jc w:val="both"/>
      </w:pPr>
      <w:r>
        <w:rPr>
          <w:rFonts w:ascii="仿宋_GB2312" w:hAnsi="仿宋_GB2312" w:eastAsia="仿宋_GB2312"/>
          <w:b w:val="0"/>
          <w:sz w:val="32"/>
        </w:rPr>
        <w:t>1.一般公共服务支出(类)纪检监察事务(款)行政运行(项):支出决算数为1,591.18万元，比上年决算增加159.02万元，增长11.10%,主要原因是：本年新增在职人员，人员经费增加，在职人员工资调增，导致相关人员经费较上年有所增加。</w:t>
      </w:r>
    </w:p>
    <w:p w14:paraId="2340CEBA">
      <w:pPr>
        <w:spacing w:line="580" w:lineRule="exact"/>
        <w:ind w:firstLine="640"/>
        <w:jc w:val="both"/>
      </w:pPr>
      <w:r>
        <w:rPr>
          <w:rFonts w:ascii="仿宋_GB2312" w:hAnsi="仿宋_GB2312" w:eastAsia="仿宋_GB2312"/>
          <w:b w:val="0"/>
          <w:sz w:val="32"/>
        </w:rPr>
        <w:t>2.一般公共服务支出(类)纪检监察事务(款)巡视工作(项):支出决算数为25.41万元，比上年决算减少14.49万元，下降36.32%,主要原因是：本年人员调入调出，人员职级不同，工资基数不同，导致经费较上年减少。</w:t>
      </w:r>
    </w:p>
    <w:p w14:paraId="2C33A0CE">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3.一般公共服务支出(类)纪检监察事务(款)其他纪检监察事务支出(项):支出决算数为10.00万元，比上年决算减少2.92万元，下降22.60%,主要原因是：2024年纪委购置相关办公用品、办公设备减少。</w:t>
      </w:r>
    </w:p>
    <w:p w14:paraId="5D70F8C9">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4.社会保障和就业支出(类)行政事业单位养老支出(款)行政单位离退休(项):支出决算数为14.12万元，比上年决算增加8.49万元，增长150.80%,主要原因是：本年退休人员增加，退休费支出增加。</w:t>
      </w:r>
    </w:p>
    <w:p w14:paraId="0B34EDF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179.36万元，比上年决算增加24.49万元，增长15.81%,主要原因是：本年在职人员增加，养老保险缴费较上年增加。</w:t>
      </w:r>
    </w:p>
    <w:p w14:paraId="461A29C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6.社会保障和就业支出(类)行政事业单位养老支出(款)机关事业单位职业年金缴费支出(项):支出决算数为32.28万元，比上年决算增加18.54万元，增长134.93%,主要原因是：本年新增退休人员，职业年金缴费支出增加。</w:t>
      </w:r>
    </w:p>
    <w:p w14:paraId="6D875A6F">
      <w:pPr>
        <w:spacing w:line="580" w:lineRule="exact"/>
        <w:ind w:firstLine="640"/>
        <w:jc w:val="both"/>
      </w:pPr>
      <w:r>
        <w:rPr>
          <w:rFonts w:ascii="仿宋_GB2312" w:hAnsi="仿宋_GB2312" w:eastAsia="仿宋_GB2312"/>
          <w:b w:val="0"/>
          <w:sz w:val="32"/>
        </w:rPr>
        <w:t>7.卫生健康支出(类)行政事业单位医疗(款)行政单位医疗(项):支出决算数为88.50万元，比上年决算增加2.90万元，增长3.39%,主要原因是：本年在职人员增加，行政单位医疗缴费支出增加。</w:t>
      </w:r>
    </w:p>
    <w:p w14:paraId="1F36B607">
      <w:pPr>
        <w:spacing w:line="580" w:lineRule="exact"/>
        <w:ind w:firstLine="640"/>
        <w:jc w:val="both"/>
      </w:pPr>
      <w:r>
        <w:rPr>
          <w:rFonts w:ascii="仿宋_GB2312" w:hAnsi="仿宋_GB2312" w:eastAsia="仿宋_GB2312"/>
          <w:b w:val="0"/>
          <w:sz w:val="32"/>
        </w:rPr>
        <w:t>8.卫生健康支出(类)行政事业单位医疗(款)事业单位医疗(项):支出决算数为1.27万元，比上年决算减少0.13万元，下降9.29%,主要原因是：本年在职人员调入调出，人员职级不同，缴费基数不同，导致事业单位医疗缴费支出较上年减少。</w:t>
      </w:r>
    </w:p>
    <w:p w14:paraId="7251CC18">
      <w:pPr>
        <w:spacing w:line="580" w:lineRule="exact"/>
        <w:ind w:firstLine="640"/>
        <w:jc w:val="both"/>
      </w:pPr>
      <w:r>
        <w:rPr>
          <w:rFonts w:ascii="仿宋_GB2312" w:hAnsi="仿宋_GB2312" w:eastAsia="仿宋_GB2312"/>
          <w:b w:val="0"/>
          <w:sz w:val="32"/>
        </w:rPr>
        <w:t>9.卫生健康支出(类)行政事业单位医疗(款)公务员医疗补助(项):支出决算数为1.87万元，比上年决算减少1.16万元，下降38.28%,主要原因是：本年在职人员调入调出，人员职级不同，缴费基数不同，导致公务员医疗补助较上年减少。</w:t>
      </w:r>
    </w:p>
    <w:p w14:paraId="6A87F6BB">
      <w:pPr>
        <w:spacing w:line="580" w:lineRule="exact"/>
        <w:ind w:firstLine="640"/>
        <w:jc w:val="both"/>
      </w:pPr>
      <w:r>
        <w:rPr>
          <w:rFonts w:ascii="仿宋_GB2312" w:hAnsi="仿宋_GB2312" w:eastAsia="仿宋_GB2312"/>
          <w:b w:val="0"/>
          <w:sz w:val="32"/>
        </w:rPr>
        <w:t>10.住房保障支出(类)住房改革支出(款)住房公积金(项):支出决算数为144.79万元，比上年决算增加17.33万元，增长13.60%,主要原因是：本年在职人员增加，工资基数调增，单位住房公积金缴费支出增加。</w:t>
      </w:r>
    </w:p>
    <w:p w14:paraId="54333E9D">
      <w:pPr>
        <w:spacing w:line="640" w:lineRule="exact"/>
        <w:ind w:firstLine="640"/>
        <w:jc w:val="both"/>
        <w:outlineLvl w:val="2"/>
      </w:pPr>
      <w:r>
        <w:rPr>
          <w:rFonts w:ascii="黑体" w:hAnsi="黑体" w:eastAsia="黑体"/>
          <w:sz w:val="32"/>
        </w:rPr>
        <w:t>六、一般公共预算财政拨款基本支出决算情况说明</w:t>
      </w:r>
    </w:p>
    <w:p w14:paraId="0169371B">
      <w:pPr>
        <w:spacing w:line="580" w:lineRule="exact"/>
        <w:ind w:firstLine="640"/>
        <w:jc w:val="both"/>
      </w:pPr>
      <w:r>
        <w:rPr>
          <w:rFonts w:ascii="仿宋_GB2312" w:hAnsi="仿宋_GB2312" w:eastAsia="仿宋_GB2312"/>
          <w:b w:val="0"/>
          <w:sz w:val="32"/>
        </w:rPr>
        <w:t>2024年度一般公共预算财政拨款基本支出2,078.77万元，其中：</w:t>
      </w:r>
      <w:r>
        <w:rPr>
          <w:rFonts w:ascii="仿宋_GB2312" w:hAnsi="仿宋_GB2312" w:eastAsia="仿宋_GB2312"/>
          <w:b/>
          <w:sz w:val="32"/>
        </w:rPr>
        <w:t>人员经费1,761.29万元，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14:paraId="06F3AC5B">
      <w:pPr>
        <w:spacing w:line="580" w:lineRule="exact"/>
        <w:ind w:firstLine="640"/>
        <w:jc w:val="both"/>
      </w:pPr>
      <w:r>
        <w:rPr>
          <w:rFonts w:ascii="仿宋_GB2312" w:hAnsi="仿宋_GB2312" w:eastAsia="仿宋_GB2312"/>
          <w:b/>
          <w:sz w:val="32"/>
        </w:rPr>
        <w:t>公用经费317.48万元，</w:t>
      </w:r>
      <w:r>
        <w:rPr>
          <w:rFonts w:ascii="仿宋_GB2312" w:hAnsi="仿宋_GB2312" w:eastAsia="仿宋_GB2312"/>
          <w:b w:val="0"/>
          <w:sz w:val="32"/>
        </w:rPr>
        <w:t>包括：办公费、水费、电费、邮电费、取暖费、差旅费、培训费、公务接待费、劳务费、工会经费、福利费、公务用车运行维护费、公务用车购置、其他交通工具购置。</w:t>
      </w:r>
    </w:p>
    <w:p w14:paraId="662B6996">
      <w:pPr>
        <w:spacing w:line="640" w:lineRule="exact"/>
        <w:ind w:firstLine="640"/>
        <w:jc w:val="both"/>
        <w:outlineLvl w:val="2"/>
      </w:pPr>
      <w:r>
        <w:rPr>
          <w:rFonts w:ascii="黑体" w:hAnsi="黑体" w:eastAsia="黑体"/>
          <w:sz w:val="32"/>
        </w:rPr>
        <w:t>七、政府性基金预算财政拨款收入支出决算情况说明</w:t>
      </w:r>
    </w:p>
    <w:p w14:paraId="2B6208A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0676B6E">
      <w:pPr>
        <w:spacing w:line="640" w:lineRule="exact"/>
        <w:ind w:firstLine="640"/>
        <w:jc w:val="both"/>
        <w:outlineLvl w:val="2"/>
      </w:pPr>
      <w:r>
        <w:rPr>
          <w:rFonts w:ascii="黑体" w:hAnsi="黑体" w:eastAsia="黑体"/>
          <w:sz w:val="32"/>
        </w:rPr>
        <w:t>八、国有资本经营预算财政拨款收入支出决算情况说明</w:t>
      </w:r>
    </w:p>
    <w:p w14:paraId="665486C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8DCDB7">
      <w:pPr>
        <w:spacing w:line="640" w:lineRule="exact"/>
        <w:ind w:firstLine="640"/>
        <w:jc w:val="both"/>
        <w:outlineLvl w:val="2"/>
      </w:pPr>
      <w:r>
        <w:rPr>
          <w:rFonts w:ascii="黑体" w:hAnsi="黑体" w:eastAsia="黑体"/>
          <w:sz w:val="32"/>
        </w:rPr>
        <w:t>九、财政拨款“三公”经费支出决算情况说明</w:t>
      </w:r>
    </w:p>
    <w:p w14:paraId="00DBFA45">
      <w:pPr>
        <w:spacing w:line="580" w:lineRule="exact"/>
        <w:ind w:firstLine="640"/>
        <w:jc w:val="both"/>
      </w:pPr>
      <w:r>
        <w:rPr>
          <w:rFonts w:ascii="仿宋_GB2312" w:hAnsi="仿宋_GB2312" w:eastAsia="仿宋_GB2312"/>
          <w:b/>
          <w:sz w:val="32"/>
        </w:rPr>
        <w:t>2024年度财政拨款“三公”经费支出118.89万元，</w:t>
      </w:r>
      <w:r>
        <w:rPr>
          <w:rFonts w:ascii="仿宋_GB2312" w:hAnsi="仿宋_GB2312" w:eastAsia="仿宋_GB2312"/>
          <w:b w:val="0"/>
          <w:sz w:val="32"/>
        </w:rPr>
        <w:t>比上年增加82.62万元，增长227.85%，主要原因是：本年新购入10辆公务用车，公务用车购置费较上年增加；</w:t>
      </w:r>
      <w:bookmarkStart w:id="0" w:name="_GoBack"/>
      <w:r>
        <w:rPr>
          <w:rFonts w:ascii="仿宋_GB2312" w:hAnsi="仿宋_GB2312" w:eastAsia="仿宋_GB2312"/>
          <w:b w:val="0"/>
          <w:sz w:val="32"/>
        </w:rPr>
        <w:t>本年因业务需求，用车次数增加，燃油费增加，导致公务用车运行维护费较上年增加</w:t>
      </w:r>
      <w:bookmarkEnd w:id="0"/>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118.65万元，占99.80%，比上年增加83.85万元，增长240.95%，主要原因是：本年新购入10辆公务用车，公务用车购置费较上年增加；本年因业务需求，用车次数增加，燃油费增加，导致公务用车运行维护费较上年增加。公务接待费支出0.23万元，占0.19%，比上年减少1.23万元，下降84.25%，主要原因是：严格落实中央八项规定精神，厉行节约，严格控制公务接待活动，认真执行经费开支标准，减少公务接待费。</w:t>
      </w:r>
    </w:p>
    <w:p w14:paraId="1C673F8A">
      <w:pPr>
        <w:spacing w:line="580" w:lineRule="exact"/>
        <w:ind w:firstLine="640"/>
        <w:jc w:val="both"/>
      </w:pPr>
      <w:r>
        <w:rPr>
          <w:rFonts w:ascii="仿宋_GB2312" w:hAnsi="仿宋_GB2312" w:eastAsia="仿宋_GB2312"/>
          <w:b/>
          <w:sz w:val="32"/>
        </w:rPr>
        <w:t>具体情况如下：</w:t>
      </w:r>
    </w:p>
    <w:p w14:paraId="4817D0D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6151A1">
      <w:pPr>
        <w:spacing w:line="580" w:lineRule="exact"/>
        <w:ind w:firstLine="640"/>
        <w:jc w:val="both"/>
      </w:pPr>
      <w:r>
        <w:rPr>
          <w:rFonts w:ascii="仿宋_GB2312" w:hAnsi="仿宋_GB2312" w:eastAsia="仿宋_GB2312"/>
          <w:b w:val="0"/>
          <w:sz w:val="32"/>
        </w:rPr>
        <w:t>公务用车购置及运行维护费118.65万元，其中：公务用车购置费102.50万元，公务用车运行维护费16.15万元。公务用车运行维护费开支内容包括车辆燃油费、修理费，车辆</w:t>
      </w:r>
      <w:r>
        <w:rPr>
          <w:rFonts w:hint="eastAsia" w:ascii="仿宋_GB2312" w:hAnsi="仿宋_GB2312" w:eastAsia="仿宋_GB2312"/>
          <w:b w:val="0"/>
          <w:sz w:val="32"/>
          <w:lang w:eastAsia="zh-CN"/>
        </w:rPr>
        <w:t>保险费</w:t>
      </w:r>
      <w:r>
        <w:rPr>
          <w:rFonts w:ascii="仿宋_GB2312" w:hAnsi="仿宋_GB2312" w:eastAsia="仿宋_GB2312"/>
          <w:b w:val="0"/>
          <w:sz w:val="32"/>
        </w:rPr>
        <w:t>，过路费。公务用车购置数10辆，公务用车保有量12辆。国有资产占用情况中固定资产车辆12辆，与公务用车保有量差异原因是：本单位固定资产车辆与公务用车保有量一致无差异。</w:t>
      </w:r>
    </w:p>
    <w:p w14:paraId="60D97F53">
      <w:pPr>
        <w:spacing w:line="580" w:lineRule="exact"/>
        <w:ind w:firstLine="640"/>
        <w:jc w:val="both"/>
      </w:pPr>
      <w:r>
        <w:rPr>
          <w:rFonts w:ascii="仿宋_GB2312" w:hAnsi="仿宋_GB2312" w:eastAsia="仿宋_GB2312"/>
          <w:b w:val="0"/>
          <w:sz w:val="32"/>
        </w:rPr>
        <w:t>公务接待费0.23万元，开支内容包括接待上级调研产生的餐费。单位全年安排的国内公务接待10批次，55人次。</w:t>
      </w:r>
    </w:p>
    <w:p w14:paraId="0A3E518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118.89万元，决算数118.89万元，预决算差异率0.00%，主要原因是：严格按照预算执行，预决算无差异。其中：因公出国（境）费全年预算数0.00万元，决算数0.00万元，预决算差异率0.00%，主要原因是：本单位无因公出国（境）费。公务用车购置费全年预算数102.50万元，决算数102.50万元，预决算差异率0.00%，主要原因是：严格按照预算执行，预决算无差异。公务用车运行维护费全年预算数16.15万元，决算数16.15万元，预决算差异率0.00%，主要原因是：严格按照预算执行，预决算无差异。公务接待费全年预算数0.23万元，决算数0.23万元，预决算差异率0.00%，主要原因是：严格按照预算执行，预决算无差异。</w:t>
      </w:r>
    </w:p>
    <w:p w14:paraId="1CFD4E19">
      <w:pPr>
        <w:spacing w:line="640" w:lineRule="exact"/>
        <w:ind w:firstLine="640"/>
        <w:jc w:val="both"/>
        <w:outlineLvl w:val="2"/>
      </w:pPr>
      <w:r>
        <w:rPr>
          <w:rFonts w:ascii="黑体" w:hAnsi="黑体" w:eastAsia="黑体"/>
          <w:sz w:val="32"/>
        </w:rPr>
        <w:t>十、其他重要事项的情况说明</w:t>
      </w:r>
    </w:p>
    <w:p w14:paraId="7FC0F085">
      <w:pPr>
        <w:spacing w:line="640" w:lineRule="exact"/>
        <w:ind w:firstLine="640"/>
        <w:jc w:val="both"/>
        <w:outlineLvl w:val="3"/>
      </w:pPr>
      <w:r>
        <w:rPr>
          <w:rFonts w:ascii="楷体_GB2312" w:hAnsi="楷体_GB2312" w:eastAsia="楷体_GB2312"/>
          <w:b/>
          <w:sz w:val="32"/>
        </w:rPr>
        <w:t>（一）机关运行经费及公用经费支出情况</w:t>
      </w:r>
    </w:p>
    <w:p w14:paraId="0C252D2C">
      <w:pPr>
        <w:spacing w:line="580" w:lineRule="exact"/>
        <w:ind w:firstLine="640"/>
        <w:jc w:val="both"/>
      </w:pPr>
      <w:r>
        <w:rPr>
          <w:rFonts w:ascii="仿宋_GB2312" w:hAnsi="仿宋_GB2312" w:eastAsia="仿宋_GB2312"/>
          <w:b w:val="0"/>
          <w:sz w:val="32"/>
        </w:rPr>
        <w:t>2024年度中国共产党霍城县纪律检查委员会（行政单位和参照公务员法管理事业单位）机关运行经费支出317.48万元，比上年增加125.83万元，增长65.66%，主要原因是：本年在职人员增加，办公费增加，根据工作需要购买执法执勤车及公务用车、购置电脑等设备及各类办公支出，导致经费较上年增加。</w:t>
      </w:r>
    </w:p>
    <w:p w14:paraId="4F09D47D">
      <w:pPr>
        <w:spacing w:line="640" w:lineRule="exact"/>
        <w:ind w:firstLine="640"/>
        <w:jc w:val="both"/>
        <w:outlineLvl w:val="3"/>
      </w:pPr>
      <w:r>
        <w:rPr>
          <w:rFonts w:ascii="楷体_GB2312" w:hAnsi="楷体_GB2312" w:eastAsia="楷体_GB2312"/>
          <w:b/>
          <w:sz w:val="32"/>
        </w:rPr>
        <w:t>（二）政府采购情况</w:t>
      </w:r>
    </w:p>
    <w:p w14:paraId="7B10DB51">
      <w:pPr>
        <w:spacing w:line="580" w:lineRule="exact"/>
        <w:ind w:firstLine="640"/>
        <w:jc w:val="both"/>
      </w:pPr>
      <w:r>
        <w:rPr>
          <w:rFonts w:ascii="仿宋_GB2312" w:hAnsi="仿宋_GB2312" w:eastAsia="仿宋_GB2312"/>
          <w:b w:val="0"/>
          <w:sz w:val="32"/>
        </w:rPr>
        <w:t>2024年度政府采购支出总额33.53万元，其中：政府采购货物支出2.59万元、政府采购工程支出21.89万元、政府采购服务支出9.05万元。</w:t>
      </w:r>
    </w:p>
    <w:p w14:paraId="316F15EB">
      <w:pPr>
        <w:spacing w:line="580" w:lineRule="exact"/>
        <w:ind w:firstLine="640"/>
        <w:jc w:val="both"/>
      </w:pPr>
      <w:r>
        <w:rPr>
          <w:rFonts w:ascii="仿宋_GB2312" w:hAnsi="仿宋_GB2312" w:eastAsia="仿宋_GB2312"/>
          <w:b w:val="0"/>
          <w:sz w:val="32"/>
        </w:rPr>
        <w:t>授予中小企业合同金额33.53万元，占政府采购支出总额的100.00%，其中：授予小微企业合同金额33.53万元，占政府采购支出总额的100.00%。</w:t>
      </w:r>
    </w:p>
    <w:p w14:paraId="6755BD85">
      <w:pPr>
        <w:spacing w:line="640" w:lineRule="exact"/>
        <w:ind w:firstLine="640"/>
        <w:jc w:val="both"/>
        <w:outlineLvl w:val="3"/>
      </w:pPr>
      <w:r>
        <w:rPr>
          <w:rFonts w:ascii="楷体_GB2312" w:hAnsi="楷体_GB2312" w:eastAsia="楷体_GB2312"/>
          <w:b/>
          <w:sz w:val="32"/>
        </w:rPr>
        <w:t>（三）国有资产占用情况说明</w:t>
      </w:r>
    </w:p>
    <w:p w14:paraId="02586A90">
      <w:pPr>
        <w:spacing w:line="580" w:lineRule="exact"/>
        <w:ind w:firstLine="640"/>
        <w:jc w:val="both"/>
      </w:pPr>
      <w:r>
        <w:rPr>
          <w:rFonts w:ascii="仿宋_GB2312" w:hAnsi="仿宋_GB2312" w:eastAsia="仿宋_GB2312"/>
          <w:b w:val="0"/>
          <w:sz w:val="32"/>
        </w:rPr>
        <w:t>截至2024年12月31日，房屋162.00平方米，价值47.83万元。车辆12辆，价值227.08万元，其中：副部（省）级及以上领导用车0辆、主要负责人用车0辆、机要通信用车0辆、应急保障用车0辆、执法执勤用车7辆、特种专业技术用车0辆、离退休干部服务用车0辆、其他用车5辆，其他用车主要是：一般公务用车。单价100万元（含）以上设备（不含车辆）0台（套）。</w:t>
      </w:r>
    </w:p>
    <w:p w14:paraId="67230491">
      <w:pPr>
        <w:spacing w:line="640" w:lineRule="exact"/>
        <w:ind w:firstLine="640"/>
        <w:jc w:val="both"/>
        <w:outlineLvl w:val="2"/>
      </w:pPr>
      <w:r>
        <w:rPr>
          <w:rFonts w:ascii="黑体" w:hAnsi="黑体" w:eastAsia="黑体"/>
          <w:sz w:val="32"/>
        </w:rPr>
        <w:t>十一、预算绩效的情况说明</w:t>
      </w:r>
    </w:p>
    <w:p w14:paraId="456FDC0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2,253.89万元，实际执行总额2,252.49万元；预算绩效评价项目1个，全年预算数103.97万元，全年执行数103.45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具体附整体支出绩效自评表，项目支出绩效自评表和评价报告。</w:t>
      </w:r>
    </w:p>
    <w:p w14:paraId="1B79097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289"/>
        <w:gridCol w:w="921"/>
        <w:gridCol w:w="1105"/>
        <w:gridCol w:w="1105"/>
        <w:gridCol w:w="1105"/>
        <w:gridCol w:w="1105"/>
      </w:tblGrid>
      <w:tr w14:paraId="5448B59D">
        <w:tc>
          <w:tcPr>
            <w:tcW w:w="8840" w:type="dxa"/>
            <w:gridSpan w:val="8"/>
            <w:vAlign w:val="center"/>
          </w:tcPr>
          <w:p w14:paraId="77880A16">
            <w:pPr>
              <w:jc w:val="center"/>
            </w:pPr>
            <w:r>
              <w:rPr>
                <w:rFonts w:ascii="宋体" w:hAnsi="宋体" w:eastAsia="宋体"/>
                <w:sz w:val="24"/>
              </w:rPr>
              <w:t>单位整体支出绩效自评表</w:t>
            </w:r>
          </w:p>
        </w:tc>
      </w:tr>
      <w:tr w14:paraId="1BC00C53">
        <w:tblPrEx>
          <w:tblCellMar>
            <w:top w:w="0" w:type="dxa"/>
            <w:left w:w="108" w:type="dxa"/>
            <w:bottom w:w="0" w:type="dxa"/>
            <w:right w:w="108" w:type="dxa"/>
          </w:tblCellMar>
        </w:tblPrEx>
        <w:tc>
          <w:tcPr>
            <w:tcW w:w="8840" w:type="dxa"/>
            <w:gridSpan w:val="8"/>
            <w:vAlign w:val="center"/>
          </w:tcPr>
          <w:p w14:paraId="18AD3B80">
            <w:pPr>
              <w:jc w:val="center"/>
            </w:pPr>
            <w:r>
              <w:rPr>
                <w:rFonts w:ascii="宋体" w:hAnsi="宋体" w:eastAsia="宋体"/>
                <w:sz w:val="24"/>
              </w:rPr>
              <w:t>（2024年度）</w:t>
            </w:r>
          </w:p>
        </w:tc>
      </w:tr>
      <w:tr w14:paraId="5B60616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09E0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A881CD">
            <w:pPr>
              <w:jc w:val="center"/>
            </w:pPr>
            <w:r>
              <w:rPr>
                <w:rFonts w:ascii="宋体" w:hAnsi="宋体" w:eastAsia="宋体"/>
                <w:sz w:val="16"/>
              </w:rPr>
              <w:t>中国共产党霍城县纪律检查委员会</w:t>
            </w:r>
          </w:p>
        </w:tc>
      </w:tr>
      <w:tr w14:paraId="6EA34C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2B26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EFC82">
            <w:pPr>
              <w:jc w:val="center"/>
            </w:pPr>
            <w:r>
              <w:rPr>
                <w:rFonts w:ascii="宋体" w:hAnsi="宋体" w:eastAsia="宋体"/>
                <w:sz w:val="16"/>
              </w:rPr>
              <w:t>资金来源</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020332ED">
            <w:pPr>
              <w:jc w:val="center"/>
            </w:pPr>
            <w:r>
              <w:rPr>
                <w:rFonts w:ascii="宋体" w:hAnsi="宋体" w:eastAsia="宋体"/>
                <w:sz w:val="16"/>
              </w:rPr>
              <w:t>年初预算数</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108BAEA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3834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4634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2C02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50BEF">
            <w:pPr>
              <w:jc w:val="center"/>
            </w:pPr>
            <w:r>
              <w:rPr>
                <w:rFonts w:ascii="宋体" w:hAnsi="宋体" w:eastAsia="宋体"/>
                <w:sz w:val="16"/>
              </w:rPr>
              <w:t>得分</w:t>
            </w:r>
          </w:p>
        </w:tc>
      </w:tr>
      <w:tr w14:paraId="1A61BF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7C04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B2F39">
            <w:pPr>
              <w:jc w:val="center"/>
            </w:pPr>
            <w:r>
              <w:rPr>
                <w:rFonts w:ascii="宋体" w:hAnsi="宋体" w:eastAsia="宋体"/>
                <w:sz w:val="16"/>
              </w:rPr>
              <w:t>年度总资金</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2328C7F4">
            <w:pPr>
              <w:jc w:val="center"/>
            </w:pPr>
            <w:r>
              <w:rPr>
                <w:rFonts w:ascii="宋体" w:hAnsi="宋体" w:eastAsia="宋体"/>
                <w:sz w:val="16"/>
              </w:rPr>
              <w:t>1,864.39</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10266B67">
            <w:pPr>
              <w:jc w:val="center"/>
            </w:pPr>
            <w:r>
              <w:rPr>
                <w:rFonts w:ascii="宋体" w:hAnsi="宋体" w:eastAsia="宋体"/>
                <w:sz w:val="16"/>
              </w:rPr>
              <w:t>2,253.89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BD351">
            <w:pPr>
              <w:jc w:val="center"/>
            </w:pPr>
            <w:r>
              <w:rPr>
                <w:rFonts w:ascii="宋体" w:hAnsi="宋体" w:eastAsia="宋体"/>
                <w:sz w:val="16"/>
              </w:rPr>
              <w:t>2,252.49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AE4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8DE38">
            <w:pPr>
              <w:jc w:val="center"/>
            </w:pPr>
            <w:r>
              <w:rPr>
                <w:rFonts w:ascii="宋体" w:hAnsi="宋体" w:eastAsia="宋体"/>
                <w:sz w:val="16"/>
              </w:rPr>
              <w:t>99.94%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54342">
            <w:pPr>
              <w:jc w:val="center"/>
            </w:pPr>
            <w:r>
              <w:rPr>
                <w:rFonts w:ascii="宋体" w:hAnsi="宋体" w:eastAsia="宋体"/>
                <w:sz w:val="16"/>
              </w:rPr>
              <w:t>9.99</w:t>
            </w:r>
          </w:p>
        </w:tc>
      </w:tr>
      <w:tr w14:paraId="772513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F00C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AFE7B">
            <w:pPr>
              <w:jc w:val="center"/>
            </w:pPr>
            <w:r>
              <w:rPr>
                <w:rFonts w:ascii="宋体" w:hAnsi="宋体" w:eastAsia="宋体"/>
                <w:sz w:val="16"/>
              </w:rPr>
              <w:t>上级资金：</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5C4D3DD2">
            <w:pPr>
              <w:jc w:val="center"/>
            </w:pPr>
            <w:r>
              <w:rPr>
                <w:rFonts w:ascii="宋体" w:hAnsi="宋体" w:eastAsia="宋体"/>
                <w:sz w:val="16"/>
              </w:rPr>
              <w:t>0.00</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5CD24F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4C0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781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B5C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97847">
            <w:pPr>
              <w:jc w:val="center"/>
            </w:pPr>
            <w:r>
              <w:rPr>
                <w:rFonts w:ascii="宋体" w:hAnsi="宋体" w:eastAsia="宋体"/>
                <w:sz w:val="16"/>
              </w:rPr>
              <w:t>-</w:t>
            </w:r>
          </w:p>
        </w:tc>
      </w:tr>
      <w:tr w14:paraId="28A4AF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7E5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AA171">
            <w:pPr>
              <w:jc w:val="center"/>
            </w:pPr>
            <w:r>
              <w:rPr>
                <w:rFonts w:ascii="宋体" w:hAnsi="宋体" w:eastAsia="宋体"/>
                <w:sz w:val="16"/>
              </w:rPr>
              <w:t>本级资金：</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71C47B0D">
            <w:pPr>
              <w:jc w:val="center"/>
            </w:pPr>
            <w:r>
              <w:rPr>
                <w:rFonts w:ascii="宋体" w:hAnsi="宋体" w:eastAsia="宋体"/>
                <w:sz w:val="16"/>
              </w:rPr>
              <w:t>1,864.39</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5F2AB0EA">
            <w:pPr>
              <w:jc w:val="center"/>
            </w:pPr>
            <w:r>
              <w:rPr>
                <w:rFonts w:ascii="宋体" w:hAnsi="宋体" w:eastAsia="宋体"/>
                <w:sz w:val="16"/>
              </w:rPr>
              <w:t>2,253.89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4775C">
            <w:pPr>
              <w:jc w:val="center"/>
            </w:pPr>
            <w:r>
              <w:rPr>
                <w:rFonts w:ascii="宋体" w:hAnsi="宋体" w:eastAsia="宋体"/>
                <w:sz w:val="16"/>
              </w:rPr>
              <w:t>2,252.49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356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A0E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B0669">
            <w:pPr>
              <w:jc w:val="center"/>
            </w:pPr>
            <w:r>
              <w:rPr>
                <w:rFonts w:ascii="宋体" w:hAnsi="宋体" w:eastAsia="宋体"/>
                <w:sz w:val="16"/>
              </w:rPr>
              <w:t>-</w:t>
            </w:r>
          </w:p>
        </w:tc>
      </w:tr>
      <w:tr w14:paraId="7DECA6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4F13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8B4D4">
            <w:pPr>
              <w:jc w:val="center"/>
            </w:pPr>
            <w:r>
              <w:rPr>
                <w:rFonts w:ascii="宋体" w:hAnsi="宋体" w:eastAsia="宋体"/>
                <w:sz w:val="16"/>
              </w:rPr>
              <w:t>其他资金：</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2C89105F">
            <w:pPr>
              <w:jc w:val="center"/>
            </w:pPr>
            <w:r>
              <w:rPr>
                <w:rFonts w:ascii="宋体" w:hAnsi="宋体" w:eastAsia="宋体"/>
                <w:sz w:val="16"/>
              </w:rPr>
              <w:t>0.00</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2C900D1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F8D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9B8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EF4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8D13D">
            <w:pPr>
              <w:jc w:val="center"/>
            </w:pPr>
            <w:r>
              <w:rPr>
                <w:rFonts w:ascii="宋体" w:hAnsi="宋体" w:eastAsia="宋体"/>
                <w:sz w:val="16"/>
              </w:rPr>
              <w:t>-</w:t>
            </w:r>
          </w:p>
        </w:tc>
      </w:tr>
      <w:tr w14:paraId="3E5707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E5E1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2533B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E6EF13">
            <w:pPr>
              <w:jc w:val="center"/>
            </w:pPr>
            <w:r>
              <w:rPr>
                <w:rFonts w:ascii="宋体" w:hAnsi="宋体" w:eastAsia="宋体"/>
                <w:sz w:val="16"/>
              </w:rPr>
              <w:t>实际完成情况</w:t>
            </w:r>
          </w:p>
        </w:tc>
      </w:tr>
      <w:tr w14:paraId="5BE79A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4F01A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F376D8">
            <w:pPr>
              <w:jc w:val="both"/>
            </w:pPr>
            <w:r>
              <w:rPr>
                <w:rFonts w:ascii="宋体" w:hAnsi="宋体" w:eastAsia="宋体"/>
                <w:sz w:val="16"/>
              </w:rPr>
              <w:t>全面贯彻落实党的二十大和</w:t>
            </w:r>
            <w:r>
              <w:rPr>
                <w:rFonts w:hint="eastAsia" w:ascii="宋体" w:hAnsi="宋体"/>
                <w:sz w:val="16"/>
                <w:lang w:eastAsia="zh-CN"/>
              </w:rPr>
              <w:t>党的二十届二中全会精神</w:t>
            </w:r>
            <w:r>
              <w:rPr>
                <w:rFonts w:ascii="宋体" w:hAnsi="宋体" w:eastAsia="宋体"/>
                <w:sz w:val="16"/>
              </w:rPr>
              <w:t>，深入学习贯彻习近平总书记关于党的自我革命的重要思想，二十届中央纪委三次全会精神，自治区纪委十届四次全会精神，坚决落实全面从严治党战略方针，深刻领悟“两个确立”的决定性意义，自觉增强“四个意识”、坚定“四个自信”、做到“两个维护”，坚持稳中求进总基调，巩固拓展主题教育和教育整顿成果，忠诚履行党章和宪法赋予的职责，奋力推进纪检监察工作高质量发展，扎实开展巡视巡察，纵深推进正风肃纪反腐，纵深推进</w:t>
            </w:r>
            <w:r>
              <w:rPr>
                <w:rFonts w:hint="eastAsia" w:ascii="宋体" w:hAnsi="宋体"/>
                <w:sz w:val="16"/>
                <w:lang w:eastAsia="zh-CN"/>
              </w:rPr>
              <w:t>新时代纪检监察工作高质量发展</w:t>
            </w:r>
            <w:r>
              <w:rPr>
                <w:rFonts w:ascii="宋体" w:hAnsi="宋体" w:eastAsia="宋体"/>
                <w:sz w:val="16"/>
              </w:rPr>
              <w:t>，为开创新时代美好霍城建设新局面提供坚强纪律保障。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27571">
            <w:pPr>
              <w:jc w:val="both"/>
            </w:pPr>
            <w:r>
              <w:rPr>
                <w:rFonts w:ascii="宋体" w:hAnsi="宋体" w:eastAsia="宋体"/>
                <w:sz w:val="16"/>
              </w:rPr>
              <w:t>深入贯彻落实党的二十大精神、中央纪委二次全会、自治区纪委三次全会部署，深刻领悟“两个全面”的深刻意义，做到“两个维护”，聚焦落实新时代党的治疆方略，坚定稳妥推进全面从严治党、党风廉政建设和反腐败斗争，通过反馈问题、下发专刊与通报等方式，将严明纪律作风、严格干部管理监督的责任压力及时传导到各部门各单位。完成了三轮巡察，细化了工作任务，持续跟进落实。加强自身建设，通过全员培训、加强纪律作风建设等方式，锻造纪检监察铁军队伍。</w:t>
            </w:r>
          </w:p>
        </w:tc>
      </w:tr>
      <w:tr w14:paraId="1594B7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BA7F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B31ED">
            <w:pPr>
              <w:jc w:val="center"/>
            </w:pPr>
            <w:r>
              <w:rPr>
                <w:rFonts w:ascii="宋体" w:hAnsi="宋体" w:eastAsia="宋体"/>
                <w:sz w:val="16"/>
              </w:rPr>
              <w:t>二级指标</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0CCD198D">
            <w:pPr>
              <w:jc w:val="center"/>
            </w:pPr>
            <w:r>
              <w:rPr>
                <w:rFonts w:ascii="宋体" w:hAnsi="宋体" w:eastAsia="宋体"/>
                <w:sz w:val="16"/>
              </w:rPr>
              <w:t>三级指标</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30D66D2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3978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79E1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F3CE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DB0B8">
            <w:pPr>
              <w:jc w:val="center"/>
            </w:pPr>
            <w:r>
              <w:rPr>
                <w:rFonts w:ascii="宋体" w:hAnsi="宋体" w:eastAsia="宋体"/>
                <w:sz w:val="16"/>
              </w:rPr>
              <w:t>得分</w:t>
            </w:r>
          </w:p>
        </w:tc>
      </w:tr>
      <w:tr w14:paraId="469C65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B67A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645F5">
            <w:pPr>
              <w:jc w:val="center"/>
            </w:pPr>
            <w:r>
              <w:rPr>
                <w:rFonts w:ascii="宋体" w:hAnsi="宋体" w:eastAsia="宋体"/>
                <w:sz w:val="16"/>
              </w:rPr>
              <w:t>数量指标</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633534B5">
            <w:pPr>
              <w:jc w:val="center"/>
            </w:pPr>
            <w:r>
              <w:rPr>
                <w:rFonts w:ascii="宋体" w:hAnsi="宋体" w:eastAsia="宋体"/>
                <w:sz w:val="16"/>
              </w:rPr>
              <w:t>检查乡镇和重点单位全面从严治党主体责任落实情况覆盖率</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40B4C48E">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2767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ED47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95DA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DEEDA">
            <w:pPr>
              <w:jc w:val="center"/>
            </w:pPr>
            <w:r>
              <w:rPr>
                <w:rFonts w:ascii="宋体" w:hAnsi="宋体" w:eastAsia="宋体"/>
                <w:sz w:val="16"/>
              </w:rPr>
              <w:t>20</w:t>
            </w:r>
          </w:p>
        </w:tc>
      </w:tr>
      <w:tr w14:paraId="449DFF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91E0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82A86"/>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3D8DB035">
            <w:pPr>
              <w:jc w:val="center"/>
            </w:pPr>
            <w:r>
              <w:rPr>
                <w:rFonts w:ascii="宋体" w:hAnsi="宋体" w:eastAsia="宋体"/>
                <w:sz w:val="16"/>
              </w:rPr>
              <w:t>开展纠“四风”、树新风专项督查次数</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5E971EC2">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0191A">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DB4CA">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A101E">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71FBB">
            <w:pPr>
              <w:jc w:val="center"/>
            </w:pPr>
            <w:r>
              <w:rPr>
                <w:rFonts w:ascii="宋体" w:hAnsi="宋体" w:eastAsia="宋体"/>
                <w:sz w:val="16"/>
              </w:rPr>
              <w:t>30</w:t>
            </w:r>
          </w:p>
        </w:tc>
      </w:tr>
      <w:tr w14:paraId="758F2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793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313D4B"/>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2F551377">
            <w:pPr>
              <w:jc w:val="center"/>
            </w:pPr>
            <w:r>
              <w:rPr>
                <w:rFonts w:ascii="宋体" w:hAnsi="宋体" w:eastAsia="宋体"/>
                <w:sz w:val="16"/>
              </w:rPr>
              <w:t>2024年巡察轮数</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624AE4A6">
            <w:pPr>
              <w:jc w:val="center"/>
            </w:pPr>
            <w:r>
              <w:rPr>
                <w:rFonts w:ascii="宋体" w:hAnsi="宋体" w:eastAsia="宋体"/>
                <w:sz w:val="16"/>
              </w:rPr>
              <w:t>&gt;=3轮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1EBB7">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304EA">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832FC">
            <w:pPr>
              <w:jc w:val="center"/>
            </w:pPr>
            <w:r>
              <w:rPr>
                <w:rFonts w:ascii="宋体" w:hAnsi="宋体" w:eastAsia="宋体"/>
                <w:sz w:val="16"/>
              </w:rPr>
              <w: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4E2C">
            <w:pPr>
              <w:jc w:val="center"/>
            </w:pPr>
            <w:r>
              <w:rPr>
                <w:rFonts w:ascii="宋体" w:hAnsi="宋体" w:eastAsia="宋体"/>
                <w:sz w:val="16"/>
              </w:rPr>
              <w:t>30</w:t>
            </w:r>
          </w:p>
        </w:tc>
      </w:tr>
      <w:tr w14:paraId="2A5F80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9F12E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F4570"/>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3598B7D9">
            <w:pPr>
              <w:jc w:val="center"/>
            </w:pPr>
            <w:r>
              <w:rPr>
                <w:rFonts w:ascii="宋体" w:hAnsi="宋体" w:eastAsia="宋体"/>
                <w:sz w:val="16"/>
              </w:rPr>
              <w:t>纪检监察业务培训完成率</w:t>
            </w:r>
          </w:p>
        </w:tc>
        <w:tc>
          <w:tcPr>
            <w:tcW w:w="921" w:type="dxa"/>
            <w:tcBorders>
              <w:top w:val="single" w:color="auto" w:sz="10" w:space="0"/>
              <w:left w:val="single" w:color="auto" w:sz="10" w:space="0"/>
              <w:bottom w:val="single" w:color="auto" w:sz="10" w:space="0"/>
              <w:right w:val="single" w:color="auto" w:sz="10" w:space="0"/>
              <w:insideV w:val="single" w:sz="10" w:space="0"/>
            </w:tcBorders>
            <w:vAlign w:val="center"/>
          </w:tcPr>
          <w:p w14:paraId="2BD9AC39">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F23D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11F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8C4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FEEE4">
            <w:pPr>
              <w:jc w:val="center"/>
            </w:pPr>
            <w:r>
              <w:rPr>
                <w:rFonts w:ascii="宋体" w:hAnsi="宋体" w:eastAsia="宋体"/>
                <w:sz w:val="16"/>
              </w:rPr>
              <w:t>10</w:t>
            </w:r>
          </w:p>
        </w:tc>
      </w:tr>
    </w:tbl>
    <w:p w14:paraId="5517F3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25041939">
        <w:tblPrEx>
          <w:tblCellMar>
            <w:top w:w="0" w:type="dxa"/>
            <w:left w:w="108" w:type="dxa"/>
            <w:bottom w:w="0" w:type="dxa"/>
            <w:right w:w="108" w:type="dxa"/>
          </w:tblCellMar>
        </w:tblPrEx>
        <w:tc>
          <w:tcPr>
            <w:tcW w:w="8848" w:type="dxa"/>
            <w:gridSpan w:val="14"/>
            <w:vAlign w:val="center"/>
          </w:tcPr>
          <w:p w14:paraId="07BF5C46">
            <w:pPr>
              <w:jc w:val="center"/>
            </w:pPr>
            <w:r>
              <w:rPr>
                <w:rFonts w:ascii="宋体" w:hAnsi="宋体" w:eastAsia="宋体"/>
                <w:sz w:val="24"/>
              </w:rPr>
              <w:t>项目支出绩效自评表</w:t>
            </w:r>
          </w:p>
        </w:tc>
      </w:tr>
      <w:tr w14:paraId="4E92B62D">
        <w:tblPrEx>
          <w:tblCellMar>
            <w:top w:w="0" w:type="dxa"/>
            <w:left w:w="108" w:type="dxa"/>
            <w:bottom w:w="0" w:type="dxa"/>
            <w:right w:w="108" w:type="dxa"/>
          </w:tblCellMar>
        </w:tblPrEx>
        <w:tc>
          <w:tcPr>
            <w:tcW w:w="8848" w:type="dxa"/>
            <w:gridSpan w:val="14"/>
            <w:vAlign w:val="center"/>
          </w:tcPr>
          <w:p w14:paraId="491C58E4">
            <w:pPr>
              <w:jc w:val="center"/>
            </w:pPr>
            <w:r>
              <w:rPr>
                <w:rFonts w:ascii="宋体" w:hAnsi="宋体" w:eastAsia="宋体"/>
                <w:sz w:val="24"/>
              </w:rPr>
              <w:t>(2024年度)</w:t>
            </w:r>
          </w:p>
        </w:tc>
      </w:tr>
      <w:tr w14:paraId="762D85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D0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4537F0">
            <w:pPr>
              <w:jc w:val="center"/>
            </w:pPr>
            <w:r>
              <w:rPr>
                <w:rFonts w:ascii="宋体" w:hAnsi="宋体" w:eastAsia="宋体"/>
                <w:sz w:val="16"/>
              </w:rPr>
              <w:t>霍城县纪委监委购置执法执勤车项目</w:t>
            </w:r>
          </w:p>
        </w:tc>
      </w:tr>
      <w:tr w14:paraId="0FC838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B0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E17A1">
            <w:pPr>
              <w:jc w:val="center"/>
            </w:pPr>
            <w:r>
              <w:rPr>
                <w:rFonts w:ascii="宋体" w:hAnsi="宋体" w:eastAsia="宋体"/>
                <w:sz w:val="16"/>
              </w:rPr>
              <w:t>中国共产党霍城县纪律检查委员会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65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A12A3E">
            <w:pPr>
              <w:jc w:val="center"/>
            </w:pPr>
            <w:r>
              <w:rPr>
                <w:rFonts w:ascii="宋体" w:hAnsi="宋体" w:eastAsia="宋体"/>
                <w:sz w:val="16"/>
              </w:rPr>
              <w:t>中国共产党霍城县纪律检查委员会</w:t>
            </w:r>
          </w:p>
        </w:tc>
      </w:tr>
      <w:tr w14:paraId="5C357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DD34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63E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EBC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57C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ECD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B70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DB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DA19">
            <w:pPr>
              <w:jc w:val="center"/>
            </w:pPr>
            <w:r>
              <w:rPr>
                <w:rFonts w:ascii="宋体" w:hAnsi="宋体" w:eastAsia="宋体"/>
                <w:sz w:val="16"/>
              </w:rPr>
              <w:t>得分</w:t>
            </w:r>
          </w:p>
        </w:tc>
      </w:tr>
      <w:tr w14:paraId="05F2B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83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7A4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9382">
            <w:pPr>
              <w:jc w:val="center"/>
            </w:pPr>
            <w:r>
              <w:rPr>
                <w:rFonts w:ascii="宋体" w:hAnsi="宋体" w:eastAsia="宋体"/>
                <w:sz w:val="16"/>
              </w:rPr>
              <w:t>107.42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CED6F">
            <w:pPr>
              <w:jc w:val="center"/>
            </w:pPr>
            <w:r>
              <w:rPr>
                <w:rFonts w:ascii="宋体" w:hAnsi="宋体" w:eastAsia="宋体"/>
                <w:sz w:val="16"/>
              </w:rPr>
              <w:t>103.97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197D8">
            <w:pPr>
              <w:jc w:val="center"/>
            </w:pPr>
            <w:r>
              <w:rPr>
                <w:rFonts w:ascii="宋体" w:hAnsi="宋体" w:eastAsia="宋体"/>
                <w:sz w:val="16"/>
              </w:rPr>
              <w:t>103.45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277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51C12">
            <w:pPr>
              <w:jc w:val="center"/>
            </w:pPr>
            <w:r>
              <w:rPr>
                <w:rFonts w:ascii="宋体" w:hAnsi="宋体" w:eastAsia="宋体"/>
                <w:sz w:val="16"/>
              </w:rPr>
              <w:t>99.50%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C64B">
            <w:pPr>
              <w:jc w:val="center"/>
            </w:pPr>
            <w:r>
              <w:rPr>
                <w:rFonts w:ascii="宋体" w:hAnsi="宋体" w:eastAsia="宋体"/>
                <w:sz w:val="16"/>
              </w:rPr>
              <w:t>9.88</w:t>
            </w:r>
          </w:p>
        </w:tc>
      </w:tr>
      <w:tr w14:paraId="2470E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C8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D64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012F5">
            <w:pPr>
              <w:jc w:val="center"/>
            </w:pPr>
            <w:r>
              <w:rPr>
                <w:rFonts w:ascii="宋体" w:hAnsi="宋体" w:eastAsia="宋体"/>
                <w:sz w:val="16"/>
              </w:rPr>
              <w:t>107.42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E614E">
            <w:pPr>
              <w:jc w:val="center"/>
            </w:pPr>
            <w:r>
              <w:rPr>
                <w:rFonts w:ascii="宋体" w:hAnsi="宋体" w:eastAsia="宋体"/>
                <w:sz w:val="16"/>
              </w:rPr>
              <w:t>103.97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CC51">
            <w:pPr>
              <w:jc w:val="center"/>
            </w:pPr>
            <w:r>
              <w:rPr>
                <w:rFonts w:ascii="宋体" w:hAnsi="宋体" w:eastAsia="宋体"/>
                <w:sz w:val="16"/>
              </w:rPr>
              <w:t>103.45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12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386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8D46">
            <w:pPr>
              <w:jc w:val="center"/>
            </w:pPr>
            <w:r>
              <w:rPr>
                <w:rFonts w:ascii="宋体" w:hAnsi="宋体" w:eastAsia="宋体"/>
                <w:sz w:val="16"/>
              </w:rPr>
              <w:t>—</w:t>
            </w:r>
          </w:p>
        </w:tc>
      </w:tr>
      <w:tr w14:paraId="5FCD3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26D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3CF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75B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2E9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C9A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30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2C9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1C89">
            <w:pPr>
              <w:jc w:val="center"/>
            </w:pPr>
            <w:r>
              <w:rPr>
                <w:rFonts w:ascii="宋体" w:hAnsi="宋体" w:eastAsia="宋体"/>
                <w:sz w:val="16"/>
              </w:rPr>
              <w:t>—</w:t>
            </w:r>
          </w:p>
        </w:tc>
      </w:tr>
      <w:tr w14:paraId="431AF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7E4A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E3E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8466C0">
            <w:pPr>
              <w:jc w:val="center"/>
            </w:pPr>
            <w:r>
              <w:rPr>
                <w:rFonts w:ascii="宋体" w:hAnsi="宋体" w:eastAsia="宋体"/>
                <w:sz w:val="16"/>
              </w:rPr>
              <w:t>实际完成情况</w:t>
            </w:r>
          </w:p>
        </w:tc>
      </w:tr>
      <w:tr w14:paraId="22B41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5B4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EC30B">
            <w:pPr>
              <w:jc w:val="both"/>
            </w:pPr>
            <w:r>
              <w:rPr>
                <w:rFonts w:ascii="宋体" w:hAnsi="宋体" w:eastAsia="宋体"/>
                <w:sz w:val="16"/>
              </w:rPr>
              <w:t>县本级及乡镇纪委业务工作有序开展，解决本级纪委监委办案车辆老化、不足等问题，有力保障监督检查和审查调查工作安全，切实提高</w:t>
            </w:r>
            <w:r>
              <w:rPr>
                <w:rFonts w:hint="eastAsia" w:ascii="宋体" w:hAnsi="宋体"/>
                <w:sz w:val="16"/>
                <w:lang w:eastAsia="zh-CN"/>
              </w:rPr>
              <w:t>纪检监察机关</w:t>
            </w:r>
            <w:r>
              <w:rPr>
                <w:rFonts w:ascii="宋体" w:hAnsi="宋体" w:eastAsia="宋体"/>
                <w:sz w:val="16"/>
              </w:rPr>
              <w:t>的办案和装备经费保障水平。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DC535B">
            <w:pPr>
              <w:jc w:val="both"/>
            </w:pPr>
            <w:r>
              <w:rPr>
                <w:rFonts w:ascii="宋体" w:hAnsi="宋体" w:eastAsia="宋体"/>
                <w:sz w:val="16"/>
              </w:rPr>
              <w:t>解决了本级纪委监委办案车辆老化、不足等问题，有力保障了监督检查和审查调查工作安全，切实提高了</w:t>
            </w:r>
            <w:r>
              <w:rPr>
                <w:rFonts w:hint="eastAsia" w:ascii="宋体" w:hAnsi="宋体"/>
                <w:sz w:val="16"/>
                <w:lang w:eastAsia="zh-CN"/>
              </w:rPr>
              <w:t>纪检监察机关</w:t>
            </w:r>
            <w:r>
              <w:rPr>
                <w:rFonts w:ascii="宋体" w:hAnsi="宋体" w:eastAsia="宋体"/>
                <w:sz w:val="16"/>
              </w:rPr>
              <w:t>的办案和装备经费保障水平。确保了忠诚履行党章和宪法赋予的职责，奋力推进纪检监察工作高质量发展。</w:t>
            </w:r>
          </w:p>
        </w:tc>
      </w:tr>
      <w:tr w14:paraId="23C369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88F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08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AE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1F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CD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084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658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F2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F8B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3A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18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4D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AB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0F36">
            <w:pPr>
              <w:jc w:val="center"/>
            </w:pPr>
            <w:r>
              <w:rPr>
                <w:rFonts w:ascii="宋体" w:hAnsi="宋体" w:eastAsia="宋体"/>
                <w:sz w:val="16"/>
              </w:rPr>
              <w:t>偏差原因分析及改进措施</w:t>
            </w:r>
          </w:p>
        </w:tc>
      </w:tr>
      <w:tr w14:paraId="68A2E9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D9F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5BB3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F6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E34F">
            <w:pPr>
              <w:jc w:val="center"/>
            </w:pPr>
            <w:r>
              <w:rPr>
                <w:rFonts w:ascii="宋体" w:hAnsi="宋体" w:eastAsia="宋体"/>
                <w:sz w:val="16"/>
              </w:rPr>
              <w:t>购置公车数量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7C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1B3B">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33D7">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8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82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A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11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8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51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E2F7">
            <w:pPr>
              <w:jc w:val="center"/>
            </w:pPr>
          </w:p>
        </w:tc>
      </w:tr>
      <w:tr w14:paraId="6A071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6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D2C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6C0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FA61">
            <w:pPr>
              <w:jc w:val="center"/>
            </w:pPr>
            <w:r>
              <w:rPr>
                <w:rFonts w:ascii="宋体" w:hAnsi="宋体" w:eastAsia="宋体"/>
                <w:sz w:val="16"/>
              </w:rPr>
              <w:t>购置公车验收合格率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38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7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F1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6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14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7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DF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3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08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9951">
            <w:pPr>
              <w:jc w:val="center"/>
            </w:pPr>
          </w:p>
        </w:tc>
      </w:tr>
      <w:tr w14:paraId="12968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6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71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C9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391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89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0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C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7D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05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6E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D2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25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9A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2373">
            <w:pPr>
              <w:jc w:val="center"/>
            </w:pPr>
          </w:p>
        </w:tc>
      </w:tr>
      <w:tr w14:paraId="69C58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3A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3B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C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0D49">
            <w:pPr>
              <w:jc w:val="center"/>
            </w:pPr>
            <w:r>
              <w:rPr>
                <w:rFonts w:ascii="宋体" w:hAnsi="宋体" w:eastAsia="宋体"/>
                <w:sz w:val="16"/>
              </w:rPr>
              <w:t>采购公车完成时间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40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4FBA">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2215">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4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9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5F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7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8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2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7F68">
            <w:pPr>
              <w:jc w:val="center"/>
            </w:pPr>
          </w:p>
        </w:tc>
      </w:tr>
      <w:tr w14:paraId="3B7D4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7E3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2A8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562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D0AD">
            <w:pPr>
              <w:jc w:val="center"/>
            </w:pPr>
            <w:r>
              <w:rPr>
                <w:rFonts w:ascii="宋体" w:hAnsi="宋体" w:eastAsia="宋体"/>
                <w:sz w:val="16"/>
              </w:rPr>
              <w:t>购置比亚迪车辆成本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CA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7FCF">
            <w:pPr>
              <w:jc w:val="center"/>
            </w:pPr>
            <w:r>
              <w:rPr>
                <w:rFonts w:ascii="宋体" w:hAnsi="宋体" w:eastAsia="宋体"/>
                <w:sz w:val="16"/>
              </w:rPr>
              <w:t>&lt;=66.52万元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7DD7">
            <w:pPr>
              <w:jc w:val="center"/>
            </w:pPr>
            <w:r>
              <w:rPr>
                <w:rFonts w:ascii="宋体" w:hAnsi="宋体" w:eastAsia="宋体"/>
                <w:sz w:val="16"/>
              </w:rPr>
              <w:t>66.52万元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B3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64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0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F3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8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2F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10FF">
            <w:pPr>
              <w:jc w:val="center"/>
            </w:pPr>
          </w:p>
        </w:tc>
      </w:tr>
      <w:tr w14:paraId="3DD8C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47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48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DC5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5335">
            <w:pPr>
              <w:jc w:val="center"/>
            </w:pPr>
            <w:r>
              <w:rPr>
                <w:rFonts w:ascii="宋体" w:hAnsi="宋体" w:eastAsia="宋体"/>
                <w:sz w:val="16"/>
              </w:rPr>
              <w:t>购置上汽大众车辆成本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99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6E42">
            <w:pPr>
              <w:jc w:val="center"/>
            </w:pPr>
            <w:r>
              <w:rPr>
                <w:rFonts w:ascii="宋体" w:hAnsi="宋体" w:eastAsia="宋体"/>
                <w:sz w:val="16"/>
              </w:rPr>
              <w:t>&lt;=33.90万元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E587">
            <w:pPr>
              <w:jc w:val="center"/>
            </w:pPr>
            <w:r>
              <w:rPr>
                <w:rFonts w:ascii="宋体" w:hAnsi="宋体" w:eastAsia="宋体"/>
                <w:sz w:val="16"/>
              </w:rPr>
              <w:t>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0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C3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B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6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2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49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8285">
            <w:pPr>
              <w:jc w:val="center"/>
            </w:pPr>
          </w:p>
        </w:tc>
      </w:tr>
      <w:tr w14:paraId="09F8A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AA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C3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AB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896D">
            <w:pPr>
              <w:jc w:val="center"/>
            </w:pPr>
            <w:r>
              <w:rPr>
                <w:rFonts w:ascii="宋体" w:hAnsi="宋体" w:eastAsia="宋体"/>
                <w:sz w:val="16"/>
              </w:rPr>
              <w:t>购买车辆保险成本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1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59AA">
            <w:pPr>
              <w:jc w:val="center"/>
            </w:pPr>
            <w:r>
              <w:rPr>
                <w:rFonts w:ascii="宋体" w:hAnsi="宋体" w:eastAsia="宋体"/>
                <w:sz w:val="16"/>
              </w:rPr>
              <w:t>&lt;=2.08万元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6426">
            <w:pPr>
              <w:jc w:val="center"/>
            </w:pPr>
            <w:r>
              <w:rPr>
                <w:rFonts w:ascii="宋体" w:hAnsi="宋体" w:eastAsia="宋体"/>
                <w:sz w:val="16"/>
              </w:rPr>
              <w:t>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5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DA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5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E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77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63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6384">
            <w:pPr>
              <w:jc w:val="center"/>
            </w:pPr>
          </w:p>
        </w:tc>
      </w:tr>
      <w:tr w14:paraId="5D433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44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C3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EA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3BB3">
            <w:pPr>
              <w:jc w:val="center"/>
            </w:pPr>
            <w:r>
              <w:rPr>
                <w:rFonts w:ascii="宋体" w:hAnsi="宋体" w:eastAsia="宋体"/>
                <w:sz w:val="16"/>
              </w:rPr>
              <w:t>安装充电桩成本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2A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D475">
            <w:pPr>
              <w:jc w:val="center"/>
            </w:pPr>
            <w:r>
              <w:rPr>
                <w:rFonts w:ascii="宋体" w:hAnsi="宋体" w:eastAsia="宋体"/>
                <w:sz w:val="16"/>
              </w:rPr>
              <w:t>&lt;=1.47万元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6128">
            <w:pPr>
              <w:jc w:val="center"/>
            </w:pPr>
            <w:r>
              <w:rPr>
                <w:rFonts w:ascii="宋体" w:hAnsi="宋体" w:eastAsia="宋体"/>
                <w:sz w:val="16"/>
              </w:rPr>
              <w: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2B63">
            <w:pPr>
              <w:jc w:val="center"/>
            </w:pPr>
            <w:r>
              <w:rPr>
                <w:rFonts w:ascii="宋体" w:hAnsi="宋体" w:eastAsia="宋体"/>
                <w:sz w:val="16"/>
              </w:rPr>
              <w:t>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54C6">
            <w:pPr>
              <w:jc w:val="center"/>
            </w:pPr>
            <w:r>
              <w:rPr>
                <w:rFonts w:ascii="宋体" w:hAnsi="宋体" w:eastAsia="宋体"/>
                <w:sz w:val="16"/>
              </w:rPr>
              <w:t>3.23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28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C1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0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5E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E72C">
            <w:pPr>
              <w:jc w:val="center"/>
            </w:pPr>
            <w:r>
              <w:rPr>
                <w:rFonts w:ascii="宋体" w:hAnsi="宋体" w:eastAsia="宋体"/>
                <w:sz w:val="16"/>
              </w:rPr>
              <w:t>事先对充电桩安装费用预算不够精准，实际支付0.95万元。</w:t>
            </w:r>
          </w:p>
        </w:tc>
      </w:tr>
      <w:tr w14:paraId="300D9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7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41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AA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F5CA">
            <w:pPr>
              <w:jc w:val="center"/>
            </w:pPr>
            <w:r>
              <w:rPr>
                <w:rFonts w:ascii="宋体" w:hAnsi="宋体" w:eastAsia="宋体"/>
                <w:sz w:val="16"/>
              </w:rPr>
              <w:t>保障审查调查工作有序开展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D8A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25C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0B5F">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4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24A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F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1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3C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20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0210">
            <w:pPr>
              <w:jc w:val="center"/>
            </w:pPr>
          </w:p>
        </w:tc>
      </w:tr>
      <w:tr w14:paraId="760A233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77A0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0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F02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E0D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9C9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4AC0">
            <w:pPr>
              <w:jc w:val="center"/>
            </w:pPr>
            <w:r>
              <w:rPr>
                <w:rFonts w:ascii="宋体" w:hAnsi="宋体" w:eastAsia="宋体"/>
                <w:sz w:val="16"/>
              </w:rPr>
              <w:t>98.11分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E78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1CEE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1E66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A5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0BFAA"/>
        </w:tc>
      </w:tr>
    </w:tbl>
    <w:p w14:paraId="56B83A6C">
      <w:r>
        <w:br w:type="page"/>
      </w:r>
    </w:p>
    <w:p w14:paraId="429E23BC">
      <w:pPr>
        <w:spacing w:line="640" w:lineRule="exact"/>
        <w:ind w:firstLine="640"/>
        <w:jc w:val="both"/>
        <w:outlineLvl w:val="2"/>
      </w:pPr>
      <w:r>
        <w:rPr>
          <w:rFonts w:ascii="黑体" w:hAnsi="黑体" w:eastAsia="黑体"/>
          <w:sz w:val="32"/>
        </w:rPr>
        <w:t>十二、其他需说明的事项</w:t>
      </w:r>
    </w:p>
    <w:p w14:paraId="05EAFBEF">
      <w:pPr>
        <w:spacing w:line="580" w:lineRule="exact"/>
        <w:ind w:firstLine="640"/>
        <w:jc w:val="both"/>
      </w:pPr>
      <w:r>
        <w:rPr>
          <w:rFonts w:ascii="仿宋_GB2312" w:hAnsi="仿宋_GB2312" w:eastAsia="仿宋_GB2312"/>
          <w:b w:val="0"/>
          <w:sz w:val="32"/>
        </w:rPr>
        <w:t>本单位无其他需说明的事项。</w:t>
      </w:r>
    </w:p>
    <w:p w14:paraId="14E78AC1">
      <w:r>
        <w:br w:type="page"/>
      </w:r>
    </w:p>
    <w:p w14:paraId="36C2F039">
      <w:pPr>
        <w:spacing w:line="240" w:lineRule="auto"/>
        <w:jc w:val="center"/>
        <w:outlineLvl w:val="1"/>
      </w:pPr>
      <w:r>
        <w:rPr>
          <w:rFonts w:ascii="黑体" w:hAnsi="黑体" w:eastAsia="黑体"/>
          <w:sz w:val="32"/>
        </w:rPr>
        <w:t>第三部分 专业名词解释</w:t>
      </w:r>
    </w:p>
    <w:p w14:paraId="286F9B8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02E75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593A5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BC18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632D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1383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97852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CBEB1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5D0A3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EAD7C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92BC0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777D6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D80AA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82F47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FEA92D">
      <w:r>
        <w:br w:type="page"/>
      </w:r>
    </w:p>
    <w:p w14:paraId="3D48B358">
      <w:pPr>
        <w:spacing w:line="240" w:lineRule="auto"/>
        <w:jc w:val="center"/>
        <w:outlineLvl w:val="1"/>
      </w:pPr>
      <w:r>
        <w:rPr>
          <w:rFonts w:ascii="黑体" w:hAnsi="黑体" w:eastAsia="黑体"/>
          <w:sz w:val="32"/>
        </w:rPr>
        <w:t>第四部分 部门决算报表（见附表）</w:t>
      </w:r>
    </w:p>
    <w:p w14:paraId="60E61851">
      <w:pPr>
        <w:spacing w:line="240" w:lineRule="auto"/>
        <w:ind w:firstLine="640"/>
        <w:jc w:val="both"/>
      </w:pPr>
      <w:r>
        <w:rPr>
          <w:rFonts w:ascii="仿宋_GB2312" w:hAnsi="仿宋_GB2312" w:eastAsia="仿宋_GB2312"/>
          <w:b w:val="0"/>
          <w:sz w:val="32"/>
        </w:rPr>
        <w:t>一、《收入支出决算总表》</w:t>
      </w:r>
    </w:p>
    <w:p w14:paraId="7D68561D">
      <w:pPr>
        <w:spacing w:line="240" w:lineRule="auto"/>
        <w:ind w:firstLine="640"/>
        <w:jc w:val="both"/>
      </w:pPr>
      <w:r>
        <w:rPr>
          <w:rFonts w:ascii="仿宋_GB2312" w:hAnsi="仿宋_GB2312" w:eastAsia="仿宋_GB2312"/>
          <w:b w:val="0"/>
          <w:sz w:val="32"/>
        </w:rPr>
        <w:t>二、《收入决算表》</w:t>
      </w:r>
    </w:p>
    <w:p w14:paraId="3D08378E">
      <w:pPr>
        <w:spacing w:line="240" w:lineRule="auto"/>
        <w:ind w:firstLine="640"/>
        <w:jc w:val="both"/>
      </w:pPr>
      <w:r>
        <w:rPr>
          <w:rFonts w:ascii="仿宋_GB2312" w:hAnsi="仿宋_GB2312" w:eastAsia="仿宋_GB2312"/>
          <w:b w:val="0"/>
          <w:sz w:val="32"/>
        </w:rPr>
        <w:t>三、《支出决算表》</w:t>
      </w:r>
    </w:p>
    <w:p w14:paraId="3D30D801">
      <w:pPr>
        <w:spacing w:line="240" w:lineRule="auto"/>
        <w:ind w:firstLine="640"/>
        <w:jc w:val="both"/>
      </w:pPr>
      <w:r>
        <w:rPr>
          <w:rFonts w:ascii="仿宋_GB2312" w:hAnsi="仿宋_GB2312" w:eastAsia="仿宋_GB2312"/>
          <w:b w:val="0"/>
          <w:sz w:val="32"/>
        </w:rPr>
        <w:t>四、《财政拨款收入支出决算总表》</w:t>
      </w:r>
    </w:p>
    <w:p w14:paraId="40D5D53E">
      <w:pPr>
        <w:spacing w:line="240" w:lineRule="auto"/>
        <w:ind w:firstLine="640"/>
        <w:jc w:val="both"/>
      </w:pPr>
      <w:r>
        <w:rPr>
          <w:rFonts w:ascii="仿宋_GB2312" w:hAnsi="仿宋_GB2312" w:eastAsia="仿宋_GB2312"/>
          <w:b w:val="0"/>
          <w:sz w:val="32"/>
        </w:rPr>
        <w:t>五、《一般公共预算财政拨款支出决算表》</w:t>
      </w:r>
    </w:p>
    <w:p w14:paraId="2F12B432">
      <w:pPr>
        <w:spacing w:line="240" w:lineRule="auto"/>
        <w:ind w:firstLine="640"/>
        <w:jc w:val="both"/>
      </w:pPr>
      <w:r>
        <w:rPr>
          <w:rFonts w:ascii="仿宋_GB2312" w:hAnsi="仿宋_GB2312" w:eastAsia="仿宋_GB2312"/>
          <w:b w:val="0"/>
          <w:sz w:val="32"/>
        </w:rPr>
        <w:t>六、《一般公共预算财政拨款基本支出决算表》</w:t>
      </w:r>
    </w:p>
    <w:p w14:paraId="39DE6FB9">
      <w:pPr>
        <w:spacing w:line="240" w:lineRule="auto"/>
        <w:ind w:firstLine="640"/>
        <w:jc w:val="both"/>
      </w:pPr>
      <w:r>
        <w:rPr>
          <w:rFonts w:ascii="仿宋_GB2312" w:hAnsi="仿宋_GB2312" w:eastAsia="仿宋_GB2312"/>
          <w:b w:val="0"/>
          <w:sz w:val="32"/>
        </w:rPr>
        <w:t>七、《政府性基金预算财政拨款收入支出决算表》</w:t>
      </w:r>
    </w:p>
    <w:p w14:paraId="7D8E7CCB">
      <w:pPr>
        <w:spacing w:line="240" w:lineRule="auto"/>
        <w:ind w:firstLine="640"/>
        <w:jc w:val="both"/>
      </w:pPr>
      <w:r>
        <w:rPr>
          <w:rFonts w:ascii="仿宋_GB2312" w:hAnsi="仿宋_GB2312" w:eastAsia="仿宋_GB2312"/>
          <w:b w:val="0"/>
          <w:sz w:val="32"/>
        </w:rPr>
        <w:t>八、《国有资本经营预算财政拨款收入支出决算表》</w:t>
      </w:r>
    </w:p>
    <w:p w14:paraId="7522B530">
      <w:pPr>
        <w:spacing w:line="240" w:lineRule="auto"/>
        <w:ind w:firstLine="640"/>
        <w:jc w:val="both"/>
      </w:pPr>
      <w:r>
        <w:rPr>
          <w:rFonts w:ascii="仿宋_GB2312" w:hAnsi="仿宋_GB2312" w:eastAsia="仿宋_GB2312"/>
          <w:b w:val="0"/>
          <w:sz w:val="32"/>
        </w:rPr>
        <w:t>九、《财政拨款“三公”经费支出决算表》</w:t>
      </w:r>
    </w:p>
    <w:p w14:paraId="7086AAD2">
      <w:pPr>
        <w:spacing w:line="240" w:lineRule="auto"/>
        <w:ind w:firstLine="640"/>
        <w:jc w:val="both"/>
      </w:pPr>
    </w:p>
    <w:p w14:paraId="4714D727">
      <w:pPr>
        <w:spacing w:line="240" w:lineRule="auto"/>
        <w:ind w:firstLine="640"/>
        <w:jc w:val="both"/>
      </w:pPr>
    </w:p>
    <w:p w14:paraId="325AED52">
      <w:pPr>
        <w:spacing w:line="240" w:lineRule="auto"/>
        <w:ind w:firstLine="640"/>
        <w:jc w:val="both"/>
      </w:pPr>
    </w:p>
    <w:p w14:paraId="2317475F">
      <w:pPr>
        <w:spacing w:line="240" w:lineRule="auto"/>
        <w:ind w:firstLine="640"/>
        <w:jc w:val="both"/>
      </w:pPr>
    </w:p>
    <w:p w14:paraId="7500A2E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61D3AA-753D-42EB-80D2-1DD8963CBD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D87DC43-495A-4203-B5A5-EAD6AC0E9D73}"/>
  </w:font>
  <w:font w:name="仿宋_GB2312">
    <w:altName w:val="仿宋"/>
    <w:panose1 w:val="02010609030101010101"/>
    <w:charset w:val="86"/>
    <w:family w:val="modern"/>
    <w:pitch w:val="default"/>
    <w:sig w:usb0="00000000" w:usb1="00000000" w:usb2="00000000" w:usb3="00000000" w:csb0="00040000" w:csb1="00000000"/>
    <w:embedRegular r:id="rId3" w:fontKey="{D183DACB-D19F-4608-9A01-E224B09FFC7B}"/>
  </w:font>
  <w:font w:name="楷体_GB2312">
    <w:altName w:val="楷体"/>
    <w:panose1 w:val="00000000000000000000"/>
    <w:charset w:val="00"/>
    <w:family w:val="auto"/>
    <w:pitch w:val="default"/>
    <w:sig w:usb0="00000000" w:usb1="00000000" w:usb2="00000000" w:usb3="00000000" w:csb0="00000000" w:csb1="00000000"/>
    <w:embedRegular r:id="rId4" w:fontKey="{8C2B50B2-125D-4B18-BE64-08903112C79A}"/>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7B6EC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6511</Words>
  <Characters>7417</Characters>
  <Lines>0</Lines>
  <Paragraphs>0</Paragraphs>
  <TotalTime>4</TotalTime>
  <ScaleCrop>false</ScaleCrop>
  <LinksUpToDate>false</LinksUpToDate>
  <CharactersWithSpaces>7425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2025-09-25T02:51:35Z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