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中国共产党霍城县委员会统一战线工作部2024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85AD59">
      <w:r>
        <w:br w:type="page"/>
      </w:r>
    </w:p>
    <w:p w14:paraId="3C870960">
      <w:pPr>
        <w:spacing w:line="640" w:lineRule="exact"/>
        <w:jc w:val="center"/>
        <w:outlineLvl w:val="1"/>
      </w:pPr>
      <w:r>
        <w:rPr>
          <w:rFonts w:ascii="黑体" w:hAnsi="黑体" w:eastAsia="黑体"/>
          <w:sz w:val="32"/>
        </w:rPr>
        <w:t>第一部分 单位概况</w:t>
      </w:r>
    </w:p>
    <w:p w14:paraId="1C417997">
      <w:pPr>
        <w:spacing w:line="640" w:lineRule="exact"/>
        <w:ind w:firstLine="640"/>
        <w:jc w:val="both"/>
        <w:outlineLvl w:val="2"/>
      </w:pPr>
      <w:r>
        <w:rPr>
          <w:rFonts w:ascii="黑体" w:hAnsi="黑体" w:eastAsia="黑体"/>
          <w:sz w:val="32"/>
        </w:rPr>
        <w:t>一、主要职能</w:t>
      </w:r>
    </w:p>
    <w:p w14:paraId="3526D153">
      <w:pPr>
        <w:spacing w:line="580" w:lineRule="exact"/>
        <w:ind w:firstLine="640"/>
        <w:jc w:val="both"/>
      </w:pPr>
      <w:r>
        <w:rPr>
          <w:rFonts w:ascii="仿宋_GB2312" w:hAnsi="仿宋_GB2312" w:eastAsia="仿宋_GB2312"/>
          <w:sz w:val="32"/>
        </w:rPr>
        <w:t>本单位主要职能</w:t>
      </w:r>
      <w:r>
        <w:rPr>
          <w:rFonts w:hint="eastAsia" w:ascii="仿宋_GB2312" w:hAnsi="仿宋_GB2312" w:eastAsia="仿宋_GB2312"/>
          <w:sz w:val="32"/>
          <w:lang w:val="en-US" w:eastAsia="zh-CN"/>
        </w:rPr>
        <w:t>SM</w:t>
      </w:r>
      <w:r>
        <w:rPr>
          <w:rFonts w:ascii="仿宋_GB2312" w:hAnsi="仿宋_GB2312" w:eastAsia="仿宋_GB2312"/>
          <w:sz w:val="32"/>
        </w:rPr>
        <w:t>不予公开。</w:t>
      </w:r>
    </w:p>
    <w:p w14:paraId="0BF37681">
      <w:pPr>
        <w:spacing w:line="640" w:lineRule="exact"/>
        <w:ind w:firstLine="640"/>
        <w:jc w:val="both"/>
        <w:outlineLvl w:val="2"/>
      </w:pPr>
      <w:r>
        <w:rPr>
          <w:rFonts w:ascii="黑体" w:hAnsi="黑体" w:eastAsia="黑体"/>
          <w:sz w:val="32"/>
        </w:rPr>
        <w:t>二、机构设置及人员情况</w:t>
      </w:r>
    </w:p>
    <w:p w14:paraId="0E640CCD">
      <w:pPr>
        <w:spacing w:line="580" w:lineRule="exact"/>
        <w:ind w:firstLine="640"/>
        <w:jc w:val="both"/>
      </w:pPr>
      <w:r>
        <w:rPr>
          <w:rFonts w:ascii="仿宋_GB2312" w:hAnsi="仿宋_GB2312" w:eastAsia="仿宋_GB2312"/>
          <w:sz w:val="32"/>
        </w:rPr>
        <w:t>中国共产党霍城县委员会统一战线工作部2024年度，实有人数26人，其中：在职人员14人，增加0人；离休人员0人，增加0人；退休人员12人,增加1人。</w:t>
      </w:r>
    </w:p>
    <w:p w14:paraId="54A25F80">
      <w:pPr>
        <w:spacing w:line="580" w:lineRule="exact"/>
        <w:ind w:firstLine="640"/>
        <w:jc w:val="both"/>
      </w:pPr>
      <w:r>
        <w:rPr>
          <w:rFonts w:ascii="仿宋_GB2312" w:hAnsi="仿宋_GB2312" w:eastAsia="仿宋_GB2312"/>
          <w:sz w:val="32"/>
        </w:rPr>
        <w:t>中国共产党霍城县委员会统一战线工作部无下属预算单位，下设4个科室，分别是：办公室、宗教科、民族与经济科、侨务科。</w:t>
      </w:r>
    </w:p>
    <w:p w14:paraId="3C9C919B">
      <w:r>
        <w:br w:type="page"/>
      </w:r>
    </w:p>
    <w:p w14:paraId="44A8C7E1">
      <w:pPr>
        <w:spacing w:line="240" w:lineRule="auto"/>
        <w:jc w:val="center"/>
        <w:outlineLvl w:val="1"/>
      </w:pPr>
      <w:r>
        <w:rPr>
          <w:rFonts w:ascii="黑体" w:hAnsi="黑体" w:eastAsia="黑体"/>
          <w:sz w:val="32"/>
        </w:rPr>
        <w:t>第二部分 部门决算情况说明</w:t>
      </w:r>
    </w:p>
    <w:p w14:paraId="2FC63EB5">
      <w:pPr>
        <w:spacing w:line="640" w:lineRule="exact"/>
        <w:ind w:firstLine="640"/>
        <w:jc w:val="both"/>
        <w:outlineLvl w:val="2"/>
      </w:pPr>
      <w:r>
        <w:rPr>
          <w:rFonts w:ascii="黑体" w:hAnsi="黑体" w:eastAsia="黑体"/>
          <w:sz w:val="32"/>
        </w:rPr>
        <w:t>一、收入支出决算总体情况说明</w:t>
      </w:r>
    </w:p>
    <w:p w14:paraId="203C64AF">
      <w:pPr>
        <w:spacing w:line="580" w:lineRule="exact"/>
        <w:ind w:firstLine="640"/>
        <w:jc w:val="both"/>
      </w:pPr>
      <w:r>
        <w:rPr>
          <w:rFonts w:ascii="仿宋_GB2312" w:hAnsi="仿宋_GB2312" w:eastAsia="仿宋_GB2312"/>
          <w:b/>
          <w:sz w:val="32"/>
        </w:rPr>
        <w:t>2024年度收入总计2,702.10万元，</w:t>
      </w:r>
      <w:r>
        <w:rPr>
          <w:rFonts w:ascii="仿宋_GB2312" w:hAnsi="仿宋_GB2312" w:eastAsia="仿宋_GB2312"/>
          <w:b w:val="0"/>
          <w:sz w:val="32"/>
        </w:rPr>
        <w:t>其中：本年收入合计2,700.60万元，使用非财政拨款结余（含专用结余）0.00万元，年初结转和结余1.50万元。</w:t>
      </w:r>
    </w:p>
    <w:p w14:paraId="328856CF">
      <w:pPr>
        <w:spacing w:line="580" w:lineRule="exact"/>
        <w:ind w:firstLine="640"/>
        <w:jc w:val="both"/>
      </w:pPr>
      <w:r>
        <w:rPr>
          <w:rFonts w:ascii="仿宋_GB2312" w:hAnsi="仿宋_GB2312" w:eastAsia="仿宋_GB2312"/>
          <w:b/>
          <w:sz w:val="32"/>
        </w:rPr>
        <w:t>2024年度支出总计2,702.10万元，</w:t>
      </w:r>
      <w:r>
        <w:rPr>
          <w:rFonts w:ascii="仿宋_GB2312" w:hAnsi="仿宋_GB2312" w:eastAsia="仿宋_GB2312"/>
          <w:b w:val="0"/>
          <w:sz w:val="32"/>
        </w:rPr>
        <w:t>其中：本年支出合计2,702.10万元，结余分配0.00万元，年末结转和结余0.00万元。</w:t>
      </w:r>
    </w:p>
    <w:p w14:paraId="1ECD1051">
      <w:pPr>
        <w:spacing w:line="580" w:lineRule="exact"/>
        <w:ind w:firstLine="640"/>
        <w:jc w:val="both"/>
      </w:pPr>
      <w:r>
        <w:rPr>
          <w:rFonts w:ascii="仿宋_GB2312" w:hAnsi="仿宋_GB2312" w:eastAsia="仿宋_GB2312"/>
          <w:b w:val="0"/>
          <w:sz w:val="32"/>
        </w:rPr>
        <w:t>收入支出总体与上年相比，减少558.76万元，下降17.14%，主要原因是：2024年民贸民品贷款贴息资金较上年减少，中央财政衔接推进乡村振兴补助资金较上年减少。</w:t>
      </w:r>
    </w:p>
    <w:p w14:paraId="74D2DC50">
      <w:pPr>
        <w:spacing w:line="640" w:lineRule="exact"/>
        <w:ind w:firstLine="640"/>
        <w:jc w:val="both"/>
        <w:outlineLvl w:val="2"/>
      </w:pPr>
      <w:r>
        <w:rPr>
          <w:rFonts w:ascii="黑体" w:hAnsi="黑体" w:eastAsia="黑体"/>
          <w:sz w:val="32"/>
        </w:rPr>
        <w:t>二、收入决算情况说明</w:t>
      </w:r>
    </w:p>
    <w:p w14:paraId="6A3B4192">
      <w:pPr>
        <w:spacing w:line="580" w:lineRule="exact"/>
        <w:ind w:firstLine="640"/>
        <w:jc w:val="both"/>
      </w:pPr>
      <w:r>
        <w:rPr>
          <w:rFonts w:ascii="仿宋_GB2312" w:hAnsi="仿宋_GB2312" w:eastAsia="仿宋_GB2312"/>
          <w:b/>
          <w:sz w:val="32"/>
        </w:rPr>
        <w:t>本年收入2,700.60万元，</w:t>
      </w:r>
      <w:r>
        <w:rPr>
          <w:rFonts w:ascii="仿宋_GB2312" w:hAnsi="仿宋_GB2312" w:eastAsia="仿宋_GB2312"/>
          <w:b w:val="0"/>
          <w:sz w:val="32"/>
        </w:rPr>
        <w:t>其中：财政拨款收入2,698.60万元，占99.93%；上级补助收入0.00万元，占0.00%；事业收入0.00万元，占0.00%；经营收入0.00万元，占0.00%；附属单位上缴收入0.00万元，占0.00%；其他收入2.00万元，占0.07%。</w:t>
      </w:r>
    </w:p>
    <w:p w14:paraId="7FACA1FA">
      <w:pPr>
        <w:spacing w:line="640" w:lineRule="exact"/>
        <w:ind w:firstLine="640"/>
        <w:jc w:val="both"/>
        <w:outlineLvl w:val="2"/>
      </w:pPr>
      <w:r>
        <w:rPr>
          <w:rFonts w:ascii="黑体" w:hAnsi="黑体" w:eastAsia="黑体"/>
          <w:sz w:val="32"/>
        </w:rPr>
        <w:t>三、支出决算情况说明</w:t>
      </w:r>
    </w:p>
    <w:p w14:paraId="319E8970">
      <w:pPr>
        <w:spacing w:line="580" w:lineRule="exact"/>
        <w:ind w:firstLine="640"/>
        <w:jc w:val="both"/>
      </w:pPr>
      <w:r>
        <w:rPr>
          <w:rFonts w:ascii="仿宋_GB2312" w:hAnsi="仿宋_GB2312" w:eastAsia="仿宋_GB2312"/>
          <w:b/>
          <w:sz w:val="32"/>
        </w:rPr>
        <w:t>本年支出2,702.10万元，</w:t>
      </w:r>
      <w:r>
        <w:rPr>
          <w:rFonts w:ascii="仿宋_GB2312" w:hAnsi="仿宋_GB2312" w:eastAsia="仿宋_GB2312"/>
          <w:b w:val="0"/>
          <w:sz w:val="32"/>
        </w:rPr>
        <w:t>其中：基本支出942.32万元，占34.87%；项目支出1,759.79万元，占65.13%；上缴上级支出0.00万元，占0.00%；经营支出0.00万元，占0.00%；对附属单位补助支出0.00万元，占0.00%。</w:t>
      </w:r>
    </w:p>
    <w:p w14:paraId="04348EF2">
      <w:pPr>
        <w:spacing w:line="640" w:lineRule="exact"/>
        <w:ind w:firstLine="640"/>
        <w:jc w:val="both"/>
        <w:outlineLvl w:val="2"/>
      </w:pPr>
      <w:r>
        <w:rPr>
          <w:rFonts w:ascii="黑体" w:hAnsi="黑体" w:eastAsia="黑体"/>
          <w:sz w:val="32"/>
        </w:rPr>
        <w:t>四、财政拨款收入支出决算总体情况说明</w:t>
      </w:r>
    </w:p>
    <w:p w14:paraId="57F4523C">
      <w:pPr>
        <w:spacing w:line="580" w:lineRule="exact"/>
        <w:ind w:firstLine="640"/>
        <w:jc w:val="both"/>
      </w:pPr>
      <w:r>
        <w:rPr>
          <w:rFonts w:ascii="仿宋_GB2312" w:hAnsi="仿宋_GB2312" w:eastAsia="仿宋_GB2312"/>
          <w:b/>
          <w:sz w:val="32"/>
        </w:rPr>
        <w:t>2024年度财政拨款收入总计2,698.60万元，</w:t>
      </w:r>
      <w:r>
        <w:rPr>
          <w:rFonts w:ascii="仿宋_GB2312" w:hAnsi="仿宋_GB2312" w:eastAsia="仿宋_GB2312"/>
          <w:b w:val="0"/>
          <w:sz w:val="32"/>
        </w:rPr>
        <w:t>其中：年初财政拨款结转和结余0.00万元，本年财政拨款收入2,698.60万元。</w:t>
      </w:r>
      <w:r>
        <w:rPr>
          <w:rFonts w:ascii="仿宋_GB2312" w:hAnsi="仿宋_GB2312" w:eastAsia="仿宋_GB2312"/>
          <w:b/>
          <w:sz w:val="32"/>
        </w:rPr>
        <w:t>财政拨款支出总计2,698.60万元，</w:t>
      </w:r>
      <w:r>
        <w:rPr>
          <w:rFonts w:ascii="仿宋_GB2312" w:hAnsi="仿宋_GB2312" w:eastAsia="仿宋_GB2312"/>
          <w:b w:val="0"/>
          <w:sz w:val="32"/>
        </w:rPr>
        <w:t>其中：年末财政拨款结转和结余0.00万元，本年财政拨款支出2,698.60万元。</w:t>
      </w:r>
    </w:p>
    <w:p w14:paraId="0B3B9C4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减少559.35万元，下降17.17%，主要原因是：2024年民贸民品贷款贴息资金较上年减少，中央财政衔接推进乡村振兴补助资金较上年减少。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年初预算数2,076.83万元，决算数2,698.60万元，预决算差异率29.94%，主要原因是：年中追加民贸民品贷款贴息资金、巩固拓展脱贫攻坚成果衔接乡村振兴资金，导致预决算存在差异。</w:t>
      </w:r>
    </w:p>
    <w:p w14:paraId="5AAB5979">
      <w:pPr>
        <w:spacing w:line="640" w:lineRule="exact"/>
        <w:ind w:firstLine="640"/>
        <w:jc w:val="both"/>
        <w:outlineLvl w:val="2"/>
      </w:pPr>
      <w:r>
        <w:rPr>
          <w:rFonts w:ascii="黑体" w:hAnsi="黑体" w:eastAsia="黑体"/>
          <w:sz w:val="32"/>
        </w:rPr>
        <w:t>五、一般公共预算财政拨款支出决算情况说明</w:t>
      </w:r>
    </w:p>
    <w:p w14:paraId="3E13C2F4">
      <w:pPr>
        <w:spacing w:line="640" w:lineRule="exact"/>
        <w:ind w:firstLine="640"/>
        <w:jc w:val="both"/>
        <w:outlineLvl w:val="3"/>
      </w:pPr>
      <w:r>
        <w:rPr>
          <w:rFonts w:ascii="楷体_GB2312" w:hAnsi="楷体_GB2312" w:eastAsia="楷体_GB2312"/>
          <w:b/>
          <w:sz w:val="32"/>
        </w:rPr>
        <w:t>（一）一般公共预算财政拨款支出决算总体情况</w:t>
      </w:r>
    </w:p>
    <w:p w14:paraId="311AA468">
      <w:pPr>
        <w:spacing w:line="580" w:lineRule="exact"/>
        <w:ind w:firstLine="640"/>
        <w:jc w:val="both"/>
      </w:pPr>
      <w:r>
        <w:rPr>
          <w:rFonts w:ascii="仿宋_GB2312" w:hAnsi="仿宋_GB2312" w:eastAsia="仿宋_GB2312"/>
          <w:b/>
          <w:sz w:val="32"/>
        </w:rPr>
        <w:t>2024年度一般公共预算财政拨款支出2,698.60万元，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减少559.35万元，下降17.17%，主要原因是：2024年民贸民品贷款贴息资金较上年减少，中央财政衔接推进乡村振兴补助资金较上年减少。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年初预算数2,076.83万元，决算数2,698.60万元，预决算差异率29.94%，主要原因是：年中追加民贸民品贷款贴息资金、巩固脱贫攻坚成果衔接乡村振兴资金，导致预决算存在差异。</w:t>
      </w:r>
    </w:p>
    <w:p w14:paraId="348BDBBF">
      <w:pPr>
        <w:spacing w:line="640" w:lineRule="exact"/>
        <w:ind w:firstLine="640"/>
        <w:jc w:val="both"/>
        <w:outlineLvl w:val="3"/>
      </w:pPr>
      <w:r>
        <w:rPr>
          <w:rFonts w:ascii="楷体_GB2312" w:hAnsi="楷体_GB2312" w:eastAsia="楷体_GB2312"/>
          <w:b/>
          <w:sz w:val="32"/>
        </w:rPr>
        <w:t>（二）一般公共预算财政拨款支出决算结构情况</w:t>
      </w:r>
    </w:p>
    <w:p w14:paraId="748EAF30">
      <w:pPr>
        <w:spacing w:line="580" w:lineRule="exact"/>
        <w:ind w:firstLine="640"/>
        <w:jc w:val="both"/>
      </w:pPr>
      <w:r>
        <w:rPr>
          <w:rFonts w:ascii="仿宋_GB2312" w:hAnsi="仿宋_GB2312" w:eastAsia="仿宋_GB2312"/>
          <w:b w:val="0"/>
          <w:sz w:val="32"/>
        </w:rPr>
        <w:t>1.一般公共服务支出(类)496.64万元,占18.40%。</w:t>
      </w:r>
    </w:p>
    <w:p w14:paraId="2E644359">
      <w:pPr>
        <w:spacing w:line="580" w:lineRule="exact"/>
        <w:ind w:firstLine="640"/>
        <w:jc w:val="both"/>
      </w:pPr>
      <w:r>
        <w:rPr>
          <w:rFonts w:ascii="仿宋_GB2312" w:hAnsi="仿宋_GB2312" w:eastAsia="仿宋_GB2312"/>
          <w:b w:val="0"/>
          <w:sz w:val="32"/>
        </w:rPr>
        <w:t>2.社会保障和就业支出(类)42.44万元,占1.57%。</w:t>
      </w:r>
    </w:p>
    <w:p w14:paraId="4040582A">
      <w:pPr>
        <w:spacing w:line="580" w:lineRule="exact"/>
        <w:ind w:firstLine="640"/>
        <w:jc w:val="both"/>
      </w:pPr>
      <w:r>
        <w:rPr>
          <w:rFonts w:ascii="仿宋_GB2312" w:hAnsi="仿宋_GB2312" w:eastAsia="仿宋_GB2312"/>
          <w:b w:val="0"/>
          <w:sz w:val="32"/>
        </w:rPr>
        <w:t>3.卫生健康支出(类)13.50万元,占0.50%。</w:t>
      </w:r>
    </w:p>
    <w:p w14:paraId="6C53F740">
      <w:pPr>
        <w:spacing w:line="580" w:lineRule="exact"/>
        <w:ind w:firstLine="640"/>
        <w:jc w:val="both"/>
      </w:pPr>
      <w:r>
        <w:rPr>
          <w:rFonts w:ascii="仿宋_GB2312" w:hAnsi="仿宋_GB2312" w:eastAsia="仿宋_GB2312"/>
          <w:b w:val="0"/>
          <w:sz w:val="32"/>
        </w:rPr>
        <w:t>4.农林水支出(类)1,759.79万元,占65.21%。</w:t>
      </w:r>
    </w:p>
    <w:p w14:paraId="00DAEFFC">
      <w:pPr>
        <w:spacing w:line="580" w:lineRule="exact"/>
        <w:ind w:firstLine="640"/>
        <w:jc w:val="both"/>
      </w:pPr>
      <w:r>
        <w:rPr>
          <w:rFonts w:ascii="仿宋_GB2312" w:hAnsi="仿宋_GB2312" w:eastAsia="仿宋_GB2312"/>
          <w:b w:val="0"/>
          <w:sz w:val="32"/>
        </w:rPr>
        <w:t>5.商业服务业等支出(类)366.75万元,占13.59%。</w:t>
      </w:r>
    </w:p>
    <w:p w14:paraId="08C6C3E4">
      <w:pPr>
        <w:spacing w:line="580" w:lineRule="exact"/>
        <w:ind w:firstLine="640"/>
        <w:jc w:val="both"/>
      </w:pPr>
      <w:r>
        <w:rPr>
          <w:rFonts w:ascii="仿宋_GB2312" w:hAnsi="仿宋_GB2312" w:eastAsia="仿宋_GB2312"/>
          <w:b w:val="0"/>
          <w:sz w:val="32"/>
        </w:rPr>
        <w:t>6.住房保障支出(类)19.48万元,占0.72%。</w:t>
      </w:r>
    </w:p>
    <w:p w14:paraId="60560E8D">
      <w:pPr>
        <w:spacing w:line="640" w:lineRule="exact"/>
        <w:ind w:firstLine="640"/>
        <w:jc w:val="both"/>
        <w:outlineLvl w:val="3"/>
      </w:pPr>
      <w:r>
        <w:rPr>
          <w:rFonts w:ascii="楷体_GB2312" w:hAnsi="楷体_GB2312" w:eastAsia="楷体_GB2312"/>
          <w:b/>
          <w:sz w:val="32"/>
        </w:rPr>
        <w:t>（三）一般公共预算财政拨款支出决算具体情况</w:t>
      </w:r>
    </w:p>
    <w:p w14:paraId="53F98D88">
      <w:pPr>
        <w:spacing w:line="580" w:lineRule="exact"/>
        <w:ind w:firstLine="640"/>
        <w:jc w:val="both"/>
      </w:pPr>
      <w:r>
        <w:rPr>
          <w:rFonts w:ascii="仿宋_GB2312" w:hAnsi="仿宋_GB2312" w:eastAsia="仿宋_GB2312"/>
          <w:b w:val="0"/>
          <w:sz w:val="32"/>
        </w:rPr>
        <w:t>1.一般公共服务支出(类)统战事务(款)行政运行(项):支出决算数为184.50万元，比上年决算减少18.21万元，下降8.98%,主要原因是：本年在职人员调入调出，人员职级不同，工资基数不同，导致人员经费较上年减少。</w:t>
      </w:r>
    </w:p>
    <w:p w14:paraId="1363F331">
      <w:pPr>
        <w:spacing w:line="580" w:lineRule="exact"/>
        <w:ind w:firstLine="640"/>
        <w:jc w:val="both"/>
      </w:pPr>
      <w:r>
        <w:rPr>
          <w:rFonts w:ascii="仿宋_GB2312" w:hAnsi="仿宋_GB2312" w:eastAsia="仿宋_GB2312"/>
          <w:b w:val="0"/>
          <w:sz w:val="32"/>
        </w:rPr>
        <w:t>2.一般公共服务支出(类)统战事务(款)宗教事务(项):支出决算数为309.14万元，比上年决算增加143.62万元，增长86.77%,主要原因是：本年度科目调整，2024年教职人员补助、管委会干部补助从其他统战事务支出(项)调整至宗教事务(项），经费较上年增加。</w:t>
      </w:r>
    </w:p>
    <w:p w14:paraId="3D494B5A">
      <w:pPr>
        <w:spacing w:line="580" w:lineRule="exact"/>
        <w:ind w:firstLine="640"/>
        <w:jc w:val="both"/>
      </w:pPr>
      <w:r>
        <w:rPr>
          <w:rFonts w:ascii="仿宋_GB2312" w:hAnsi="仿宋_GB2312" w:eastAsia="仿宋_GB2312"/>
          <w:b w:val="0"/>
          <w:sz w:val="32"/>
        </w:rPr>
        <w:t>3.一般公共服务支出(类)统战事务(款)其他统战事务支出(项):支出决算数为3.00万元，比上年决算减少102.87万元，下降97.17%,主要原因是：本年度科目调整，2024年教职人员补助、管委会干部补助从其他统战事务支出(项)调整至宗教事务(项)，经费较上年减少。</w:t>
      </w:r>
    </w:p>
    <w:p w14:paraId="3CD91CA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4.社会保障和就业支出(类)行政事业单位养老支出(款)行政单位离退休(项):支出决算数为8.70万元，比上年决算增加5.97万元，增长218.68%,主要原因是：本年退休人员增加，退休费支出增加。</w:t>
      </w:r>
    </w:p>
    <w:p w14:paraId="796A36B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26.56万元，比上年决算增加1.66万元，增长6.67%,主要原因是：本年在职人员工资基数调增，养老缴费基数上涨，相应支出增加。</w:t>
      </w:r>
    </w:p>
    <w:p w14:paraId="107910A8">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6.社会保障和就业支出(类)行政事业单位养老支出(款)机关事业单位职业年金缴费支出(项):支出决算数为7.18万元，比上年决算增加7.18万元，增长100.00%,主要原因是：本年新增退休人员，职业年金缴费支出增加。</w:t>
      </w:r>
    </w:p>
    <w:p w14:paraId="5E40D995">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7.社会保障和就业支出(类)抚恤(款)死亡抚恤(项):支出决算数为0.00万元，比上年决算减少21.76万元，下降100.00%,主要原因是：本年无新增死亡人员，死亡抚恤支出较上年减少。</w:t>
      </w:r>
    </w:p>
    <w:p w14:paraId="6466D936">
      <w:pPr>
        <w:spacing w:line="580" w:lineRule="exact"/>
        <w:ind w:firstLine="640"/>
        <w:jc w:val="both"/>
      </w:pPr>
      <w:r>
        <w:rPr>
          <w:rFonts w:ascii="仿宋_GB2312" w:hAnsi="仿宋_GB2312" w:eastAsia="仿宋_GB2312"/>
          <w:b w:val="0"/>
          <w:sz w:val="32"/>
        </w:rPr>
        <w:t>8.卫生健康支出(类)行政事业单位医疗(款)行政单位医疗(项):支出决算数为13.22万元，比上年决算减少4.33万元，下降24.67%,主要原因是：本年在职人员调入调出，人员职级不同，缴费基数不同，导致行政单位医疗较上年减少。</w:t>
      </w:r>
    </w:p>
    <w:p w14:paraId="640B90C1">
      <w:pPr>
        <w:spacing w:line="580" w:lineRule="exact"/>
        <w:ind w:firstLine="640"/>
        <w:jc w:val="both"/>
      </w:pPr>
      <w:r>
        <w:rPr>
          <w:rFonts w:ascii="仿宋_GB2312" w:hAnsi="仿宋_GB2312" w:eastAsia="仿宋_GB2312"/>
          <w:b w:val="0"/>
          <w:sz w:val="32"/>
        </w:rPr>
        <w:t>9.卫生健康支出(类)行政事业单位医疗(款)公务员医疗补助(项):支出决算数为0.28万元，比上年决算减少0.66万元，下降70.21%,主要原因是：因退休人员医疗保险制度改革，退休人员基本医疗不再由单位缴纳，导致经费较上年减少。</w:t>
      </w:r>
    </w:p>
    <w:p w14:paraId="379E26E1">
      <w:pPr>
        <w:spacing w:line="580" w:lineRule="exact"/>
        <w:ind w:firstLine="640"/>
        <w:jc w:val="both"/>
      </w:pPr>
      <w:r>
        <w:rPr>
          <w:rFonts w:ascii="仿宋_GB2312" w:hAnsi="仿宋_GB2312" w:eastAsia="仿宋_GB2312"/>
          <w:b w:val="0"/>
          <w:sz w:val="32"/>
        </w:rPr>
        <w:t>10.农林水支出(类)巩固脱贫攻坚成果衔接乡村振兴(款)农村基础设施建设(项):支出决算数为1,491.82万元，比上年决算增加1,491.82万元，增长100.00%,主要原因是：本年度科目调整，2024年中央财政衔接推进乡村振兴补助项目资金从生产发展(项)调整至农村基础设施建设(项)，经费较上年增加。</w:t>
      </w:r>
    </w:p>
    <w:p w14:paraId="689B0590">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73.45万元，比上年决算减少2,109.10万元，下降96.63%,主要原因是：本年度科目调整，2024年中央财政衔接推进乡村振兴补助项目资金从生产发展(项)调整至农村基础设施建设(项)，经费较上年减少。</w:t>
      </w:r>
    </w:p>
    <w:p w14:paraId="2CE34D03">
      <w:pPr>
        <w:spacing w:line="580" w:lineRule="exact"/>
        <w:ind w:firstLine="640"/>
        <w:jc w:val="both"/>
      </w:pPr>
      <w:r>
        <w:rPr>
          <w:rFonts w:ascii="仿宋_GB2312" w:hAnsi="仿宋_GB2312" w:eastAsia="仿宋_GB2312"/>
          <w:b w:val="0"/>
          <w:sz w:val="32"/>
        </w:rPr>
        <w:t>12.农林水支出(类)巩固脱贫攻坚成果衔接乡村振兴(款)其他巩固脱贫攻坚成果衔接乡村振兴支出(项):支出决算数为194.51万元，比上年决算增加153.53万元，增长374.65%,主要原因是：本年度科目调整，2024年中央财政衔接推进乡村振兴补助项目资金从生产发展(项)调整至其他巩固脱贫攻坚成果衔接乡村振兴支出(项)，经费较上年增加。</w:t>
      </w:r>
    </w:p>
    <w:p w14:paraId="315BF4DB">
      <w:pPr>
        <w:spacing w:line="580" w:lineRule="exact"/>
        <w:ind w:firstLine="640"/>
        <w:jc w:val="both"/>
      </w:pPr>
      <w:r>
        <w:rPr>
          <w:rFonts w:ascii="仿宋_GB2312" w:hAnsi="仿宋_GB2312" w:eastAsia="仿宋_GB2312"/>
          <w:b w:val="0"/>
          <w:sz w:val="32"/>
        </w:rPr>
        <w:t>13.商业服务业等支出(类)商业流通事务(款)民贸民品贷款贴息(项):支出决算数为366.75万元，比上年决算减少106.12万元，下降22.44%,主要原因是：2024年民贸民品贴息贷款金额减少。</w:t>
      </w:r>
    </w:p>
    <w:p w14:paraId="0DA1E4EF">
      <w:pPr>
        <w:spacing w:line="580" w:lineRule="exact"/>
        <w:ind w:firstLine="640"/>
        <w:jc w:val="both"/>
      </w:pPr>
      <w:r>
        <w:rPr>
          <w:rFonts w:ascii="仿宋_GB2312" w:hAnsi="仿宋_GB2312" w:eastAsia="仿宋_GB2312"/>
          <w:b w:val="0"/>
          <w:sz w:val="32"/>
        </w:rPr>
        <w:t>14.住房保障支出(类)住房改革支出(款)住房公积金(项):支出决算数为19.48万元，比上年决算减少0.09万元，下降0.46%,主要原因是：本年在职人员调入调出，人员职级不同，缴费基数不同，导致住房公积金较上年减少。</w:t>
      </w:r>
    </w:p>
    <w:p w14:paraId="3B51B9D5">
      <w:pPr>
        <w:spacing w:line="640" w:lineRule="exact"/>
        <w:ind w:firstLine="640"/>
        <w:jc w:val="both"/>
        <w:outlineLvl w:val="2"/>
      </w:pPr>
      <w:r>
        <w:rPr>
          <w:rFonts w:ascii="黑体" w:hAnsi="黑体" w:eastAsia="黑体"/>
          <w:sz w:val="32"/>
        </w:rPr>
        <w:t>六、一般公共预算财政拨款基本支出决算情况说明</w:t>
      </w:r>
    </w:p>
    <w:p w14:paraId="5C37E5B5">
      <w:pPr>
        <w:spacing w:line="580" w:lineRule="exact"/>
        <w:ind w:firstLine="640"/>
        <w:jc w:val="both"/>
      </w:pPr>
      <w:r>
        <w:rPr>
          <w:rFonts w:ascii="仿宋_GB2312" w:hAnsi="仿宋_GB2312" w:eastAsia="仿宋_GB2312"/>
          <w:b w:val="0"/>
          <w:sz w:val="32"/>
        </w:rPr>
        <w:t>2024年度一般公共预算财政拨款基本支出938.82万元，其中：</w:t>
      </w:r>
      <w:r>
        <w:rPr>
          <w:rFonts w:ascii="仿宋_GB2312" w:hAnsi="仿宋_GB2312" w:eastAsia="仿宋_GB2312"/>
          <w:b/>
          <w:sz w:val="32"/>
        </w:rPr>
        <w:t>人员经费502.63万元，</w:t>
      </w:r>
      <w:r>
        <w:rPr>
          <w:rFonts w:ascii="仿宋_GB2312" w:hAnsi="仿宋_GB2312" w:eastAsia="仿宋_GB2312"/>
          <w:b w:val="0"/>
          <w:sz w:val="32"/>
        </w:rPr>
        <w:t>包括：基本工资、津贴补贴、奖金、机关事业单位基本养老保险缴费、职业年金缴费、职工基本医疗保险缴费、公务员医疗补助缴费、住房公积金、其他工资福利支出、退休费、生活补助。</w:t>
      </w:r>
    </w:p>
    <w:p w14:paraId="7610A37F">
      <w:pPr>
        <w:spacing w:line="580" w:lineRule="exact"/>
        <w:ind w:firstLine="640"/>
        <w:jc w:val="both"/>
      </w:pPr>
      <w:r>
        <w:rPr>
          <w:rFonts w:ascii="仿宋_GB2312" w:hAnsi="仿宋_GB2312" w:eastAsia="仿宋_GB2312"/>
          <w:b/>
          <w:sz w:val="32"/>
        </w:rPr>
        <w:t>公用经费436.18万元，</w:t>
      </w:r>
      <w:r>
        <w:rPr>
          <w:rFonts w:ascii="仿宋_GB2312" w:hAnsi="仿宋_GB2312" w:eastAsia="仿宋_GB2312"/>
          <w:b w:val="0"/>
          <w:sz w:val="32"/>
        </w:rPr>
        <w:t>包括：办公费、邮电费、差旅费、劳务费、工会经费、福利费、公务用车运行维护费、利息补贴。</w:t>
      </w:r>
    </w:p>
    <w:p w14:paraId="332397DE">
      <w:pPr>
        <w:spacing w:line="640" w:lineRule="exact"/>
        <w:ind w:firstLine="640"/>
        <w:jc w:val="both"/>
        <w:outlineLvl w:val="2"/>
      </w:pPr>
      <w:r>
        <w:rPr>
          <w:rFonts w:ascii="黑体" w:hAnsi="黑体" w:eastAsia="黑体"/>
          <w:sz w:val="32"/>
        </w:rPr>
        <w:t>七、政府性基金预算财政拨款收入支出决算情况说明</w:t>
      </w:r>
    </w:p>
    <w:p w14:paraId="51F1798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C8AFD9">
      <w:pPr>
        <w:spacing w:line="640" w:lineRule="exact"/>
        <w:ind w:firstLine="640"/>
        <w:jc w:val="both"/>
        <w:outlineLvl w:val="2"/>
      </w:pPr>
      <w:r>
        <w:rPr>
          <w:rFonts w:ascii="黑体" w:hAnsi="黑体" w:eastAsia="黑体"/>
          <w:sz w:val="32"/>
        </w:rPr>
        <w:t>八、国有资本经营预算财政拨款收入支出决算情况说明</w:t>
      </w:r>
    </w:p>
    <w:p w14:paraId="255326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A05D76">
      <w:pPr>
        <w:spacing w:line="640" w:lineRule="exact"/>
        <w:ind w:firstLine="640"/>
        <w:jc w:val="both"/>
        <w:outlineLvl w:val="2"/>
      </w:pPr>
      <w:r>
        <w:rPr>
          <w:rFonts w:ascii="黑体" w:hAnsi="黑体" w:eastAsia="黑体"/>
          <w:sz w:val="32"/>
        </w:rPr>
        <w:t>九、财政拨款“三公”经费支出决算情况说明</w:t>
      </w:r>
    </w:p>
    <w:p w14:paraId="7230766F">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减少0.54万元，下降15.25%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3.00万元，占100.00%，比上年减少0.54万元，下降15.25%，主要原因是：严格落实中央八项规定精神，厉行节约，减少公务用车运行维护费。公务接待费支出0.00万元，占0.00%，比上年增加0.00万元，增长0.00%，主要原因是：2023年与2024年均未安排公务接待费支出。</w:t>
      </w:r>
    </w:p>
    <w:p w14:paraId="2D54CBAD">
      <w:pPr>
        <w:spacing w:line="580" w:lineRule="exact"/>
        <w:ind w:firstLine="640"/>
        <w:jc w:val="both"/>
      </w:pPr>
      <w:r>
        <w:rPr>
          <w:rFonts w:ascii="仿宋_GB2312" w:hAnsi="仿宋_GB2312" w:eastAsia="仿宋_GB2312"/>
          <w:b/>
          <w:sz w:val="32"/>
        </w:rPr>
        <w:t>具体情况如下：</w:t>
      </w:r>
    </w:p>
    <w:p w14:paraId="299DFC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B87ECD">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1D6F5AB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643CE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1D929DF0">
      <w:pPr>
        <w:spacing w:line="640" w:lineRule="exact"/>
        <w:ind w:firstLine="640"/>
        <w:jc w:val="both"/>
        <w:outlineLvl w:val="2"/>
      </w:pPr>
      <w:r>
        <w:rPr>
          <w:rFonts w:ascii="黑体" w:hAnsi="黑体" w:eastAsia="黑体"/>
          <w:sz w:val="32"/>
        </w:rPr>
        <w:t>十、其他重要事项的情况说明</w:t>
      </w:r>
    </w:p>
    <w:p w14:paraId="18713B96">
      <w:pPr>
        <w:spacing w:line="640" w:lineRule="exact"/>
        <w:ind w:firstLine="640"/>
        <w:jc w:val="both"/>
        <w:outlineLvl w:val="3"/>
      </w:pPr>
      <w:r>
        <w:rPr>
          <w:rFonts w:ascii="楷体_GB2312" w:hAnsi="楷体_GB2312" w:eastAsia="楷体_GB2312"/>
          <w:b/>
          <w:sz w:val="32"/>
        </w:rPr>
        <w:t>（一）机关运行经费及公用经费支出情况</w:t>
      </w:r>
    </w:p>
    <w:p w14:paraId="785C693C">
      <w:pPr>
        <w:spacing w:line="580" w:lineRule="exact"/>
        <w:ind w:firstLine="640"/>
        <w:jc w:val="both"/>
      </w:pPr>
      <w:r>
        <w:rPr>
          <w:rFonts w:ascii="仿宋_GB2312" w:hAnsi="仿宋_GB2312" w:eastAsia="仿宋_GB2312"/>
          <w:b w:val="0"/>
          <w:sz w:val="32"/>
        </w:rPr>
        <w:t>2024年度中国共产党霍城县委员会统一战线工作部（行政单位和参照公务员法管理事业单位）机关运行经费支出436.18万元，比上年减少73.23万元，下降14.38%，主要原因是：本年民贸民品贷款贴息资金减少，导致机关运行经费减少。</w:t>
      </w:r>
    </w:p>
    <w:p w14:paraId="4F872A45">
      <w:pPr>
        <w:spacing w:line="640" w:lineRule="exact"/>
        <w:ind w:firstLine="640"/>
        <w:jc w:val="both"/>
        <w:outlineLvl w:val="3"/>
      </w:pPr>
      <w:r>
        <w:rPr>
          <w:rFonts w:ascii="楷体_GB2312" w:hAnsi="楷体_GB2312" w:eastAsia="楷体_GB2312"/>
          <w:b/>
          <w:sz w:val="32"/>
        </w:rPr>
        <w:t>（二）政府采购情况</w:t>
      </w:r>
    </w:p>
    <w:p w14:paraId="4CA0E4AF">
      <w:pPr>
        <w:spacing w:line="580" w:lineRule="exact"/>
        <w:ind w:firstLine="640"/>
        <w:jc w:val="both"/>
      </w:pPr>
      <w:r>
        <w:rPr>
          <w:rFonts w:ascii="仿宋_GB2312" w:hAnsi="仿宋_GB2312" w:eastAsia="仿宋_GB2312"/>
          <w:b w:val="0"/>
          <w:sz w:val="32"/>
        </w:rPr>
        <w:t>2024年度政府采购支出总额0.51万元，其中：政府采购货物支出0.00万元、政府采购工程支出0.00万元、政府采购服务支出0.51万元。</w:t>
      </w:r>
    </w:p>
    <w:p w14:paraId="6FED32E4">
      <w:pPr>
        <w:spacing w:line="580" w:lineRule="exact"/>
        <w:ind w:firstLine="640"/>
        <w:jc w:val="both"/>
      </w:pPr>
      <w:r>
        <w:rPr>
          <w:rFonts w:ascii="仿宋_GB2312" w:hAnsi="仿宋_GB2312" w:eastAsia="仿宋_GB2312"/>
          <w:b w:val="0"/>
          <w:sz w:val="32"/>
        </w:rPr>
        <w:t>授予中小企业合同金额0.51万元，占政府采购支出总额的100.00%，其中：授予小微企业合同金额0.51万元，占政府采购支出总额的100.00%。</w:t>
      </w:r>
    </w:p>
    <w:p w14:paraId="421D1960">
      <w:pPr>
        <w:spacing w:line="640" w:lineRule="exact"/>
        <w:ind w:firstLine="640"/>
        <w:jc w:val="both"/>
        <w:outlineLvl w:val="3"/>
      </w:pPr>
      <w:r>
        <w:rPr>
          <w:rFonts w:ascii="楷体_GB2312" w:hAnsi="楷体_GB2312" w:eastAsia="楷体_GB2312"/>
          <w:b/>
          <w:sz w:val="32"/>
        </w:rPr>
        <w:t>（三）国有资产占用情况说明</w:t>
      </w:r>
    </w:p>
    <w:p w14:paraId="681F2F0B">
      <w:pPr>
        <w:spacing w:line="580" w:lineRule="exact"/>
        <w:ind w:firstLine="640"/>
        <w:jc w:val="both"/>
      </w:pPr>
      <w:r>
        <w:rPr>
          <w:rFonts w:ascii="仿宋_GB2312" w:hAnsi="仿宋_GB2312" w:eastAsia="仿宋_GB2312"/>
          <w:b w:val="0"/>
          <w:sz w:val="32"/>
        </w:rPr>
        <w:t>截至2024年12月31日，房屋0.00平方米，价值0.00万元。车辆3辆，价值53.53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913807A">
      <w:pPr>
        <w:spacing w:line="640" w:lineRule="exact"/>
        <w:ind w:firstLine="640"/>
        <w:jc w:val="both"/>
        <w:outlineLvl w:val="2"/>
      </w:pPr>
      <w:r>
        <w:rPr>
          <w:rFonts w:ascii="黑体" w:hAnsi="黑体" w:eastAsia="黑体"/>
          <w:sz w:val="32"/>
        </w:rPr>
        <w:t>十一、预算绩效的情况说明</w:t>
      </w:r>
    </w:p>
    <w:p w14:paraId="76CA1C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702.10</w:t>
      </w:r>
      <w:r>
        <w:rPr>
          <w:rFonts w:ascii="仿宋_GB2312" w:hAnsi="仿宋_GB2312" w:eastAsia="仿宋_GB2312"/>
          <w:b w:val="0"/>
          <w:sz w:val="32"/>
        </w:rPr>
        <w:t>万元，实际执行总额</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bookmarkStart w:id="0" w:name="_GoBack"/>
      <w:bookmarkEnd w:id="0"/>
      <w:r>
        <w:rPr>
          <w:rFonts w:hint="eastAsia" w:ascii="仿宋_GB2312" w:hAnsi="仿宋_GB2312" w:eastAsia="仿宋_GB2312"/>
          <w:b w:val="0"/>
          <w:sz w:val="32"/>
        </w:rPr>
        <w:t>702.10</w:t>
      </w:r>
      <w:r>
        <w:rPr>
          <w:rFonts w:ascii="仿宋_GB2312" w:hAnsi="仿宋_GB2312" w:eastAsia="仿宋_GB2312"/>
          <w:b w:val="0"/>
          <w:sz w:val="32"/>
        </w:rPr>
        <w:t>万元；预算绩效评价项目1个，全年预算数1.50万元，全年执行数1.50万元。预算绩效管理取得的成效：一是严格坚持先做事、后验收、再拨付的原则，基本杜绝了资金被挤占和挪用现象的发生，跟踪检查到位。二是财政、纪检、监察等职能部门全面参与专项资金事前、事中和事后全过程的监管。三是在监督环节上，实行关口前移，从事后监督管理转向事前审核，事中监督和事后检查稽核相结合的监督制度上来，形成多环节全过程的监督管理格局，尽量早发现问题，早解决问题。发现的问题及原因：一是在编制整体预算绩效工作过程中，预算编制工作有待细化，指标值的设置上还需进一步贴近实际，预算执行力度还需进一步加强。二是对经常开展的工作，设置指标值时不够细致。下一步改进措施：一是科学合理编制预算，对经常性开展的工作，设置指标值时需更加细微，确保监控和评价时能够缩短偏差率。二是加强资金使用部门对绩效评价工作的认识和重视程度，并将评价结果运用于工作始终。具体附项目支出绩效自评表和评价报告。</w:t>
      </w:r>
    </w:p>
    <w:p w14:paraId="06E506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1A32AD86">
        <w:tblPrEx>
          <w:tblCellMar>
            <w:top w:w="0" w:type="dxa"/>
            <w:left w:w="108" w:type="dxa"/>
            <w:bottom w:w="0" w:type="dxa"/>
            <w:right w:w="108" w:type="dxa"/>
          </w:tblCellMar>
        </w:tblPrEx>
        <w:tc>
          <w:tcPr>
            <w:tcW w:w="8848" w:type="dxa"/>
            <w:gridSpan w:val="14"/>
            <w:vAlign w:val="center"/>
          </w:tcPr>
          <w:p w14:paraId="5F46E47A">
            <w:pPr>
              <w:jc w:val="center"/>
            </w:pPr>
            <w:r>
              <w:rPr>
                <w:rFonts w:ascii="宋体" w:hAnsi="宋体" w:eastAsia="宋体"/>
                <w:sz w:val="24"/>
              </w:rPr>
              <w:t>项目支出绩效自评表</w:t>
            </w:r>
          </w:p>
        </w:tc>
      </w:tr>
      <w:tr w14:paraId="6B7B3B8C">
        <w:tblPrEx>
          <w:tblCellMar>
            <w:top w:w="0" w:type="dxa"/>
            <w:left w:w="108" w:type="dxa"/>
            <w:bottom w:w="0" w:type="dxa"/>
            <w:right w:w="108" w:type="dxa"/>
          </w:tblCellMar>
        </w:tblPrEx>
        <w:tc>
          <w:tcPr>
            <w:tcW w:w="8848" w:type="dxa"/>
            <w:gridSpan w:val="14"/>
            <w:vAlign w:val="center"/>
          </w:tcPr>
          <w:p w14:paraId="51FBEE68">
            <w:pPr>
              <w:jc w:val="center"/>
            </w:pPr>
            <w:r>
              <w:rPr>
                <w:rFonts w:ascii="宋体" w:hAnsi="宋体" w:eastAsia="宋体"/>
                <w:sz w:val="24"/>
              </w:rPr>
              <w:t>(2024年度)</w:t>
            </w:r>
          </w:p>
        </w:tc>
      </w:tr>
      <w:tr w14:paraId="089AAF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25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197470">
            <w:pPr>
              <w:jc w:val="center"/>
            </w:pPr>
            <w:r>
              <w:rPr>
                <w:rFonts w:ascii="宋体" w:hAnsi="宋体" w:eastAsia="宋体"/>
                <w:sz w:val="16"/>
              </w:rPr>
              <w:t>民族团结进步创建工作项目（自有资金）</w:t>
            </w:r>
          </w:p>
        </w:tc>
      </w:tr>
      <w:tr w14:paraId="680D5F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96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68039">
            <w:pPr>
              <w:jc w:val="center"/>
            </w:pPr>
            <w:r>
              <w:rPr>
                <w:rFonts w:ascii="宋体" w:hAnsi="宋体" w:eastAsia="宋体"/>
                <w:sz w:val="16"/>
              </w:rPr>
              <w:t>中国共产党霍城县委员会统一战线工作部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11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901187">
            <w:pPr>
              <w:jc w:val="center"/>
            </w:pPr>
            <w:r>
              <w:rPr>
                <w:rFonts w:ascii="宋体" w:hAnsi="宋体" w:eastAsia="宋体"/>
                <w:sz w:val="16"/>
              </w:rPr>
              <w:t>中国共产党霍城县委员会统一战线工作部</w:t>
            </w:r>
          </w:p>
        </w:tc>
      </w:tr>
      <w:tr w14:paraId="5FA7B5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D95F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DD3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BFD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DF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84B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61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648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2EB2">
            <w:pPr>
              <w:jc w:val="center"/>
            </w:pPr>
            <w:r>
              <w:rPr>
                <w:rFonts w:ascii="宋体" w:hAnsi="宋体" w:eastAsia="宋体"/>
                <w:sz w:val="16"/>
              </w:rPr>
              <w:t>得分</w:t>
            </w:r>
          </w:p>
        </w:tc>
      </w:tr>
      <w:tr w14:paraId="57352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99C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742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2D77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D82A">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4F4B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EF7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0658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9EE2">
            <w:pPr>
              <w:jc w:val="center"/>
            </w:pPr>
            <w:r>
              <w:rPr>
                <w:rFonts w:ascii="宋体" w:hAnsi="宋体" w:eastAsia="宋体"/>
                <w:sz w:val="16"/>
              </w:rPr>
              <w:t>10.00</w:t>
            </w:r>
          </w:p>
        </w:tc>
      </w:tr>
      <w:tr w14:paraId="52402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542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F6D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3CA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04E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C34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BED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885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7763">
            <w:pPr>
              <w:jc w:val="center"/>
            </w:pPr>
            <w:r>
              <w:rPr>
                <w:rFonts w:ascii="宋体" w:hAnsi="宋体" w:eastAsia="宋体"/>
                <w:sz w:val="16"/>
              </w:rPr>
              <w:t>—</w:t>
            </w:r>
          </w:p>
        </w:tc>
      </w:tr>
      <w:tr w14:paraId="276FD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B4A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68E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F5A7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7517D">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3D29">
            <w:pPr>
              <w:jc w:val="center"/>
              <w:rPr>
                <w:rFonts w:hint="eastAsia" w:eastAsia="宋体"/>
                <w:lang w:val="en-US" w:eastAsia="zh-CN"/>
              </w:rPr>
            </w:pPr>
            <w:r>
              <w:rPr>
                <w:rFonts w:ascii="宋体" w:hAnsi="宋体" w:eastAsia="宋体"/>
                <w:sz w:val="16"/>
              </w:rPr>
              <w:t>1.5</w:t>
            </w:r>
            <w:r>
              <w:rPr>
                <w:rFonts w:hint="eastAsia" w:ascii="宋体" w:hAnsi="宋体"/>
                <w:sz w:val="16"/>
                <w:lang w:val="en-US" w:eastAsia="zh-CN"/>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F59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C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3AE8">
            <w:pPr>
              <w:jc w:val="center"/>
            </w:pPr>
            <w:r>
              <w:rPr>
                <w:rFonts w:ascii="宋体" w:hAnsi="宋体" w:eastAsia="宋体"/>
                <w:sz w:val="16"/>
              </w:rPr>
              <w:t>—</w:t>
            </w:r>
          </w:p>
        </w:tc>
      </w:tr>
      <w:tr w14:paraId="10E7E4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0919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CDF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FDB431">
            <w:pPr>
              <w:jc w:val="center"/>
            </w:pPr>
            <w:r>
              <w:rPr>
                <w:rFonts w:ascii="宋体" w:hAnsi="宋体" w:eastAsia="宋体"/>
                <w:sz w:val="16"/>
              </w:rPr>
              <w:t>实际完成情况</w:t>
            </w:r>
          </w:p>
        </w:tc>
      </w:tr>
      <w:tr w14:paraId="22002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0B8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45B7A">
            <w:pPr>
              <w:jc w:val="both"/>
            </w:pPr>
            <w:r>
              <w:rPr>
                <w:rFonts w:ascii="宋体" w:hAnsi="宋体" w:eastAsia="宋体"/>
                <w:sz w:val="16"/>
              </w:rPr>
              <w:t>深入学习贯彻党的二十大精神，习近平总书记关于加强和改进民族工作的重要思想，以铸牢中华民族共同体意识为主线，持续深化铸牢中华民族共同体意识宣传教育，教育引导各族群众牢固树立休戚与共、荣辱与共、生死与共、命运与共的共同体理念。计划打造民族团结示范点位3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6DF2E">
            <w:pPr>
              <w:jc w:val="both"/>
            </w:pPr>
            <w:r>
              <w:rPr>
                <w:rFonts w:ascii="宋体" w:hAnsi="宋体" w:eastAsia="宋体"/>
                <w:sz w:val="16"/>
              </w:rPr>
              <w:t>全年已完成民族团结示范点位3个,全国民族团结进步示范单位1个（惠远镇），推荐自治区级民族团结进步示范单位1个（芦草沟镇四宫村），推荐自治州级民族团结进步示范单位1个（惠远镇央布拉克村），有效促进各民族交往交流交融。</w:t>
            </w:r>
          </w:p>
        </w:tc>
      </w:tr>
      <w:tr w14:paraId="04A451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95A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78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2F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A4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CC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50C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DA3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F0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4BE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FF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19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0C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53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14DF">
            <w:pPr>
              <w:jc w:val="center"/>
            </w:pPr>
            <w:r>
              <w:rPr>
                <w:rFonts w:ascii="宋体" w:hAnsi="宋体" w:eastAsia="宋体"/>
                <w:sz w:val="16"/>
              </w:rPr>
              <w:t>偏差原因分析及改进措施</w:t>
            </w:r>
          </w:p>
        </w:tc>
      </w:tr>
      <w:tr w14:paraId="1218B3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7FA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4F7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E4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A08C">
            <w:pPr>
              <w:jc w:val="center"/>
            </w:pPr>
            <w:r>
              <w:rPr>
                <w:rFonts w:ascii="宋体" w:hAnsi="宋体" w:eastAsia="宋体"/>
                <w:sz w:val="16"/>
              </w:rPr>
              <w:t>打造民族团结示范点位数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8E1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E75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B4B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5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64A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2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0B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8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5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5387">
            <w:pPr>
              <w:jc w:val="center"/>
            </w:pPr>
          </w:p>
        </w:tc>
      </w:tr>
      <w:tr w14:paraId="130F9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70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9C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0D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B1CD">
            <w:pPr>
              <w:jc w:val="center"/>
            </w:pPr>
            <w:r>
              <w:rPr>
                <w:rFonts w:ascii="宋体" w:hAnsi="宋体" w:eastAsia="宋体"/>
                <w:sz w:val="16"/>
              </w:rPr>
              <w:t>民族团结工作完成率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345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F6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BA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5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A73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C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20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3B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B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FC44">
            <w:pPr>
              <w:jc w:val="center"/>
            </w:pPr>
          </w:p>
        </w:tc>
      </w:tr>
      <w:tr w14:paraId="201C5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9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3A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2D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7B6B">
            <w:pPr>
              <w:jc w:val="center"/>
            </w:pPr>
            <w:r>
              <w:rPr>
                <w:rFonts w:ascii="宋体" w:hAnsi="宋体" w:eastAsia="宋体"/>
                <w:sz w:val="16"/>
              </w:rPr>
              <w:t>打造民族团结示范点位及时性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2D1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9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8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4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B1C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C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A5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F7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6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75EA">
            <w:pPr>
              <w:jc w:val="center"/>
            </w:pPr>
          </w:p>
        </w:tc>
      </w:tr>
      <w:tr w14:paraId="6330D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A99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885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8C5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61F3">
            <w:pPr>
              <w:jc w:val="center"/>
            </w:pPr>
            <w:r>
              <w:rPr>
                <w:rFonts w:ascii="宋体" w:hAnsi="宋体" w:eastAsia="宋体"/>
                <w:sz w:val="16"/>
              </w:rPr>
              <w:t>打造示范点位经费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F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1A0C">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967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7F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B4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9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96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C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DB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51E2">
            <w:pPr>
              <w:jc w:val="center"/>
            </w:pPr>
          </w:p>
        </w:tc>
      </w:tr>
      <w:tr w14:paraId="48248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DE5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4F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55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470F">
            <w:pPr>
              <w:jc w:val="center"/>
            </w:pPr>
            <w:r>
              <w:rPr>
                <w:rFonts w:ascii="宋体" w:hAnsi="宋体" w:eastAsia="宋体"/>
                <w:sz w:val="16"/>
              </w:rPr>
              <w:t>视频拍摄经费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9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F977">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A598">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5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E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10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E6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C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59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BDAE">
            <w:pPr>
              <w:jc w:val="center"/>
            </w:pPr>
          </w:p>
        </w:tc>
      </w:tr>
      <w:tr w14:paraId="5C666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75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A6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20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B996">
            <w:pPr>
              <w:jc w:val="center"/>
            </w:pPr>
            <w:r>
              <w:rPr>
                <w:rFonts w:ascii="宋体" w:hAnsi="宋体" w:eastAsia="宋体"/>
                <w:sz w:val="16"/>
              </w:rPr>
              <w:t>民族团结各项工作有序开展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31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5E6C">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DAB3">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7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9C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F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0A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57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7A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2DF5">
            <w:pPr>
              <w:jc w:val="center"/>
            </w:pPr>
          </w:p>
        </w:tc>
      </w:tr>
      <w:tr w14:paraId="5302B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CA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03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CF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7594">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A7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B4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0C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7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0C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C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8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6B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E6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5A60">
            <w:pPr>
              <w:jc w:val="center"/>
            </w:pPr>
          </w:p>
        </w:tc>
      </w:tr>
      <w:tr w14:paraId="70C1F1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EDAB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E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090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D14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E1F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3B1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F4A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1437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F61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4BA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BDBAF"/>
        </w:tc>
      </w:tr>
    </w:tbl>
    <w:p w14:paraId="20FA05B8">
      <w:r>
        <w:br w:type="page"/>
      </w:r>
    </w:p>
    <w:p w14:paraId="07F5A815">
      <w:pPr>
        <w:spacing w:line="640" w:lineRule="exact"/>
        <w:ind w:firstLine="640"/>
        <w:jc w:val="both"/>
        <w:outlineLvl w:val="2"/>
      </w:pPr>
      <w:r>
        <w:rPr>
          <w:rFonts w:ascii="黑体" w:hAnsi="黑体" w:eastAsia="黑体"/>
          <w:sz w:val="32"/>
        </w:rPr>
        <w:t>十二、其他需说明的事项</w:t>
      </w:r>
    </w:p>
    <w:p w14:paraId="36E91A51">
      <w:pPr>
        <w:spacing w:line="580" w:lineRule="exact"/>
        <w:ind w:firstLine="640"/>
        <w:jc w:val="both"/>
      </w:pPr>
      <w:r>
        <w:rPr>
          <w:rFonts w:ascii="仿宋_GB2312" w:hAnsi="仿宋_GB2312" w:eastAsia="仿宋_GB2312"/>
          <w:b w:val="0"/>
          <w:sz w:val="32"/>
        </w:rPr>
        <w:t>本年度本单位整体绩效自评表不予公开。</w:t>
      </w:r>
    </w:p>
    <w:p w14:paraId="31A5EC6E">
      <w:r>
        <w:br w:type="page"/>
      </w:r>
    </w:p>
    <w:p w14:paraId="41B73DE1">
      <w:pPr>
        <w:spacing w:line="240" w:lineRule="auto"/>
        <w:jc w:val="center"/>
        <w:outlineLvl w:val="1"/>
      </w:pPr>
      <w:r>
        <w:rPr>
          <w:rFonts w:ascii="黑体" w:hAnsi="黑体" w:eastAsia="黑体"/>
          <w:sz w:val="32"/>
        </w:rPr>
        <w:t>第三部分 专业名词解释</w:t>
      </w:r>
    </w:p>
    <w:p w14:paraId="1861637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98718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AA4591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97AE4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108AA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0142C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C3375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6F417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5CB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90B71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1DAC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4DE7F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CE535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1B2B0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1158BB4">
      <w:r>
        <w:br w:type="page"/>
      </w:r>
    </w:p>
    <w:p w14:paraId="3C3FCFC3">
      <w:pPr>
        <w:spacing w:line="240" w:lineRule="auto"/>
        <w:jc w:val="center"/>
        <w:outlineLvl w:val="1"/>
      </w:pPr>
      <w:r>
        <w:rPr>
          <w:rFonts w:ascii="黑体" w:hAnsi="黑体" w:eastAsia="黑体"/>
          <w:sz w:val="32"/>
        </w:rPr>
        <w:t>第四部分 部门决算报表（见附表）</w:t>
      </w:r>
    </w:p>
    <w:p w14:paraId="642CFD6A">
      <w:pPr>
        <w:spacing w:line="240" w:lineRule="auto"/>
        <w:ind w:firstLine="640"/>
        <w:jc w:val="both"/>
      </w:pPr>
      <w:r>
        <w:rPr>
          <w:rFonts w:ascii="仿宋_GB2312" w:hAnsi="仿宋_GB2312" w:eastAsia="仿宋_GB2312"/>
          <w:b w:val="0"/>
          <w:sz w:val="32"/>
        </w:rPr>
        <w:t>一、《收入支出决算总表》</w:t>
      </w:r>
    </w:p>
    <w:p w14:paraId="54676D7B">
      <w:pPr>
        <w:spacing w:line="240" w:lineRule="auto"/>
        <w:ind w:firstLine="640"/>
        <w:jc w:val="both"/>
      </w:pPr>
      <w:r>
        <w:rPr>
          <w:rFonts w:ascii="仿宋_GB2312" w:hAnsi="仿宋_GB2312" w:eastAsia="仿宋_GB2312"/>
          <w:b w:val="0"/>
          <w:sz w:val="32"/>
        </w:rPr>
        <w:t>二、《收入决算表》</w:t>
      </w:r>
    </w:p>
    <w:p w14:paraId="304A37F9">
      <w:pPr>
        <w:spacing w:line="240" w:lineRule="auto"/>
        <w:ind w:firstLine="640"/>
        <w:jc w:val="both"/>
      </w:pPr>
      <w:r>
        <w:rPr>
          <w:rFonts w:ascii="仿宋_GB2312" w:hAnsi="仿宋_GB2312" w:eastAsia="仿宋_GB2312"/>
          <w:b w:val="0"/>
          <w:sz w:val="32"/>
        </w:rPr>
        <w:t>三、《支出决算表》</w:t>
      </w:r>
    </w:p>
    <w:p w14:paraId="3F92FDE6">
      <w:pPr>
        <w:spacing w:line="240" w:lineRule="auto"/>
        <w:ind w:firstLine="640"/>
        <w:jc w:val="both"/>
      </w:pPr>
      <w:r>
        <w:rPr>
          <w:rFonts w:ascii="仿宋_GB2312" w:hAnsi="仿宋_GB2312" w:eastAsia="仿宋_GB2312"/>
          <w:b w:val="0"/>
          <w:sz w:val="32"/>
        </w:rPr>
        <w:t>四、《财政拨款收入支出决算总表》</w:t>
      </w:r>
    </w:p>
    <w:p w14:paraId="3303E089">
      <w:pPr>
        <w:spacing w:line="240" w:lineRule="auto"/>
        <w:ind w:firstLine="640"/>
        <w:jc w:val="both"/>
      </w:pPr>
      <w:r>
        <w:rPr>
          <w:rFonts w:ascii="仿宋_GB2312" w:hAnsi="仿宋_GB2312" w:eastAsia="仿宋_GB2312"/>
          <w:b w:val="0"/>
          <w:sz w:val="32"/>
        </w:rPr>
        <w:t>五、《一般公共预算财政拨款支出决算表》</w:t>
      </w:r>
    </w:p>
    <w:p w14:paraId="15DD1AB7">
      <w:pPr>
        <w:spacing w:line="240" w:lineRule="auto"/>
        <w:ind w:firstLine="640"/>
        <w:jc w:val="both"/>
      </w:pPr>
      <w:r>
        <w:rPr>
          <w:rFonts w:ascii="仿宋_GB2312" w:hAnsi="仿宋_GB2312" w:eastAsia="仿宋_GB2312"/>
          <w:b w:val="0"/>
          <w:sz w:val="32"/>
        </w:rPr>
        <w:t>六、《一般公共预算财政拨款基本支出决算表》</w:t>
      </w:r>
    </w:p>
    <w:p w14:paraId="4AC86359">
      <w:pPr>
        <w:spacing w:line="240" w:lineRule="auto"/>
        <w:ind w:firstLine="640"/>
        <w:jc w:val="both"/>
      </w:pPr>
      <w:r>
        <w:rPr>
          <w:rFonts w:ascii="仿宋_GB2312" w:hAnsi="仿宋_GB2312" w:eastAsia="仿宋_GB2312"/>
          <w:b w:val="0"/>
          <w:sz w:val="32"/>
        </w:rPr>
        <w:t>七、《政府性基金预算财政拨款收入支出决算表》</w:t>
      </w:r>
    </w:p>
    <w:p w14:paraId="32581AAD">
      <w:pPr>
        <w:spacing w:line="240" w:lineRule="auto"/>
        <w:ind w:firstLine="640"/>
        <w:jc w:val="both"/>
      </w:pPr>
      <w:r>
        <w:rPr>
          <w:rFonts w:ascii="仿宋_GB2312" w:hAnsi="仿宋_GB2312" w:eastAsia="仿宋_GB2312"/>
          <w:b w:val="0"/>
          <w:sz w:val="32"/>
        </w:rPr>
        <w:t>八、《国有资本经营预算财政拨款收入支出决算表》</w:t>
      </w:r>
    </w:p>
    <w:p w14:paraId="2151C882">
      <w:pPr>
        <w:spacing w:line="240" w:lineRule="auto"/>
        <w:ind w:firstLine="640"/>
        <w:jc w:val="both"/>
      </w:pPr>
      <w:r>
        <w:rPr>
          <w:rFonts w:ascii="仿宋_GB2312" w:hAnsi="仿宋_GB2312" w:eastAsia="仿宋_GB2312"/>
          <w:b w:val="0"/>
          <w:sz w:val="32"/>
        </w:rPr>
        <w:t>九、《财政拨款“三公”经费支出决算表》</w:t>
      </w:r>
    </w:p>
    <w:p w14:paraId="2C692A9B">
      <w:pPr>
        <w:spacing w:line="240" w:lineRule="auto"/>
        <w:ind w:firstLine="640"/>
        <w:jc w:val="both"/>
      </w:pPr>
    </w:p>
    <w:p w14:paraId="449D8791">
      <w:pPr>
        <w:spacing w:line="240" w:lineRule="auto"/>
        <w:ind w:firstLine="640"/>
        <w:jc w:val="both"/>
      </w:pPr>
    </w:p>
    <w:p w14:paraId="7D3353A2">
      <w:pPr>
        <w:spacing w:line="240" w:lineRule="auto"/>
        <w:ind w:firstLine="640"/>
        <w:jc w:val="both"/>
      </w:pPr>
    </w:p>
    <w:p w14:paraId="59AEBB54">
      <w:pPr>
        <w:spacing w:line="240" w:lineRule="auto"/>
        <w:ind w:firstLine="640"/>
        <w:jc w:val="both"/>
      </w:pPr>
    </w:p>
    <w:p w14:paraId="5B6E71D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C245AB"/>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961203"/>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03618F"/>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5301</Words>
  <Characters>6173</Characters>
  <Lines>0</Lines>
  <Paragraphs>0</Paragraphs>
  <TotalTime>10</TotalTime>
  <ScaleCrop>false</ScaleCrop>
  <LinksUpToDate>false</LinksUpToDate>
  <CharactersWithSpaces>6181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2025-09-25T07:50:16Z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