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中国共产党霍城县委员会党校2024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E7572C2">
      <w:r>
        <w:br w:type="page"/>
      </w:r>
    </w:p>
    <w:p w14:paraId="7DF2EA66">
      <w:pPr>
        <w:spacing w:line="640" w:lineRule="exact"/>
        <w:jc w:val="center"/>
        <w:outlineLvl w:val="1"/>
      </w:pPr>
      <w:r>
        <w:rPr>
          <w:rFonts w:ascii="黑体" w:hAnsi="黑体" w:eastAsia="黑体"/>
          <w:sz w:val="32"/>
        </w:rPr>
        <w:t>第一部分 单位概况</w:t>
      </w:r>
    </w:p>
    <w:p w14:paraId="38F7381D">
      <w:pPr>
        <w:spacing w:line="640" w:lineRule="exact"/>
        <w:ind w:firstLine="640"/>
        <w:jc w:val="both"/>
        <w:outlineLvl w:val="2"/>
      </w:pPr>
      <w:r>
        <w:rPr>
          <w:rFonts w:ascii="黑体" w:hAnsi="黑体" w:eastAsia="黑体"/>
          <w:sz w:val="32"/>
        </w:rPr>
        <w:t>一、主要职能</w:t>
      </w:r>
    </w:p>
    <w:p w14:paraId="5AEF3BFC">
      <w:pPr>
        <w:spacing w:line="580" w:lineRule="exact"/>
        <w:ind w:firstLine="640"/>
        <w:jc w:val="both"/>
      </w:pPr>
      <w:r>
        <w:rPr>
          <w:rFonts w:ascii="仿宋_GB2312" w:hAnsi="仿宋_GB2312" w:eastAsia="仿宋_GB2312"/>
          <w:sz w:val="32"/>
        </w:rPr>
        <w:t>（1）宣传贯彻党的路线方针政策和上级党组织的决议、决定。</w:t>
      </w:r>
    </w:p>
    <w:p w14:paraId="2D6A86B4">
      <w:pPr>
        <w:spacing w:line="580" w:lineRule="exact"/>
        <w:ind w:firstLine="640"/>
        <w:jc w:val="both"/>
      </w:pPr>
      <w:r>
        <w:rPr>
          <w:rFonts w:ascii="仿宋_GB2312" w:hAnsi="仿宋_GB2312" w:eastAsia="仿宋_GB2312"/>
          <w:sz w:val="32"/>
        </w:rPr>
        <w:t>（2）制定、实施年度教学工作计划和短期培训计划，协调各单位参与党校教学计划的制定、培训项目的确定、基础设施的改善等工作。</w:t>
      </w:r>
    </w:p>
    <w:p w14:paraId="1680BFEB">
      <w:pPr>
        <w:spacing w:line="580" w:lineRule="exact"/>
        <w:ind w:firstLine="640"/>
        <w:jc w:val="both"/>
      </w:pPr>
      <w:r>
        <w:rPr>
          <w:rFonts w:ascii="仿宋_GB2312" w:hAnsi="仿宋_GB2312" w:eastAsia="仿宋_GB2312"/>
          <w:sz w:val="32"/>
        </w:rPr>
        <w:t>（3）加强教师队伍建设，组织、指导教师备课。</w:t>
      </w:r>
    </w:p>
    <w:p w14:paraId="4BA762A0">
      <w:pPr>
        <w:spacing w:line="580" w:lineRule="exact"/>
        <w:ind w:firstLine="640"/>
        <w:jc w:val="both"/>
      </w:pPr>
      <w:r>
        <w:rPr>
          <w:rFonts w:ascii="仿宋_GB2312" w:hAnsi="仿宋_GB2312" w:eastAsia="仿宋_GB2312"/>
          <w:sz w:val="32"/>
        </w:rPr>
        <w:t>（4）定期轮训不属于上级党校培训范围的党员、干部。</w:t>
      </w:r>
    </w:p>
    <w:p w14:paraId="313EF201">
      <w:pPr>
        <w:spacing w:line="580" w:lineRule="exact"/>
        <w:ind w:firstLine="640"/>
        <w:jc w:val="both"/>
      </w:pPr>
      <w:r>
        <w:rPr>
          <w:rFonts w:ascii="仿宋_GB2312" w:hAnsi="仿宋_GB2312" w:eastAsia="仿宋_GB2312"/>
          <w:sz w:val="32"/>
        </w:rPr>
        <w:t>（5）研究新形势下县域党建工作中出现的新情况、新问题，为霍城县委提供有价值的调研报告、论文，提出意见和建议。</w:t>
      </w:r>
    </w:p>
    <w:p w14:paraId="005CC8F1">
      <w:pPr>
        <w:spacing w:line="640" w:lineRule="exact"/>
        <w:ind w:firstLine="640"/>
        <w:jc w:val="both"/>
        <w:outlineLvl w:val="2"/>
      </w:pPr>
      <w:r>
        <w:rPr>
          <w:rFonts w:ascii="黑体" w:hAnsi="黑体" w:eastAsia="黑体"/>
          <w:sz w:val="32"/>
        </w:rPr>
        <w:t>二、机构设置及人员情况</w:t>
      </w:r>
    </w:p>
    <w:p w14:paraId="3ACE0281">
      <w:pPr>
        <w:spacing w:line="580" w:lineRule="exact"/>
        <w:ind w:firstLine="640"/>
        <w:jc w:val="both"/>
      </w:pPr>
      <w:r>
        <w:rPr>
          <w:rFonts w:ascii="仿宋_GB2312" w:hAnsi="仿宋_GB2312" w:eastAsia="仿宋_GB2312"/>
          <w:sz w:val="32"/>
        </w:rPr>
        <w:t>中国共产党霍城县委员会党校2024年度，实有人数33人，其中：在职人员16人，减少3人；离休人员0人，增加0人；退休人员17人,增加1人。</w:t>
      </w:r>
    </w:p>
    <w:p w14:paraId="16B46EF9">
      <w:pPr>
        <w:spacing w:line="580" w:lineRule="exact"/>
        <w:ind w:firstLine="640"/>
        <w:jc w:val="both"/>
      </w:pPr>
      <w:r>
        <w:rPr>
          <w:rFonts w:ascii="仿宋_GB2312" w:hAnsi="仿宋_GB2312" w:eastAsia="仿宋_GB2312"/>
          <w:sz w:val="32"/>
        </w:rPr>
        <w:t>中国共产党霍城县委员会党校无下属预算单位，下设3个科室，分别是：办公室、党建办、教科研室。</w:t>
      </w:r>
    </w:p>
    <w:p w14:paraId="1075157E">
      <w:r>
        <w:br w:type="page"/>
      </w:r>
    </w:p>
    <w:p w14:paraId="35FF5AE5">
      <w:pPr>
        <w:spacing w:line="240" w:lineRule="auto"/>
        <w:jc w:val="center"/>
        <w:outlineLvl w:val="1"/>
      </w:pPr>
      <w:r>
        <w:rPr>
          <w:rFonts w:ascii="黑体" w:hAnsi="黑体" w:eastAsia="黑体"/>
          <w:sz w:val="32"/>
        </w:rPr>
        <w:t>第二部分 部门决算情况说明</w:t>
      </w:r>
    </w:p>
    <w:p w14:paraId="7036E5FC">
      <w:pPr>
        <w:spacing w:line="640" w:lineRule="exact"/>
        <w:ind w:firstLine="640"/>
        <w:jc w:val="both"/>
        <w:outlineLvl w:val="2"/>
      </w:pPr>
      <w:r>
        <w:rPr>
          <w:rFonts w:ascii="黑体" w:hAnsi="黑体" w:eastAsia="黑体"/>
          <w:sz w:val="32"/>
        </w:rPr>
        <w:t>一、收入支出决算总体情况说明</w:t>
      </w:r>
    </w:p>
    <w:p w14:paraId="4F92033A">
      <w:pPr>
        <w:spacing w:line="580" w:lineRule="exact"/>
        <w:ind w:firstLine="640"/>
        <w:jc w:val="both"/>
      </w:pPr>
      <w:r>
        <w:rPr>
          <w:rFonts w:ascii="仿宋_GB2312" w:hAnsi="仿宋_GB2312" w:eastAsia="仿宋_GB2312"/>
          <w:b/>
          <w:sz w:val="32"/>
        </w:rPr>
        <w:t>2024年度收入总计684.74万元，</w:t>
      </w:r>
      <w:r>
        <w:rPr>
          <w:rFonts w:ascii="仿宋_GB2312" w:hAnsi="仿宋_GB2312" w:eastAsia="仿宋_GB2312"/>
          <w:b w:val="0"/>
          <w:sz w:val="32"/>
        </w:rPr>
        <w:t>其中：本年收入合计684.74万元，使用非财政拨款结余（含专用结余）0.00万元，年初结转和结余0.00万元。</w:t>
      </w:r>
    </w:p>
    <w:p w14:paraId="5B0B6D73">
      <w:pPr>
        <w:spacing w:line="580" w:lineRule="exact"/>
        <w:ind w:firstLine="640"/>
        <w:jc w:val="both"/>
      </w:pPr>
      <w:r>
        <w:rPr>
          <w:rFonts w:ascii="仿宋_GB2312" w:hAnsi="仿宋_GB2312" w:eastAsia="仿宋_GB2312"/>
          <w:b/>
          <w:sz w:val="32"/>
        </w:rPr>
        <w:t>2024年度支出总计684.74万元，</w:t>
      </w:r>
      <w:r>
        <w:rPr>
          <w:rFonts w:ascii="仿宋_GB2312" w:hAnsi="仿宋_GB2312" w:eastAsia="仿宋_GB2312"/>
          <w:b w:val="0"/>
          <w:sz w:val="32"/>
        </w:rPr>
        <w:t>其中：本年支出合计678.73万元，结余分配0.00万元，年末结转和结余6.02万元。</w:t>
      </w:r>
    </w:p>
    <w:p w14:paraId="14C62193">
      <w:pPr>
        <w:spacing w:line="580" w:lineRule="exact"/>
        <w:ind w:firstLine="640"/>
        <w:jc w:val="both"/>
      </w:pPr>
      <w:r>
        <w:rPr>
          <w:rFonts w:ascii="仿宋_GB2312" w:hAnsi="仿宋_GB2312" w:eastAsia="仿宋_GB2312"/>
          <w:b w:val="0"/>
          <w:sz w:val="32"/>
        </w:rPr>
        <w:t>收入支出总体与上年相比，增加206.04万元，增长43.04%，主要原因是：2024年增加了党校（行政学校）教学楼建设项目</w:t>
      </w:r>
      <w:r>
        <w:rPr>
          <w:rFonts w:hint="eastAsia" w:ascii="仿宋_GB2312" w:hAnsi="仿宋_GB2312" w:eastAsia="仿宋_GB2312"/>
          <w:b w:val="0"/>
          <w:sz w:val="32"/>
          <w:lang w:eastAsia="zh-CN"/>
        </w:rPr>
        <w:t>，</w:t>
      </w:r>
      <w:r>
        <w:rPr>
          <w:rFonts w:ascii="仿宋_GB2312" w:hAnsi="仿宋_GB2312" w:eastAsia="仿宋_GB2312"/>
          <w:b w:val="0"/>
          <w:sz w:val="32"/>
        </w:rPr>
        <w:t>援疆资金增加，导致经费较上年增加。</w:t>
      </w:r>
    </w:p>
    <w:p w14:paraId="1E234AF3">
      <w:pPr>
        <w:spacing w:line="640" w:lineRule="exact"/>
        <w:ind w:firstLine="640"/>
        <w:jc w:val="both"/>
        <w:outlineLvl w:val="2"/>
      </w:pPr>
      <w:r>
        <w:rPr>
          <w:rFonts w:ascii="黑体" w:hAnsi="黑体" w:eastAsia="黑体"/>
          <w:sz w:val="32"/>
        </w:rPr>
        <w:t>二、收入决算情况说明</w:t>
      </w:r>
    </w:p>
    <w:p w14:paraId="7057BB05">
      <w:pPr>
        <w:spacing w:line="580" w:lineRule="exact"/>
        <w:ind w:firstLine="640"/>
        <w:jc w:val="both"/>
      </w:pPr>
      <w:r>
        <w:rPr>
          <w:rFonts w:ascii="仿宋_GB2312" w:hAnsi="仿宋_GB2312" w:eastAsia="仿宋_GB2312"/>
          <w:b/>
          <w:sz w:val="32"/>
        </w:rPr>
        <w:t>本年收入684.74万元，</w:t>
      </w:r>
      <w:r>
        <w:rPr>
          <w:rFonts w:ascii="仿宋_GB2312" w:hAnsi="仿宋_GB2312" w:eastAsia="仿宋_GB2312"/>
          <w:b w:val="0"/>
          <w:sz w:val="32"/>
        </w:rPr>
        <w:t>其中：财政拨款收入608.76万元，占88.90%；上级补助收入0.00万元，占0.00%；事业收入0.00万元，占0.00%；经营收入0.00万元，占0.00%；附属单位上缴收入0.00万元，占0.00%；其他收入75.98万元，占11.10%。</w:t>
      </w:r>
    </w:p>
    <w:p w14:paraId="583047FD">
      <w:pPr>
        <w:spacing w:line="640" w:lineRule="exact"/>
        <w:ind w:firstLine="640"/>
        <w:jc w:val="both"/>
        <w:outlineLvl w:val="2"/>
      </w:pPr>
      <w:r>
        <w:rPr>
          <w:rFonts w:ascii="黑体" w:hAnsi="黑体" w:eastAsia="黑体"/>
          <w:sz w:val="32"/>
        </w:rPr>
        <w:t>三、支出决算情况说明</w:t>
      </w:r>
    </w:p>
    <w:p w14:paraId="3221DB0E">
      <w:pPr>
        <w:spacing w:line="580" w:lineRule="exact"/>
        <w:ind w:firstLine="640"/>
        <w:jc w:val="both"/>
      </w:pPr>
      <w:r>
        <w:rPr>
          <w:rFonts w:ascii="仿宋_GB2312" w:hAnsi="仿宋_GB2312" w:eastAsia="仿宋_GB2312"/>
          <w:b/>
          <w:sz w:val="32"/>
        </w:rPr>
        <w:t>本年支出678.73万元，</w:t>
      </w:r>
      <w:r>
        <w:rPr>
          <w:rFonts w:ascii="仿宋_GB2312" w:hAnsi="仿宋_GB2312" w:eastAsia="仿宋_GB2312"/>
          <w:b w:val="0"/>
          <w:sz w:val="32"/>
        </w:rPr>
        <w:t>其中：基本支出448.73万元，占66.11%；项目支出230.00万元，占33.89%；上缴上级支出0.00万元，占0.00%；经营支出0.00万元，占0.00%；对附属单位补助支出0.00万元，占0.00%。</w:t>
      </w:r>
    </w:p>
    <w:p w14:paraId="005252F8">
      <w:pPr>
        <w:spacing w:line="640" w:lineRule="exact"/>
        <w:ind w:firstLine="640"/>
        <w:jc w:val="both"/>
        <w:outlineLvl w:val="2"/>
      </w:pPr>
      <w:r>
        <w:rPr>
          <w:rFonts w:ascii="黑体" w:hAnsi="黑体" w:eastAsia="黑体"/>
          <w:sz w:val="32"/>
        </w:rPr>
        <w:t>四、财政拨款收入支出决算总体情况说明</w:t>
      </w:r>
    </w:p>
    <w:p w14:paraId="519C1048">
      <w:pPr>
        <w:spacing w:line="580" w:lineRule="exact"/>
        <w:ind w:firstLine="640"/>
        <w:jc w:val="both"/>
      </w:pPr>
      <w:r>
        <w:rPr>
          <w:rFonts w:ascii="仿宋_GB2312" w:hAnsi="仿宋_GB2312" w:eastAsia="仿宋_GB2312"/>
          <w:b/>
          <w:sz w:val="32"/>
        </w:rPr>
        <w:t>2024年度财政拨款收入总计608.76万元，</w:t>
      </w:r>
      <w:r>
        <w:rPr>
          <w:rFonts w:ascii="仿宋_GB2312" w:hAnsi="仿宋_GB2312" w:eastAsia="仿宋_GB2312"/>
          <w:b w:val="0"/>
          <w:sz w:val="32"/>
        </w:rPr>
        <w:t>其中：年初财政拨款结转和结余0.00万元，本年财政拨款收入608.76万元。</w:t>
      </w:r>
      <w:r>
        <w:rPr>
          <w:rFonts w:ascii="仿宋_GB2312" w:hAnsi="仿宋_GB2312" w:eastAsia="仿宋_GB2312"/>
          <w:b/>
          <w:sz w:val="32"/>
        </w:rPr>
        <w:t>财政拨款支出总计608.76万元，</w:t>
      </w:r>
      <w:r>
        <w:rPr>
          <w:rFonts w:ascii="仿宋_GB2312" w:hAnsi="仿宋_GB2312" w:eastAsia="仿宋_GB2312"/>
          <w:b w:val="0"/>
          <w:sz w:val="32"/>
        </w:rPr>
        <w:t>其中：年末财政拨款结转和结余0.00万元，本年财政拨款支出608.76万元。</w:t>
      </w:r>
    </w:p>
    <w:p w14:paraId="2B539A9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增加130.06万元，增长27.17%，主要原因是：2024年增加了党校（行政学校）教学楼建设项目经费，导致经费较上年增加。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年初预算数330.52万元，决算数608.76万元，预决算差异率84.18%，主要原因是：年中追加党校（行政学校）教学楼建设项目和运转类项目干部教育办公费、水电费公用经费，导致预决算存在差异。</w:t>
      </w:r>
    </w:p>
    <w:p w14:paraId="4340B9A1">
      <w:pPr>
        <w:spacing w:line="640" w:lineRule="exact"/>
        <w:ind w:firstLine="640"/>
        <w:jc w:val="both"/>
        <w:outlineLvl w:val="2"/>
      </w:pPr>
      <w:r>
        <w:rPr>
          <w:rFonts w:ascii="黑体" w:hAnsi="黑体" w:eastAsia="黑体"/>
          <w:sz w:val="32"/>
        </w:rPr>
        <w:t>五、一般公共预算财政拨款支出决算情况说明</w:t>
      </w:r>
    </w:p>
    <w:p w14:paraId="21215296">
      <w:pPr>
        <w:spacing w:line="640" w:lineRule="exact"/>
        <w:ind w:firstLine="640"/>
        <w:jc w:val="both"/>
        <w:outlineLvl w:val="3"/>
      </w:pPr>
      <w:r>
        <w:rPr>
          <w:rFonts w:ascii="楷体_GB2312" w:hAnsi="楷体_GB2312" w:eastAsia="楷体_GB2312"/>
          <w:b/>
          <w:sz w:val="32"/>
        </w:rPr>
        <w:t>（一）一般公共预算财政拨款支出决算总体情况</w:t>
      </w:r>
    </w:p>
    <w:p w14:paraId="1380E44B">
      <w:pPr>
        <w:spacing w:line="580" w:lineRule="exact"/>
        <w:ind w:firstLine="640"/>
        <w:jc w:val="both"/>
      </w:pPr>
      <w:r>
        <w:rPr>
          <w:rFonts w:ascii="仿宋_GB2312" w:hAnsi="仿宋_GB2312" w:eastAsia="仿宋_GB2312"/>
          <w:b/>
          <w:sz w:val="32"/>
        </w:rPr>
        <w:t>2024年度一般公共预算财政拨款支出608.76万元，</w:t>
      </w:r>
      <w:r>
        <w:rPr>
          <w:rFonts w:ascii="仿宋_GB2312" w:hAnsi="仿宋_GB2312" w:eastAsia="仿宋_GB2312"/>
          <w:b w:val="0"/>
          <w:sz w:val="32"/>
        </w:rPr>
        <w:t>占本年支出合计的89.69%。</w:t>
      </w:r>
      <w:r>
        <w:rPr>
          <w:rFonts w:ascii="仿宋_GB2312" w:hAnsi="仿宋_GB2312" w:eastAsia="仿宋_GB2312"/>
          <w:b/>
          <w:sz w:val="32"/>
        </w:rPr>
        <w:t>与上年相比，</w:t>
      </w:r>
      <w:r>
        <w:rPr>
          <w:rFonts w:ascii="仿宋_GB2312" w:hAnsi="仿宋_GB2312" w:eastAsia="仿宋_GB2312"/>
          <w:b w:val="0"/>
          <w:sz w:val="32"/>
        </w:rPr>
        <w:t>增加130.06万元，增长27.17%，主要原因是：2024年增加了党校（行政学校）教学楼建设项目经费，导致经费较上年增加。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年初预算数330.52万元，决算数608.76万元，预决算差异率84.18%，主要原因是：年中追加了党校（行政学校）教学楼建设项目和运转类项目干部教育办公费、水电费公用经费，导致预决算存在差异。</w:t>
      </w:r>
    </w:p>
    <w:p w14:paraId="5AF419D9">
      <w:pPr>
        <w:spacing w:line="640" w:lineRule="exact"/>
        <w:ind w:firstLine="640"/>
        <w:jc w:val="both"/>
        <w:outlineLvl w:val="3"/>
      </w:pPr>
      <w:r>
        <w:rPr>
          <w:rFonts w:ascii="楷体_GB2312" w:hAnsi="楷体_GB2312" w:eastAsia="楷体_GB2312"/>
          <w:b/>
          <w:sz w:val="32"/>
        </w:rPr>
        <w:t>（二）一般公共预算财政拨款支出决算结构情况</w:t>
      </w:r>
    </w:p>
    <w:p w14:paraId="7FFDBBE9">
      <w:pPr>
        <w:spacing w:line="580" w:lineRule="exact"/>
        <w:ind w:firstLine="640"/>
        <w:jc w:val="both"/>
      </w:pPr>
      <w:r>
        <w:rPr>
          <w:rFonts w:ascii="仿宋_GB2312" w:hAnsi="仿宋_GB2312" w:eastAsia="仿宋_GB2312"/>
          <w:b w:val="0"/>
          <w:sz w:val="32"/>
        </w:rPr>
        <w:t>1.教育支出(类)512.21万元,占84.14%。</w:t>
      </w:r>
    </w:p>
    <w:p w14:paraId="4D674BD0">
      <w:pPr>
        <w:spacing w:line="580" w:lineRule="exact"/>
        <w:ind w:firstLine="640"/>
        <w:jc w:val="both"/>
      </w:pPr>
      <w:r>
        <w:rPr>
          <w:rFonts w:ascii="仿宋_GB2312" w:hAnsi="仿宋_GB2312" w:eastAsia="仿宋_GB2312"/>
          <w:b w:val="0"/>
          <w:sz w:val="32"/>
        </w:rPr>
        <w:t>2.社会保障和就业支出(类)55.68万元,占9.15%。</w:t>
      </w:r>
    </w:p>
    <w:p w14:paraId="2D22728F">
      <w:pPr>
        <w:spacing w:line="580" w:lineRule="exact"/>
        <w:ind w:firstLine="640"/>
        <w:jc w:val="both"/>
      </w:pPr>
      <w:r>
        <w:rPr>
          <w:rFonts w:ascii="仿宋_GB2312" w:hAnsi="仿宋_GB2312" w:eastAsia="仿宋_GB2312"/>
          <w:b w:val="0"/>
          <w:sz w:val="32"/>
        </w:rPr>
        <w:t>3.卫生健康支出(类)14.63万元,占2.40%。</w:t>
      </w:r>
    </w:p>
    <w:p w14:paraId="660EF0B5">
      <w:pPr>
        <w:spacing w:line="580" w:lineRule="exact"/>
        <w:ind w:firstLine="640"/>
        <w:jc w:val="both"/>
      </w:pPr>
      <w:r>
        <w:rPr>
          <w:rFonts w:ascii="仿宋_GB2312" w:hAnsi="仿宋_GB2312" w:eastAsia="仿宋_GB2312"/>
          <w:b w:val="0"/>
          <w:sz w:val="32"/>
        </w:rPr>
        <w:t>4.住房保障支出(类)26.25万元,占4.31%。</w:t>
      </w:r>
    </w:p>
    <w:p w14:paraId="3AFFAE72">
      <w:pPr>
        <w:spacing w:line="640" w:lineRule="exact"/>
        <w:ind w:firstLine="640"/>
        <w:jc w:val="both"/>
        <w:outlineLvl w:val="3"/>
      </w:pPr>
      <w:r>
        <w:rPr>
          <w:rFonts w:ascii="楷体_GB2312" w:hAnsi="楷体_GB2312" w:eastAsia="楷体_GB2312"/>
          <w:b/>
          <w:sz w:val="32"/>
        </w:rPr>
        <w:t>（三）一般公共预算财政拨款支出决算具体情况</w:t>
      </w:r>
    </w:p>
    <w:p w14:paraId="0BA16C5E">
      <w:pPr>
        <w:spacing w:line="580" w:lineRule="exact"/>
        <w:ind w:firstLine="640"/>
        <w:jc w:val="both"/>
      </w:pPr>
      <w:r>
        <w:rPr>
          <w:rFonts w:ascii="仿宋_GB2312" w:hAnsi="仿宋_GB2312" w:eastAsia="仿宋_GB2312"/>
          <w:b w:val="0"/>
          <w:sz w:val="32"/>
        </w:rPr>
        <w:t>1.教育支出(类)进修及培训(款)教师进修(项):支出决算数为38.98万元，比上年决算增加3.54万元，增长9.99%,主要原因是：本年在职人员工资基数调增，行政人员工资支出增加，导致经费较上年增加。</w:t>
      </w:r>
    </w:p>
    <w:p w14:paraId="6A0B7843">
      <w:pPr>
        <w:spacing w:line="580" w:lineRule="exact"/>
        <w:ind w:firstLine="640"/>
        <w:jc w:val="both"/>
      </w:pPr>
      <w:r>
        <w:rPr>
          <w:rFonts w:ascii="仿宋_GB2312" w:hAnsi="仿宋_GB2312" w:eastAsia="仿宋_GB2312"/>
          <w:b w:val="0"/>
          <w:sz w:val="32"/>
        </w:rPr>
        <w:t>2.教育支出(类)进修及培训(款)干部教育(项):支出决算数为343.23万元，比上年决算增加5.64万元，增长1.67%,主要原因是：本年在职人员工资基数调增，事业人员工资支出增加，导致经费较上年增加。</w:t>
      </w:r>
    </w:p>
    <w:p w14:paraId="4998A278">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130.00万元，比上年决算增加130.00万元，增长100.00%,主要原因是：2024年增加党校（行政学校）教学楼建设项目，导致经费较上年增加。</w:t>
      </w:r>
    </w:p>
    <w:p w14:paraId="7971FDBA">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4.社会保障和就业支出(类)行政事业单位养老支出(款)行政单位离退休(项):支出决算数为4.96万元，比上年决算增加3.11万元，增长168.11%,主要原因是：本年增加退休人员基础绩效奖，行政单位退休费支出增加。</w:t>
      </w:r>
    </w:p>
    <w:p w14:paraId="4118EC63">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5.社会保障和就业支出(类)行政事业单位养老支出(款)事业单位离退休(项):支出决算数为7.56万元，比上年决算增加5.53万元，增长272.41%,主要原因是：本年增加退休人员基础绩效奖，事业单位退休费支出增加。</w:t>
      </w:r>
    </w:p>
    <w:p w14:paraId="2AB16487">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32.50万元，比上年决算增加2.59万元，增长8.66%,主要原因是：本年在职人员工资基数调增，养老缴费基数上涨，相应支出增加。</w:t>
      </w:r>
    </w:p>
    <w:p w14:paraId="450D9005">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7.社会保障和就业支出(类)行政事业单位养老支出(款)机关事业单位职业年金缴费支出(项):支出决算数为10.66万元，比上年决算增加10.66万元，增长100.00%,主要原因是：本年新增退休人员，职业年金缴费支出增加。</w:t>
      </w:r>
    </w:p>
    <w:p w14:paraId="5E2FA08C">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8.社会保障和就业支出(类)抚恤(款)死亡抚恤(项):支出决算数为0.00万元，比上年决算减少21.55万元，下降100.00%,主要原因是：本年无新增死亡人员，死亡抚恤支出较上年减少。</w:t>
      </w:r>
    </w:p>
    <w:p w14:paraId="033B0ED5">
      <w:pPr>
        <w:spacing w:line="580" w:lineRule="exact"/>
        <w:ind w:firstLine="640"/>
        <w:jc w:val="both"/>
      </w:pPr>
      <w:r>
        <w:rPr>
          <w:rFonts w:ascii="仿宋_GB2312" w:hAnsi="仿宋_GB2312" w:eastAsia="仿宋_GB2312"/>
          <w:b w:val="0"/>
          <w:sz w:val="32"/>
        </w:rPr>
        <w:t>9.卫生健康支出(类)行政事业单位医疗(款)行政单位医疗(项):支出决算数为2.50万元，比上年决算减少3.46万元，下降58.05%,主要原因是：本年在职人员调入调出，人员职级不同，缴费基数不同，导致行政单位医疗较上年减少。</w:t>
      </w:r>
    </w:p>
    <w:p w14:paraId="13D25D98">
      <w:pPr>
        <w:spacing w:line="580" w:lineRule="exact"/>
        <w:ind w:firstLine="640"/>
        <w:jc w:val="both"/>
      </w:pPr>
      <w:r>
        <w:rPr>
          <w:rFonts w:ascii="仿宋_GB2312" w:hAnsi="仿宋_GB2312" w:eastAsia="仿宋_GB2312"/>
          <w:b w:val="0"/>
          <w:sz w:val="32"/>
        </w:rPr>
        <w:t>10.卫生健康支出(类)行政事业单位医疗(款)事业单位医疗(项):支出决算数为12.07万元，比上年决算减少7.19万元，下降37.33%,主要原因是：本年在职人员调入调出，人员职级不同，缴费基数不同，导致事业单位医疗较上年减少。</w:t>
      </w:r>
    </w:p>
    <w:p w14:paraId="720127CA">
      <w:pPr>
        <w:spacing w:line="580" w:lineRule="exact"/>
        <w:ind w:firstLine="640"/>
        <w:jc w:val="both"/>
      </w:pPr>
      <w:r>
        <w:rPr>
          <w:rFonts w:ascii="仿宋_GB2312" w:hAnsi="仿宋_GB2312" w:eastAsia="仿宋_GB2312"/>
          <w:b w:val="0"/>
          <w:sz w:val="32"/>
        </w:rPr>
        <w:t>11.卫生健康支出(类)行政事业单位医疗(款)公务员医疗补助(项):支出决算数为0.06万元，比上年决算减少0.45万元，下降88.24%,主要原因是：本年在职人员调入调出，人员职级不同，缴费基数不同，导致公务员医疗补助较上年减少。</w:t>
      </w:r>
    </w:p>
    <w:p w14:paraId="69BFE9B4">
      <w:pPr>
        <w:spacing w:line="580" w:lineRule="exact"/>
        <w:ind w:firstLine="640"/>
        <w:jc w:val="both"/>
      </w:pPr>
      <w:r>
        <w:rPr>
          <w:rFonts w:ascii="仿宋_GB2312" w:hAnsi="仿宋_GB2312" w:eastAsia="仿宋_GB2312"/>
          <w:b w:val="0"/>
          <w:sz w:val="32"/>
        </w:rPr>
        <w:t>12.住房保障支出(类)住房改革支出(款)住房公积金(项):支出决算数为26.25万元，比上年决算增加1.65万元，增长6.71%,主要原因是：本年在职人员工资基数调增，公积金缴费基数上涨，相应支出增加。</w:t>
      </w:r>
    </w:p>
    <w:p w14:paraId="020B6C8D">
      <w:pPr>
        <w:spacing w:line="640" w:lineRule="exact"/>
        <w:ind w:firstLine="640"/>
        <w:jc w:val="both"/>
        <w:outlineLvl w:val="2"/>
      </w:pPr>
      <w:r>
        <w:rPr>
          <w:rFonts w:ascii="黑体" w:hAnsi="黑体" w:eastAsia="黑体"/>
          <w:sz w:val="32"/>
        </w:rPr>
        <w:t>六、一般公共预算财政拨款基本支出决算情况说明</w:t>
      </w:r>
    </w:p>
    <w:p w14:paraId="274A40C5">
      <w:pPr>
        <w:spacing w:line="580" w:lineRule="exact"/>
        <w:ind w:firstLine="640"/>
        <w:jc w:val="both"/>
      </w:pPr>
      <w:r>
        <w:rPr>
          <w:rFonts w:ascii="仿宋_GB2312" w:hAnsi="仿宋_GB2312" w:eastAsia="仿宋_GB2312"/>
          <w:b w:val="0"/>
          <w:sz w:val="32"/>
        </w:rPr>
        <w:t>2024年度一般公共预算财政拨款基本支出378.76万元，其中：</w:t>
      </w:r>
      <w:r>
        <w:rPr>
          <w:rFonts w:ascii="仿宋_GB2312" w:hAnsi="仿宋_GB2312" w:eastAsia="仿宋_GB2312"/>
          <w:b/>
          <w:sz w:val="32"/>
        </w:rPr>
        <w:t>人员经费334.78万元，</w:t>
      </w:r>
      <w:r>
        <w:rPr>
          <w:rFonts w:ascii="仿宋_GB2312" w:hAnsi="仿宋_GB2312" w:eastAsia="仿宋_GB2312"/>
          <w:b w:val="0"/>
          <w:sz w:val="32"/>
        </w:rPr>
        <w:t>包括：基本工资、津贴补贴、奖金、绩效工资、机关事业单位基本养老保险缴费、职业年金缴费、公务员医疗补助缴费、其他社会保障缴费、住房公积金、医疗费、其他工资福利支出、退休费、生活补助、奖励金。</w:t>
      </w:r>
    </w:p>
    <w:p w14:paraId="67543E81">
      <w:pPr>
        <w:spacing w:line="580" w:lineRule="exact"/>
        <w:ind w:firstLine="640"/>
        <w:jc w:val="both"/>
      </w:pPr>
      <w:r>
        <w:rPr>
          <w:rFonts w:ascii="仿宋_GB2312" w:hAnsi="仿宋_GB2312" w:eastAsia="仿宋_GB2312"/>
          <w:b/>
          <w:sz w:val="32"/>
        </w:rPr>
        <w:t>公用经费43.99万元，</w:t>
      </w:r>
      <w:r>
        <w:rPr>
          <w:rFonts w:ascii="仿宋_GB2312" w:hAnsi="仿宋_GB2312" w:eastAsia="仿宋_GB2312"/>
          <w:b w:val="0"/>
          <w:sz w:val="32"/>
        </w:rPr>
        <w:t>包括：办公费、水费、电费、邮电费、取暖费、差旅费、维修（护）费、劳务费、工会经费、福利费、公务用车运行维护费、其他商品和服务支出。</w:t>
      </w:r>
    </w:p>
    <w:p w14:paraId="0169DEE9">
      <w:pPr>
        <w:spacing w:line="640" w:lineRule="exact"/>
        <w:ind w:firstLine="640"/>
        <w:jc w:val="both"/>
        <w:outlineLvl w:val="2"/>
      </w:pPr>
      <w:r>
        <w:rPr>
          <w:rFonts w:ascii="黑体" w:hAnsi="黑体" w:eastAsia="黑体"/>
          <w:sz w:val="32"/>
        </w:rPr>
        <w:t>七、政府性基金预算财政拨款收入支出决算情况说明</w:t>
      </w:r>
    </w:p>
    <w:p w14:paraId="7F67D7B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9ECA74">
      <w:pPr>
        <w:spacing w:line="640" w:lineRule="exact"/>
        <w:ind w:firstLine="640"/>
        <w:jc w:val="both"/>
        <w:outlineLvl w:val="2"/>
      </w:pPr>
      <w:r>
        <w:rPr>
          <w:rFonts w:ascii="黑体" w:hAnsi="黑体" w:eastAsia="黑体"/>
          <w:sz w:val="32"/>
        </w:rPr>
        <w:t>八、国有资本经营预算财政拨款收入支出决算情况说明</w:t>
      </w:r>
    </w:p>
    <w:p w14:paraId="5658CCC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117488">
      <w:pPr>
        <w:spacing w:line="640" w:lineRule="exact"/>
        <w:ind w:firstLine="640"/>
        <w:jc w:val="both"/>
        <w:outlineLvl w:val="2"/>
      </w:pPr>
      <w:r>
        <w:rPr>
          <w:rFonts w:ascii="黑体" w:hAnsi="黑体" w:eastAsia="黑体"/>
          <w:sz w:val="32"/>
        </w:rPr>
        <w:t>九、财政拨款“三公”经费支出决算情况说明</w:t>
      </w:r>
    </w:p>
    <w:p w14:paraId="4FB28FA3">
      <w:pPr>
        <w:spacing w:line="580" w:lineRule="exact"/>
        <w:ind w:firstLine="640"/>
        <w:jc w:val="both"/>
      </w:pPr>
      <w:r>
        <w:rPr>
          <w:rFonts w:ascii="仿宋_GB2312" w:hAnsi="仿宋_GB2312" w:eastAsia="仿宋_GB2312"/>
          <w:b/>
          <w:sz w:val="32"/>
        </w:rPr>
        <w:t>2024年度财政拨款“三公”经费支出1.05万元，</w:t>
      </w:r>
      <w:r>
        <w:rPr>
          <w:rFonts w:ascii="仿宋_GB2312" w:hAnsi="仿宋_GB2312" w:eastAsia="仿宋_GB2312"/>
          <w:b w:val="0"/>
          <w:sz w:val="32"/>
        </w:rPr>
        <w:t>比上年增加0.27万元，增长34.62%，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1.05万元，占100.00%，比上年增加0.27万元，增长34.62%，主要原因是：本单位公务用车日渐老化，维修维护成本增加，导致公务用车运行维护费较上年增加。公务接待费支出0.00万元，占0.00%，比上年增加0.00万元，增长0.00%，主要原因是：2023年与2024年均未安排公务接待费支出。</w:t>
      </w:r>
    </w:p>
    <w:p w14:paraId="522784B3">
      <w:pPr>
        <w:spacing w:line="580" w:lineRule="exact"/>
        <w:ind w:firstLine="640"/>
        <w:jc w:val="both"/>
      </w:pPr>
      <w:r>
        <w:rPr>
          <w:rFonts w:ascii="仿宋_GB2312" w:hAnsi="仿宋_GB2312" w:eastAsia="仿宋_GB2312"/>
          <w:b/>
          <w:sz w:val="32"/>
        </w:rPr>
        <w:t>具体情况如下：</w:t>
      </w:r>
    </w:p>
    <w:p w14:paraId="7AD8360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732840">
      <w:pPr>
        <w:spacing w:line="580" w:lineRule="exact"/>
        <w:ind w:firstLine="640"/>
        <w:jc w:val="both"/>
      </w:pPr>
      <w:r>
        <w:rPr>
          <w:rFonts w:ascii="仿宋_GB2312" w:hAnsi="仿宋_GB2312" w:eastAsia="仿宋_GB2312"/>
          <w:b w:val="0"/>
          <w:sz w:val="32"/>
        </w:rPr>
        <w:t>公务用车购置及运行维护费1.05万元，其中：公务用车购置费0.00万元，公务用车运行维护费1.05万元。公务用车运行维护费开支内容包括车辆加油费、维修费、保险费、审车费。公务用车购置数0辆，公务用车保有量1辆。国有资产占用情况中固定资产车辆1辆，与公务用车保有量差异原因是：本单位固定资产车辆与公务用车保有量一致无差异。</w:t>
      </w:r>
    </w:p>
    <w:p w14:paraId="0ED5EAB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44660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万元，决算数1.05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1.05万元，决算数1.05万元，预决算差异率0.00%，主要原因是：严格按照预算执行，预决算无差异。公务接待费全年预算数0.00万元，决算数0.00万元，预决算差异率0.00%，主要原因是：本单位无公务接待费。</w:t>
      </w:r>
    </w:p>
    <w:p w14:paraId="1BEACD50">
      <w:pPr>
        <w:spacing w:line="640" w:lineRule="exact"/>
        <w:ind w:firstLine="640"/>
        <w:jc w:val="both"/>
        <w:outlineLvl w:val="2"/>
      </w:pPr>
      <w:r>
        <w:rPr>
          <w:rFonts w:ascii="黑体" w:hAnsi="黑体" w:eastAsia="黑体"/>
          <w:sz w:val="32"/>
        </w:rPr>
        <w:t>十、其他重要事项的情况说明</w:t>
      </w:r>
    </w:p>
    <w:p w14:paraId="1596ED2D">
      <w:pPr>
        <w:spacing w:line="640" w:lineRule="exact"/>
        <w:ind w:firstLine="640"/>
        <w:jc w:val="both"/>
        <w:outlineLvl w:val="3"/>
      </w:pPr>
      <w:r>
        <w:rPr>
          <w:rFonts w:ascii="楷体_GB2312" w:hAnsi="楷体_GB2312" w:eastAsia="楷体_GB2312"/>
          <w:b/>
          <w:sz w:val="32"/>
        </w:rPr>
        <w:t>（一）机关运行经费及公用经费支出情况</w:t>
      </w:r>
    </w:p>
    <w:p w14:paraId="112F958C">
      <w:pPr>
        <w:spacing w:line="580" w:lineRule="exact"/>
        <w:ind w:firstLine="640"/>
        <w:jc w:val="both"/>
      </w:pPr>
      <w:r>
        <w:rPr>
          <w:rFonts w:ascii="仿宋_GB2312" w:hAnsi="仿宋_GB2312" w:eastAsia="仿宋_GB2312"/>
          <w:b w:val="0"/>
          <w:sz w:val="32"/>
        </w:rPr>
        <w:t>2024年度中国共产党霍城县委员会党校（行政单位和参照公务员法管理事业单位）机关运行经费支出43.99万元，比上年增加29.00万元，增长193.46%，主要原因是：本年增加了运转经费，办公费、取暖费，导致机关运行经费增加。</w:t>
      </w:r>
    </w:p>
    <w:p w14:paraId="3E0ECB5E">
      <w:pPr>
        <w:spacing w:line="640" w:lineRule="exact"/>
        <w:ind w:firstLine="640"/>
        <w:jc w:val="both"/>
        <w:outlineLvl w:val="3"/>
      </w:pPr>
      <w:r>
        <w:rPr>
          <w:rFonts w:ascii="楷体_GB2312" w:hAnsi="楷体_GB2312" w:eastAsia="楷体_GB2312"/>
          <w:b/>
          <w:sz w:val="32"/>
        </w:rPr>
        <w:t>（二）政府采购情况</w:t>
      </w:r>
    </w:p>
    <w:p w14:paraId="12183A14">
      <w:pPr>
        <w:spacing w:line="580" w:lineRule="exact"/>
        <w:ind w:firstLine="640"/>
        <w:jc w:val="both"/>
      </w:pPr>
      <w:r>
        <w:rPr>
          <w:rFonts w:ascii="仿宋_GB2312" w:hAnsi="仿宋_GB2312" w:eastAsia="仿宋_GB2312"/>
          <w:b w:val="0"/>
          <w:sz w:val="32"/>
        </w:rPr>
        <w:t>2024年度政府采购支出总额13.75万元，其中：政府采购货物支出13.24万元、政府采购工程支出0.00万元、政府采购服务支出0.51万元。</w:t>
      </w:r>
    </w:p>
    <w:p w14:paraId="07766473">
      <w:pPr>
        <w:spacing w:line="580" w:lineRule="exact"/>
        <w:ind w:firstLine="640"/>
        <w:jc w:val="both"/>
      </w:pPr>
      <w:r>
        <w:rPr>
          <w:rFonts w:ascii="仿宋_GB2312" w:hAnsi="仿宋_GB2312" w:eastAsia="仿宋_GB2312"/>
          <w:b w:val="0"/>
          <w:sz w:val="32"/>
        </w:rPr>
        <w:t>授予中小企业合同金额13.75万元，占政府采购支出总额的100.00%，其中：授予小微企业合同金额13.75万元，占政府采购支出总额的100.00%。</w:t>
      </w:r>
    </w:p>
    <w:p w14:paraId="44D8E256">
      <w:pPr>
        <w:spacing w:line="640" w:lineRule="exact"/>
        <w:ind w:firstLine="640"/>
        <w:jc w:val="both"/>
        <w:outlineLvl w:val="3"/>
      </w:pPr>
      <w:r>
        <w:rPr>
          <w:rFonts w:ascii="楷体_GB2312" w:hAnsi="楷体_GB2312" w:eastAsia="楷体_GB2312"/>
          <w:b/>
          <w:sz w:val="32"/>
        </w:rPr>
        <w:t>（三）国有资产占用情况说明</w:t>
      </w:r>
    </w:p>
    <w:p w14:paraId="7189416B">
      <w:pPr>
        <w:spacing w:line="580" w:lineRule="exact"/>
        <w:ind w:firstLine="640"/>
        <w:jc w:val="both"/>
      </w:pPr>
      <w:r>
        <w:rPr>
          <w:rFonts w:ascii="仿宋_GB2312" w:hAnsi="仿宋_GB2312" w:eastAsia="仿宋_GB2312"/>
          <w:b w:val="0"/>
          <w:sz w:val="32"/>
        </w:rPr>
        <w:t>截至2024年12月31日，房屋9,866.00平方米，价值2,058.45万元。车辆1辆，价值14.06万元，其中：副部（省）级及以上领导用车0辆、主要负责人用车0辆、机要通信用车0辆、应急保障用车0辆、执法执勤用车0辆、特种专业技术用车0辆、离退休干部服务用车0辆、其他用车1辆，其他用车主要是：</w:t>
      </w:r>
      <w:bookmarkStart w:id="0" w:name="_GoBack"/>
      <w:r>
        <w:rPr>
          <w:rFonts w:ascii="仿宋_GB2312" w:hAnsi="仿宋_GB2312" w:eastAsia="仿宋_GB2312"/>
          <w:b w:val="0"/>
          <w:sz w:val="32"/>
        </w:rPr>
        <w:t>单位一般公务用车</w:t>
      </w:r>
      <w:bookmarkEnd w:id="0"/>
      <w:r>
        <w:rPr>
          <w:rFonts w:ascii="仿宋_GB2312" w:hAnsi="仿宋_GB2312" w:eastAsia="仿宋_GB2312"/>
          <w:b w:val="0"/>
          <w:sz w:val="32"/>
        </w:rPr>
        <w:t>。单价100万元（含）以上设备（不含车辆）0台（套）。</w:t>
      </w:r>
    </w:p>
    <w:p w14:paraId="75B7191C">
      <w:pPr>
        <w:spacing w:line="640" w:lineRule="exact"/>
        <w:ind w:firstLine="640"/>
        <w:jc w:val="both"/>
        <w:outlineLvl w:val="2"/>
      </w:pPr>
      <w:r>
        <w:rPr>
          <w:rFonts w:ascii="黑体" w:hAnsi="黑体" w:eastAsia="黑体"/>
          <w:sz w:val="32"/>
        </w:rPr>
        <w:t>十一、预算绩效的情况说明</w:t>
      </w:r>
    </w:p>
    <w:p w14:paraId="6AD6EF0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684.74万元，实际执行总额678.72万元；预算绩效评价项目2个，全年预算数71.53万元，全年执行数71.53万元。预算绩效管理取得的成效：一是管理制度健全性本校为加强预算管理，规范财务行为，已制定《霍城县委党校财政支出绩效评价管理暂行办法</w:t>
      </w:r>
      <w:r>
        <w:rPr>
          <w:rFonts w:hint="eastAsia" w:ascii="仿宋_GB2312" w:hAnsi="仿宋_GB2312" w:eastAsia="仿宋_GB2312"/>
          <w:b w:val="0"/>
          <w:sz w:val="32"/>
          <w:lang w:eastAsia="zh-CN"/>
        </w:rPr>
        <w:t>》《</w:t>
      </w:r>
      <w:r>
        <w:rPr>
          <w:rFonts w:ascii="仿宋_GB2312" w:hAnsi="仿宋_GB2312" w:eastAsia="仿宋_GB2312"/>
          <w:b w:val="0"/>
          <w:sz w:val="32"/>
        </w:rPr>
        <w:t>霍城县委党校预算绩效管理工作细则</w:t>
      </w:r>
      <w:r>
        <w:rPr>
          <w:rFonts w:hint="eastAsia" w:ascii="仿宋_GB2312" w:hAnsi="仿宋_GB2312" w:eastAsia="仿宋_GB2312"/>
          <w:b w:val="0"/>
          <w:sz w:val="32"/>
          <w:lang w:eastAsia="zh-CN"/>
        </w:rPr>
        <w:t>》《</w:t>
      </w:r>
      <w:r>
        <w:rPr>
          <w:rFonts w:ascii="仿宋_GB2312" w:hAnsi="仿宋_GB2312" w:eastAsia="仿宋_GB2312"/>
          <w:b w:val="0"/>
          <w:sz w:val="32"/>
        </w:rPr>
        <w:t>霍城县委党校预算绩效管理制度》等健全完整的各项管理制度，有效保障了我校高效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履行工作职能，较好</w:t>
      </w:r>
      <w:r>
        <w:rPr>
          <w:rFonts w:hint="eastAsia" w:ascii="仿宋_GB2312" w:hAnsi="仿宋_GB2312" w:eastAsia="仿宋_GB2312"/>
          <w:b w:val="0"/>
          <w:sz w:val="32"/>
          <w:lang w:eastAsia="zh-CN"/>
        </w:rPr>
        <w:t>地</w:t>
      </w:r>
      <w:r>
        <w:rPr>
          <w:rFonts w:ascii="仿宋_GB2312" w:hAnsi="仿宋_GB2312" w:eastAsia="仿宋_GB2312"/>
          <w:b w:val="0"/>
          <w:sz w:val="32"/>
        </w:rPr>
        <w:t>促进事业发展；二是资金使用合规性和安全性。我校预算资金使用符合国家法规和财务管理制度；预算资金拨付有完整的审批程序和手续，符合项目预算批复或合同规定的用途；不存在截留、挤占、挪用、虚列支出等情况，确保我校预算资金规范运行；三是预决算信息公开性。我校严格按照财政部门预算编制与预算调整的工作要求，在预算编制、分配依据充分的条件下，切实做好“先定目标再编预算”，确保预算分配结果合理。同时按照《中华人民共和国政府信息公开条例》（国令〔711〕号）及《伊犁哈萨克自治州人民政府信息公开指南》预决算信息公开工作要求，部门预算及绩效目标在伊犁哈萨克自治州霍城县人民政府网站公开，广泛接受社会监督。发现的问题及原因：一是绩效监控工作质量还有待提高。由于单位缺乏绩效综合知识专业人员和财务人员对绩效管理相关工作经验不足、业务水平较低导致该项工作总体质量不高，未能充分发挥绩效管理的导向作用；二是对绩效监控工作重视程度还有待进一步提高。因绩效管理工作是政策性较强的工作，绩效监控工作是其中的重要内容，做好绩效监控工作需要单位主要负责人的高度重视和对预算绩效监控工作政策的深入了解，这些方面还是做得不够到位。下一步改进措施：一是加大该绩效管理工作的宣传力度，强化自觉学习意识，熟悉掌握相关政策，提高监控工作人员综合素质。着重学习宣传上级下发的相关文件和制度要求，让单位主要负责人及工作人员了解该项工作的重要性和必要性，掌握工作方法；二是提升单位领导对绩效管理工作的重视程度。设置专职办公室，进行明确的职责分工，有利于提升工作质量。具体附整体支出绩效自评表，项目支出绩效自评表和评价报告。</w:t>
      </w:r>
    </w:p>
    <w:p w14:paraId="21F2DDB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81"/>
        <w:gridCol w:w="1029"/>
        <w:gridCol w:w="1105"/>
        <w:gridCol w:w="1105"/>
        <w:gridCol w:w="1105"/>
        <w:gridCol w:w="1105"/>
      </w:tblGrid>
      <w:tr w14:paraId="3E78568C">
        <w:tblPrEx>
          <w:tblCellMar>
            <w:top w:w="0" w:type="dxa"/>
            <w:left w:w="108" w:type="dxa"/>
            <w:bottom w:w="0" w:type="dxa"/>
            <w:right w:w="108" w:type="dxa"/>
          </w:tblCellMar>
        </w:tblPrEx>
        <w:tc>
          <w:tcPr>
            <w:tcW w:w="8840" w:type="dxa"/>
            <w:gridSpan w:val="8"/>
            <w:vAlign w:val="center"/>
          </w:tcPr>
          <w:p w14:paraId="52AD4BB3">
            <w:pPr>
              <w:jc w:val="center"/>
            </w:pPr>
            <w:r>
              <w:rPr>
                <w:rFonts w:ascii="宋体" w:hAnsi="宋体" w:eastAsia="宋体"/>
                <w:sz w:val="24"/>
              </w:rPr>
              <w:t>单位整体支出绩效自评表</w:t>
            </w:r>
          </w:p>
        </w:tc>
      </w:tr>
      <w:tr w14:paraId="44C885A9">
        <w:tblPrEx>
          <w:tblCellMar>
            <w:top w:w="0" w:type="dxa"/>
            <w:left w:w="108" w:type="dxa"/>
            <w:bottom w:w="0" w:type="dxa"/>
            <w:right w:w="108" w:type="dxa"/>
          </w:tblCellMar>
        </w:tblPrEx>
        <w:tc>
          <w:tcPr>
            <w:tcW w:w="8840" w:type="dxa"/>
            <w:gridSpan w:val="8"/>
            <w:vAlign w:val="center"/>
          </w:tcPr>
          <w:p w14:paraId="7DA65FDA">
            <w:pPr>
              <w:jc w:val="center"/>
            </w:pPr>
            <w:r>
              <w:rPr>
                <w:rFonts w:ascii="宋体" w:hAnsi="宋体" w:eastAsia="宋体"/>
                <w:sz w:val="24"/>
              </w:rPr>
              <w:t>（2024年度）</w:t>
            </w:r>
          </w:p>
        </w:tc>
      </w:tr>
      <w:tr w14:paraId="1942C7F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FFE2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1FA891">
            <w:pPr>
              <w:jc w:val="center"/>
            </w:pPr>
            <w:r>
              <w:rPr>
                <w:rFonts w:ascii="宋体" w:hAnsi="宋体" w:eastAsia="宋体"/>
                <w:sz w:val="16"/>
              </w:rPr>
              <w:t>中国共产党霍城县委员会党校</w:t>
            </w:r>
          </w:p>
        </w:tc>
      </w:tr>
      <w:tr w14:paraId="0FFB787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9DC8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59FEB">
            <w:pPr>
              <w:jc w:val="center"/>
            </w:pPr>
            <w:r>
              <w:rPr>
                <w:rFonts w:ascii="宋体" w:hAnsi="宋体" w:eastAsia="宋体"/>
                <w:sz w:val="16"/>
              </w:rPr>
              <w:t>资金来源</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7D0594E4">
            <w:pPr>
              <w:jc w:val="center"/>
            </w:pPr>
            <w:r>
              <w:rPr>
                <w:rFonts w:ascii="宋体" w:hAnsi="宋体" w:eastAsia="宋体"/>
                <w:sz w:val="16"/>
              </w:rPr>
              <w:t>年初预算数</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2B8ABF1F">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54CE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BE57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F917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DA971">
            <w:pPr>
              <w:jc w:val="center"/>
            </w:pPr>
            <w:r>
              <w:rPr>
                <w:rFonts w:ascii="宋体" w:hAnsi="宋体" w:eastAsia="宋体"/>
                <w:sz w:val="16"/>
              </w:rPr>
              <w:t>得分</w:t>
            </w:r>
          </w:p>
        </w:tc>
      </w:tr>
      <w:tr w14:paraId="77BB36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CBCD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7911B">
            <w:pPr>
              <w:jc w:val="center"/>
            </w:pPr>
            <w:r>
              <w:rPr>
                <w:rFonts w:ascii="宋体" w:hAnsi="宋体" w:eastAsia="宋体"/>
                <w:sz w:val="16"/>
              </w:rPr>
              <w:t>年度总资金</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401C8ABA">
            <w:pPr>
              <w:jc w:val="center"/>
            </w:pPr>
            <w:r>
              <w:rPr>
                <w:rFonts w:ascii="宋体" w:hAnsi="宋体" w:eastAsia="宋体"/>
                <w:sz w:val="16"/>
              </w:rPr>
              <w:t>380.52</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462E0674">
            <w:pPr>
              <w:jc w:val="center"/>
            </w:pPr>
            <w:r>
              <w:rPr>
                <w:rFonts w:ascii="宋体" w:hAnsi="宋体" w:eastAsia="宋体"/>
                <w:sz w:val="16"/>
              </w:rPr>
              <w:t>684.74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FF6F4">
            <w:pPr>
              <w:jc w:val="center"/>
            </w:pPr>
            <w:r>
              <w:rPr>
                <w:rFonts w:ascii="宋体" w:hAnsi="宋体" w:eastAsia="宋体"/>
                <w:sz w:val="16"/>
              </w:rPr>
              <w:t>678.72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DC8C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5FEFC">
            <w:pPr>
              <w:jc w:val="center"/>
            </w:pPr>
            <w:r>
              <w:rPr>
                <w:rFonts w:ascii="宋体" w:hAnsi="宋体" w:eastAsia="宋体"/>
                <w:sz w:val="16"/>
              </w:rPr>
              <w:t>99.12%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81E68">
            <w:pPr>
              <w:jc w:val="center"/>
            </w:pPr>
            <w:r>
              <w:rPr>
                <w:rFonts w:ascii="宋体" w:hAnsi="宋体" w:eastAsia="宋体"/>
                <w:sz w:val="16"/>
              </w:rPr>
              <w:t>9.91</w:t>
            </w:r>
          </w:p>
        </w:tc>
      </w:tr>
      <w:tr w14:paraId="611EE5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C9AB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59D96">
            <w:pPr>
              <w:jc w:val="center"/>
            </w:pPr>
            <w:r>
              <w:rPr>
                <w:rFonts w:ascii="宋体" w:hAnsi="宋体" w:eastAsia="宋体"/>
                <w:sz w:val="16"/>
              </w:rPr>
              <w:t>上级资金：</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558B0E8A">
            <w:pPr>
              <w:jc w:val="center"/>
            </w:pPr>
            <w:r>
              <w:rPr>
                <w:rFonts w:ascii="宋体" w:hAnsi="宋体" w:eastAsia="宋体"/>
                <w:sz w:val="16"/>
              </w:rPr>
              <w:t>0.00</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49982B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E30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185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843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0DBED">
            <w:pPr>
              <w:jc w:val="center"/>
            </w:pPr>
            <w:r>
              <w:rPr>
                <w:rFonts w:ascii="宋体" w:hAnsi="宋体" w:eastAsia="宋体"/>
                <w:sz w:val="16"/>
              </w:rPr>
              <w:t>-</w:t>
            </w:r>
          </w:p>
        </w:tc>
      </w:tr>
      <w:tr w14:paraId="559A83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D6B1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F5D3F">
            <w:pPr>
              <w:jc w:val="center"/>
            </w:pPr>
            <w:r>
              <w:rPr>
                <w:rFonts w:ascii="宋体" w:hAnsi="宋体" w:eastAsia="宋体"/>
                <w:sz w:val="16"/>
              </w:rPr>
              <w:t>本级资金：</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22A154C5">
            <w:pPr>
              <w:jc w:val="center"/>
            </w:pPr>
            <w:r>
              <w:rPr>
                <w:rFonts w:ascii="宋体" w:hAnsi="宋体" w:eastAsia="宋体"/>
                <w:sz w:val="16"/>
              </w:rPr>
              <w:t>380.52</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5ECCA263">
            <w:pPr>
              <w:jc w:val="center"/>
            </w:pPr>
            <w:r>
              <w:rPr>
                <w:rFonts w:ascii="宋体" w:hAnsi="宋体" w:eastAsia="宋体"/>
                <w:sz w:val="16"/>
              </w:rPr>
              <w:t>608.76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D7582">
            <w:pPr>
              <w:jc w:val="center"/>
            </w:pPr>
            <w:r>
              <w:rPr>
                <w:rFonts w:ascii="宋体" w:hAnsi="宋体" w:eastAsia="宋体"/>
                <w:sz w:val="16"/>
              </w:rPr>
              <w:t>608.76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4CE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A778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51C45">
            <w:pPr>
              <w:jc w:val="center"/>
            </w:pPr>
            <w:r>
              <w:rPr>
                <w:rFonts w:ascii="宋体" w:hAnsi="宋体" w:eastAsia="宋体"/>
                <w:sz w:val="16"/>
              </w:rPr>
              <w:t>-</w:t>
            </w:r>
          </w:p>
        </w:tc>
      </w:tr>
      <w:tr w14:paraId="062B75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10A5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A7A21">
            <w:pPr>
              <w:jc w:val="center"/>
            </w:pPr>
            <w:r>
              <w:rPr>
                <w:rFonts w:ascii="宋体" w:hAnsi="宋体" w:eastAsia="宋体"/>
                <w:sz w:val="16"/>
              </w:rPr>
              <w:t>其他资金：</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65A67084">
            <w:pPr>
              <w:jc w:val="center"/>
            </w:pPr>
            <w:r>
              <w:rPr>
                <w:rFonts w:ascii="宋体" w:hAnsi="宋体" w:eastAsia="宋体"/>
                <w:sz w:val="16"/>
              </w:rPr>
              <w:t>0.00</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473D55DF">
            <w:pPr>
              <w:jc w:val="center"/>
            </w:pPr>
            <w:r>
              <w:rPr>
                <w:rFonts w:ascii="宋体" w:hAnsi="宋体" w:eastAsia="宋体"/>
                <w:sz w:val="16"/>
              </w:rPr>
              <w:t>75.98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AD144">
            <w:pPr>
              <w:jc w:val="center"/>
            </w:pPr>
            <w:r>
              <w:rPr>
                <w:rFonts w:ascii="宋体" w:hAnsi="宋体" w:eastAsia="宋体"/>
                <w:sz w:val="16"/>
              </w:rPr>
              <w:t>69.96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939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D69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76937">
            <w:pPr>
              <w:jc w:val="center"/>
            </w:pPr>
            <w:r>
              <w:rPr>
                <w:rFonts w:ascii="宋体" w:hAnsi="宋体" w:eastAsia="宋体"/>
                <w:sz w:val="16"/>
              </w:rPr>
              <w:t>-</w:t>
            </w:r>
          </w:p>
        </w:tc>
      </w:tr>
      <w:tr w14:paraId="3240C8B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2785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30CF1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282A8A">
            <w:pPr>
              <w:jc w:val="center"/>
            </w:pPr>
            <w:r>
              <w:rPr>
                <w:rFonts w:ascii="宋体" w:hAnsi="宋体" w:eastAsia="宋体"/>
                <w:sz w:val="16"/>
              </w:rPr>
              <w:t>实际完成情况</w:t>
            </w:r>
          </w:p>
        </w:tc>
      </w:tr>
      <w:tr w14:paraId="677B39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FE255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7D7063">
            <w:pPr>
              <w:jc w:val="both"/>
            </w:pPr>
            <w:r>
              <w:rPr>
                <w:rFonts w:ascii="宋体" w:hAnsi="宋体" w:eastAsia="宋体"/>
                <w:sz w:val="16"/>
              </w:rPr>
              <w:t>一、坚持党校姓党，擦亮党建品牌，在从严治校上立标杆。二、践行为党育才，坚持</w:t>
            </w:r>
            <w:r>
              <w:rPr>
                <w:rFonts w:hint="eastAsia" w:ascii="宋体" w:hAnsi="宋体"/>
                <w:sz w:val="16"/>
                <w:lang w:eastAsia="zh-CN"/>
              </w:rPr>
              <w:t>“两个结合”</w:t>
            </w:r>
            <w:r>
              <w:rPr>
                <w:rFonts w:ascii="宋体" w:hAnsi="宋体" w:eastAsia="宋体"/>
                <w:sz w:val="16"/>
              </w:rPr>
              <w:t>，在质量立校上做表率坚持预防为主、源头治理、强化文物安全责任、建立健全安全制度、加强安全实施建设。三抓实为党献策，把握三个关键，在智库担当上开新局。</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028527">
            <w:pPr>
              <w:jc w:val="both"/>
            </w:pPr>
            <w:r>
              <w:rPr>
                <w:rFonts w:ascii="宋体" w:hAnsi="宋体" w:eastAsia="宋体"/>
                <w:sz w:val="16"/>
              </w:rPr>
              <w:t>严格落实“第一议题”与主题党日首学制度，开展集中学习43场次，学习篇目160篇；将“书香致远·红色铸魂”党建品牌引领贯穿各项工作全过程，成功创建县级“五个好”标准化规范化党支部示范点</w:t>
            </w:r>
            <w:r>
              <w:rPr>
                <w:rFonts w:hint="eastAsia" w:ascii="宋体" w:hAnsi="宋体"/>
                <w:sz w:val="16"/>
                <w:lang w:eastAsia="zh-CN"/>
              </w:rPr>
              <w:t>。</w:t>
            </w:r>
            <w:r>
              <w:rPr>
                <w:rFonts w:ascii="宋体" w:hAnsi="宋体" w:eastAsia="宋体"/>
                <w:sz w:val="16"/>
              </w:rPr>
              <w:t>争取到县管党费20万元支持，对党校多功能厅桌椅、投影仪、音响、电脑等硬件设施设备进行全面更新，办学条件得到明显改善；截至2024底，已举办基本培训共计23期，培训学员1655人；其中，中青年干部能力素质提升培训班1期，培训学员27人，乡科级干部进修班1期，培训学员47人，乡科级干部任职培训班2期，培训学员71人。新打造现场教学点位3个，承接自治区党委党校、兵团干部学院、州党委党校及各县市党校等培训班24期845人来霍开展现场教学；结合“四下基层”，配合县委宣传部开展“学习贯彻习近平新时代中国特色社会主义思想”冬季大宣讲、全国两会精神宣讲和党的二十届三中全会精神宣讲42场次，受教育干部群众达2277人次；党校培训通过育人实现兴党强国为民的有机统一，传承党的优良传统文化，激发干部群众的爱国情怀，为社会发展提供精神动力，营造积极向上的社会风尚。</w:t>
            </w:r>
          </w:p>
        </w:tc>
      </w:tr>
      <w:tr w14:paraId="5E6BB70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1AD6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B4AA6">
            <w:pPr>
              <w:jc w:val="center"/>
            </w:pPr>
            <w:r>
              <w:rPr>
                <w:rFonts w:ascii="宋体" w:hAnsi="宋体" w:eastAsia="宋体"/>
                <w:sz w:val="16"/>
              </w:rPr>
              <w:t>二级指标</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6659E2CC">
            <w:pPr>
              <w:jc w:val="center"/>
            </w:pPr>
            <w:r>
              <w:rPr>
                <w:rFonts w:ascii="宋体" w:hAnsi="宋体" w:eastAsia="宋体"/>
                <w:sz w:val="16"/>
              </w:rPr>
              <w:t>三级指标</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4D823C3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C5BD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0C10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D0F7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BF09E">
            <w:pPr>
              <w:jc w:val="center"/>
            </w:pPr>
            <w:r>
              <w:rPr>
                <w:rFonts w:ascii="宋体" w:hAnsi="宋体" w:eastAsia="宋体"/>
                <w:sz w:val="16"/>
              </w:rPr>
              <w:t>得分</w:t>
            </w:r>
          </w:p>
        </w:tc>
      </w:tr>
      <w:tr w14:paraId="26FA10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B3F5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6FED5">
            <w:pPr>
              <w:jc w:val="center"/>
            </w:pPr>
            <w:r>
              <w:rPr>
                <w:rFonts w:ascii="宋体" w:hAnsi="宋体" w:eastAsia="宋体"/>
                <w:sz w:val="16"/>
              </w:rPr>
              <w:t>数量指标</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292F645A">
            <w:pPr>
              <w:jc w:val="center"/>
            </w:pPr>
            <w:r>
              <w:rPr>
                <w:rFonts w:ascii="宋体" w:hAnsi="宋体" w:eastAsia="宋体"/>
                <w:sz w:val="16"/>
              </w:rPr>
              <w:t>干部培训班次</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493AECC8">
            <w:pPr>
              <w:jc w:val="center"/>
            </w:pPr>
            <w:r>
              <w:rPr>
                <w:rFonts w:ascii="宋体" w:hAnsi="宋体" w:eastAsia="宋体"/>
                <w:sz w:val="16"/>
              </w:rPr>
              <w:t>&gt;=20班次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A1F9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4D9AB">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6E9E2">
            <w:pPr>
              <w:jc w:val="center"/>
            </w:pPr>
            <w:r>
              <w:rPr>
                <w:rFonts w:ascii="宋体" w:hAnsi="宋体" w:eastAsia="宋体"/>
                <w:sz w:val="16"/>
              </w:rPr>
              <w:t>23班次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A2CBB">
            <w:pPr>
              <w:jc w:val="center"/>
            </w:pPr>
            <w:r>
              <w:rPr>
                <w:rFonts w:ascii="宋体" w:hAnsi="宋体" w:eastAsia="宋体"/>
                <w:sz w:val="16"/>
              </w:rPr>
              <w:t>30</w:t>
            </w:r>
          </w:p>
        </w:tc>
      </w:tr>
      <w:tr w14:paraId="4079AA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88A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FD7C4E"/>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29F2ECAF">
            <w:pPr>
              <w:jc w:val="center"/>
            </w:pPr>
            <w:r>
              <w:rPr>
                <w:rFonts w:ascii="宋体" w:hAnsi="宋体" w:eastAsia="宋体"/>
                <w:sz w:val="16"/>
              </w:rPr>
              <w:t>干部培训人次</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53917516">
            <w:pPr>
              <w:jc w:val="center"/>
            </w:pPr>
            <w:r>
              <w:rPr>
                <w:rFonts w:ascii="宋体" w:hAnsi="宋体" w:eastAsia="宋体"/>
                <w:sz w:val="16"/>
              </w:rPr>
              <w:t>&gt;=1600人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622F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91196">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DB506">
            <w:pPr>
              <w:jc w:val="center"/>
            </w:pPr>
            <w:r>
              <w:rPr>
                <w:rFonts w:ascii="宋体" w:hAnsi="宋体" w:eastAsia="宋体"/>
                <w:sz w:val="16"/>
              </w:rPr>
              <w:t>1655人次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E29D0">
            <w:pPr>
              <w:jc w:val="center"/>
            </w:pPr>
            <w:r>
              <w:rPr>
                <w:rFonts w:ascii="宋体" w:hAnsi="宋体" w:eastAsia="宋体"/>
                <w:sz w:val="16"/>
              </w:rPr>
              <w:t>30</w:t>
            </w:r>
          </w:p>
        </w:tc>
      </w:tr>
      <w:tr w14:paraId="58CB11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55F1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18B083"/>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6A60421B">
            <w:pPr>
              <w:jc w:val="center"/>
            </w:pPr>
            <w:r>
              <w:rPr>
                <w:rFonts w:ascii="宋体" w:hAnsi="宋体" w:eastAsia="宋体"/>
                <w:sz w:val="16"/>
              </w:rPr>
              <w:t>干部培训天数</w:t>
            </w:r>
          </w:p>
        </w:tc>
        <w:tc>
          <w:tcPr>
            <w:tcW w:w="1029" w:type="dxa"/>
            <w:tcBorders>
              <w:top w:val="single" w:color="auto" w:sz="10" w:space="0"/>
              <w:left w:val="single" w:color="auto" w:sz="10" w:space="0"/>
              <w:bottom w:val="single" w:color="auto" w:sz="10" w:space="0"/>
              <w:right w:val="single" w:color="auto" w:sz="10" w:space="0"/>
              <w:insideV w:val="single" w:sz="10" w:space="0"/>
            </w:tcBorders>
            <w:vAlign w:val="center"/>
          </w:tcPr>
          <w:p w14:paraId="4CEC2877">
            <w:pPr>
              <w:jc w:val="center"/>
            </w:pPr>
            <w:r>
              <w:rPr>
                <w:rFonts w:ascii="宋体" w:hAnsi="宋体" w:eastAsia="宋体"/>
                <w:sz w:val="16"/>
              </w:rPr>
              <w:t>&gt;=180天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8043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4226F">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CBD6D">
            <w:pPr>
              <w:jc w:val="center"/>
            </w:pPr>
            <w:r>
              <w:rPr>
                <w:rFonts w:ascii="宋体" w:hAnsi="宋体" w:eastAsia="宋体"/>
                <w:sz w:val="16"/>
              </w:rPr>
              <w:t>259天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FFB35">
            <w:pPr>
              <w:jc w:val="center"/>
            </w:pPr>
            <w:r>
              <w:rPr>
                <w:rFonts w:ascii="宋体" w:hAnsi="宋体" w:eastAsia="宋体"/>
                <w:sz w:val="16"/>
              </w:rPr>
              <w:t>30</w:t>
            </w:r>
          </w:p>
        </w:tc>
      </w:tr>
    </w:tbl>
    <w:p w14:paraId="52442E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4D34DB0B">
        <w:tblPrEx>
          <w:tblCellMar>
            <w:top w:w="0" w:type="dxa"/>
            <w:left w:w="108" w:type="dxa"/>
            <w:bottom w:w="0" w:type="dxa"/>
            <w:right w:w="108" w:type="dxa"/>
          </w:tblCellMar>
        </w:tblPrEx>
        <w:tc>
          <w:tcPr>
            <w:tcW w:w="8848" w:type="dxa"/>
            <w:gridSpan w:val="14"/>
            <w:vAlign w:val="center"/>
          </w:tcPr>
          <w:p w14:paraId="53847686">
            <w:pPr>
              <w:jc w:val="center"/>
            </w:pPr>
            <w:r>
              <w:rPr>
                <w:rFonts w:ascii="宋体" w:hAnsi="宋体" w:eastAsia="宋体"/>
                <w:sz w:val="24"/>
              </w:rPr>
              <w:t>项目支出绩效自评表</w:t>
            </w:r>
          </w:p>
        </w:tc>
      </w:tr>
      <w:tr w14:paraId="5D5EBE2C">
        <w:tblPrEx>
          <w:tblCellMar>
            <w:top w:w="0" w:type="dxa"/>
            <w:left w:w="108" w:type="dxa"/>
            <w:bottom w:w="0" w:type="dxa"/>
            <w:right w:w="108" w:type="dxa"/>
          </w:tblCellMar>
        </w:tblPrEx>
        <w:tc>
          <w:tcPr>
            <w:tcW w:w="8848" w:type="dxa"/>
            <w:gridSpan w:val="14"/>
            <w:vAlign w:val="center"/>
          </w:tcPr>
          <w:p w14:paraId="59E6B3E0">
            <w:pPr>
              <w:jc w:val="center"/>
            </w:pPr>
            <w:r>
              <w:rPr>
                <w:rFonts w:ascii="宋体" w:hAnsi="宋体" w:eastAsia="宋体"/>
                <w:sz w:val="24"/>
              </w:rPr>
              <w:t>(2024年度)</w:t>
            </w:r>
          </w:p>
        </w:tc>
      </w:tr>
      <w:tr w14:paraId="2CAFD4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8C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02EDE4">
            <w:pPr>
              <w:jc w:val="center"/>
            </w:pPr>
            <w:r>
              <w:rPr>
                <w:rFonts w:ascii="宋体" w:hAnsi="宋体" w:eastAsia="宋体"/>
                <w:sz w:val="16"/>
              </w:rPr>
              <w:t>党校运转项目</w:t>
            </w:r>
          </w:p>
        </w:tc>
      </w:tr>
      <w:tr w14:paraId="2D5522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35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53EA2">
            <w:pPr>
              <w:jc w:val="center"/>
            </w:pPr>
            <w:r>
              <w:rPr>
                <w:rFonts w:ascii="宋体" w:hAnsi="宋体" w:eastAsia="宋体"/>
                <w:sz w:val="16"/>
              </w:rPr>
              <w:t>中国共产党霍城县委员会党校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AD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4F17D7">
            <w:pPr>
              <w:jc w:val="center"/>
            </w:pPr>
            <w:r>
              <w:rPr>
                <w:rFonts w:ascii="宋体" w:hAnsi="宋体" w:eastAsia="宋体"/>
                <w:sz w:val="16"/>
              </w:rPr>
              <w:t>中国共产党霍城县委员会党校</w:t>
            </w:r>
          </w:p>
        </w:tc>
      </w:tr>
      <w:tr w14:paraId="25046C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D4C9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F02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DA2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393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374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00F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B23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3E88">
            <w:pPr>
              <w:jc w:val="center"/>
            </w:pPr>
            <w:r>
              <w:rPr>
                <w:rFonts w:ascii="宋体" w:hAnsi="宋体" w:eastAsia="宋体"/>
                <w:sz w:val="16"/>
              </w:rPr>
              <w:t>得分</w:t>
            </w:r>
          </w:p>
        </w:tc>
      </w:tr>
      <w:tr w14:paraId="481B7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797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23D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980D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ABEC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904B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1FD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61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2D8E">
            <w:pPr>
              <w:jc w:val="center"/>
            </w:pPr>
            <w:r>
              <w:rPr>
                <w:rFonts w:ascii="宋体" w:hAnsi="宋体" w:eastAsia="宋体"/>
                <w:sz w:val="16"/>
              </w:rPr>
              <w:t>10.00</w:t>
            </w:r>
          </w:p>
        </w:tc>
      </w:tr>
      <w:tr w14:paraId="20CC8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8CF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1DC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03B7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88E5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1ADB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7F0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51D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AEB9">
            <w:pPr>
              <w:jc w:val="center"/>
            </w:pPr>
            <w:r>
              <w:rPr>
                <w:rFonts w:ascii="宋体" w:hAnsi="宋体" w:eastAsia="宋体"/>
                <w:sz w:val="16"/>
              </w:rPr>
              <w:t>—</w:t>
            </w:r>
          </w:p>
        </w:tc>
      </w:tr>
      <w:tr w14:paraId="2A709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395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6D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876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99D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D6E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9B6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49E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AEDA">
            <w:pPr>
              <w:jc w:val="center"/>
            </w:pPr>
            <w:r>
              <w:rPr>
                <w:rFonts w:ascii="宋体" w:hAnsi="宋体" w:eastAsia="宋体"/>
                <w:sz w:val="16"/>
              </w:rPr>
              <w:t>—</w:t>
            </w:r>
          </w:p>
        </w:tc>
      </w:tr>
      <w:tr w14:paraId="301E51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F395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4F7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5A950">
            <w:pPr>
              <w:jc w:val="center"/>
            </w:pPr>
            <w:r>
              <w:rPr>
                <w:rFonts w:ascii="宋体" w:hAnsi="宋体" w:eastAsia="宋体"/>
                <w:sz w:val="16"/>
              </w:rPr>
              <w:t>实际完成情况</w:t>
            </w:r>
          </w:p>
        </w:tc>
      </w:tr>
      <w:tr w14:paraId="015EBC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6F6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B7A2F">
            <w:pPr>
              <w:jc w:val="both"/>
            </w:pPr>
            <w:r>
              <w:rPr>
                <w:rFonts w:ascii="宋体" w:hAnsi="宋体" w:eastAsia="宋体"/>
                <w:sz w:val="16"/>
              </w:rPr>
              <w:t>一、坚持党校姓党，擦亮党建品牌，在从严治校上立标杆。二、践行为党育才，坚持</w:t>
            </w:r>
            <w:r>
              <w:rPr>
                <w:rFonts w:hint="eastAsia" w:ascii="宋体" w:hAnsi="宋体"/>
                <w:sz w:val="16"/>
                <w:lang w:eastAsia="zh-CN"/>
              </w:rPr>
              <w:t>“两个结合”</w:t>
            </w:r>
            <w:r>
              <w:rPr>
                <w:rFonts w:ascii="宋体" w:hAnsi="宋体" w:eastAsia="宋体"/>
                <w:sz w:val="16"/>
              </w:rPr>
              <w:t>，在质量立校上做表率坚持预防为主、源头治理、强化文物安全责任、建立健全安全制度、加强安全实施建设。三抓实为党献策，把握三个关键，在智库担当上开新局。目标1：干部培训人次1600人、干部培训班次20班次、干部培训天数180天共计20万元，目标2：运转支出经费共30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69F92B">
            <w:pPr>
              <w:jc w:val="both"/>
            </w:pPr>
            <w:r>
              <w:rPr>
                <w:rFonts w:ascii="宋体" w:hAnsi="宋体" w:eastAsia="宋体"/>
                <w:sz w:val="16"/>
              </w:rPr>
              <w:t>完成培训人数1655人，培训次数23次，培训天数259天，50万运转项目成本控制措施科学有效，在既定投入水平下可以达到最优社会效益有效推动干部教育培训供给与需求精准匹配，更好满足培训干部需求，进一步增强干部培训系统性、针对性、有效性，有效提升干部党性修养和干部素质。</w:t>
            </w:r>
          </w:p>
        </w:tc>
      </w:tr>
      <w:tr w14:paraId="4DD36A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C3A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F9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E1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90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24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C47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1EB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6F9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F88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D5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A4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C7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A8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B9E5">
            <w:pPr>
              <w:jc w:val="center"/>
            </w:pPr>
            <w:r>
              <w:rPr>
                <w:rFonts w:ascii="宋体" w:hAnsi="宋体" w:eastAsia="宋体"/>
                <w:sz w:val="16"/>
              </w:rPr>
              <w:t>偏差原因分析及改进措施</w:t>
            </w:r>
          </w:p>
        </w:tc>
      </w:tr>
      <w:tr w14:paraId="36060A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DBF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A08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A02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1FA6">
            <w:pPr>
              <w:jc w:val="center"/>
            </w:pPr>
            <w:r>
              <w:rPr>
                <w:rFonts w:ascii="宋体" w:hAnsi="宋体" w:eastAsia="宋体"/>
                <w:sz w:val="16"/>
              </w:rPr>
              <w:t>干部培训人次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DC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76D2">
            <w:pPr>
              <w:jc w:val="center"/>
            </w:pPr>
            <w:r>
              <w:rPr>
                <w:rFonts w:ascii="宋体" w:hAnsi="宋体" w:eastAsia="宋体"/>
                <w:sz w:val="16"/>
              </w:rPr>
              <w:t>&gt;=1600人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DEC0">
            <w:pPr>
              <w:jc w:val="center"/>
            </w:pPr>
            <w:r>
              <w:rPr>
                <w:rFonts w:ascii="宋体" w:hAnsi="宋体" w:eastAsia="宋体"/>
                <w:sz w:val="16"/>
              </w:rPr>
              <w:t>1655人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B62C">
            <w:pPr>
              <w:jc w:val="center"/>
            </w:pPr>
            <w:r>
              <w:rPr>
                <w:rFonts w:ascii="宋体" w:hAnsi="宋体" w:eastAsia="宋体"/>
                <w:sz w:val="16"/>
              </w:rPr>
              <w:t>103.44%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39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6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858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9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F7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3DFC">
            <w:pPr>
              <w:jc w:val="center"/>
            </w:pPr>
            <w:r>
              <w:rPr>
                <w:rFonts w:ascii="宋体" w:hAnsi="宋体" w:eastAsia="宋体"/>
                <w:sz w:val="16"/>
              </w:rPr>
              <w:t>增加了培训人次</w:t>
            </w:r>
          </w:p>
        </w:tc>
      </w:tr>
      <w:tr w14:paraId="76E79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C9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A1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C1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459F">
            <w:pPr>
              <w:jc w:val="center"/>
            </w:pPr>
            <w:r>
              <w:rPr>
                <w:rFonts w:ascii="宋体" w:hAnsi="宋体" w:eastAsia="宋体"/>
                <w:sz w:val="16"/>
              </w:rPr>
              <w:t>干部培训班次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54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9398">
            <w:pPr>
              <w:jc w:val="center"/>
            </w:pPr>
            <w:r>
              <w:rPr>
                <w:rFonts w:ascii="宋体" w:hAnsi="宋体" w:eastAsia="宋体"/>
                <w:sz w:val="16"/>
              </w:rPr>
              <w:t>&gt;=20班次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EDA3">
            <w:pPr>
              <w:jc w:val="center"/>
            </w:pPr>
            <w:r>
              <w:rPr>
                <w:rFonts w:ascii="宋体" w:hAnsi="宋体" w:eastAsia="宋体"/>
                <w:sz w:val="16"/>
              </w:rPr>
              <w:t>23班次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153A">
            <w:pPr>
              <w:jc w:val="center"/>
            </w:pPr>
            <w:r>
              <w:rPr>
                <w:rFonts w:ascii="宋体" w:hAnsi="宋体" w:eastAsia="宋体"/>
                <w:sz w:val="16"/>
              </w:rPr>
              <w: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939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42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573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AF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EF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7321">
            <w:pPr>
              <w:jc w:val="center"/>
            </w:pPr>
            <w:r>
              <w:rPr>
                <w:rFonts w:ascii="宋体" w:hAnsi="宋体" w:eastAsia="宋体"/>
                <w:sz w:val="16"/>
              </w:rPr>
              <w:t>增加了培训班次</w:t>
            </w:r>
          </w:p>
        </w:tc>
      </w:tr>
      <w:tr w14:paraId="67FEF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C9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C1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D9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2219C">
            <w:pPr>
              <w:jc w:val="center"/>
            </w:pPr>
            <w:r>
              <w:rPr>
                <w:rFonts w:ascii="宋体" w:hAnsi="宋体" w:eastAsia="宋体"/>
                <w:sz w:val="16"/>
              </w:rPr>
              <w:t>干部培训天数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E7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3D52">
            <w:pPr>
              <w:jc w:val="center"/>
            </w:pPr>
            <w:r>
              <w:rPr>
                <w:rFonts w:ascii="宋体" w:hAnsi="宋体" w:eastAsia="宋体"/>
                <w:sz w:val="16"/>
              </w:rPr>
              <w:t>&gt;=180天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223D">
            <w:pPr>
              <w:jc w:val="center"/>
            </w:pPr>
            <w:r>
              <w:rPr>
                <w:rFonts w:ascii="宋体" w:hAnsi="宋体" w:eastAsia="宋体"/>
                <w:sz w:val="16"/>
              </w:rPr>
              <w:t>259天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927E">
            <w:pPr>
              <w:jc w:val="center"/>
            </w:pPr>
            <w:r>
              <w:rPr>
                <w:rFonts w:ascii="宋体" w:hAnsi="宋体" w:eastAsia="宋体"/>
                <w:sz w:val="16"/>
              </w:rPr>
              <w:t>143.89%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F01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7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06D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3B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65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92C9">
            <w:pPr>
              <w:jc w:val="center"/>
            </w:pPr>
            <w:r>
              <w:rPr>
                <w:rFonts w:ascii="宋体" w:hAnsi="宋体" w:eastAsia="宋体"/>
                <w:sz w:val="16"/>
              </w:rPr>
              <w:t>偏差原因：增加了培训天数。改进措施：严格按照年初培训方案，制定合理的绩效目标表，在规定的时间内完成培训工作。</w:t>
            </w:r>
          </w:p>
        </w:tc>
      </w:tr>
      <w:tr w14:paraId="17211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EE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DEA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28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024B">
            <w:pPr>
              <w:jc w:val="center"/>
            </w:pPr>
            <w:r>
              <w:rPr>
                <w:rFonts w:ascii="宋体" w:hAnsi="宋体" w:eastAsia="宋体"/>
                <w:sz w:val="16"/>
              </w:rPr>
              <w:t>供暖面积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DD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7D03">
            <w:pPr>
              <w:jc w:val="center"/>
            </w:pPr>
            <w:r>
              <w:rPr>
                <w:rFonts w:ascii="宋体" w:hAnsi="宋体" w:eastAsia="宋体"/>
                <w:sz w:val="16"/>
              </w:rPr>
              <w:t>=5468平方米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25FE">
            <w:pPr>
              <w:jc w:val="center"/>
            </w:pPr>
            <w:r>
              <w:rPr>
                <w:rFonts w:ascii="宋体" w:hAnsi="宋体" w:eastAsia="宋体"/>
                <w:sz w:val="16"/>
              </w:rPr>
              <w:t>5468平方米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D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161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84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43E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4E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2E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53B92">
            <w:pPr>
              <w:jc w:val="center"/>
            </w:pPr>
          </w:p>
        </w:tc>
      </w:tr>
      <w:tr w14:paraId="47580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CB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539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36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9F6B">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EA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88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A4D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7EFC">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15E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6B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051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8B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08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6F72">
            <w:pPr>
              <w:jc w:val="center"/>
            </w:pPr>
            <w:r>
              <w:rPr>
                <w:rFonts w:ascii="宋体" w:hAnsi="宋体" w:eastAsia="宋体"/>
                <w:sz w:val="16"/>
              </w:rPr>
              <w:t>培训出勤率提高</w:t>
            </w:r>
          </w:p>
        </w:tc>
      </w:tr>
      <w:tr w14:paraId="2A2B4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9A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8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F9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3DE0">
            <w:pPr>
              <w:jc w:val="center"/>
            </w:pPr>
            <w:r>
              <w:rPr>
                <w:rFonts w:ascii="宋体" w:hAnsi="宋体" w:eastAsia="宋体"/>
                <w:sz w:val="16"/>
              </w:rPr>
              <w:t>培训按期计划完成率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5F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43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564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5E81">
            <w:pPr>
              <w:jc w:val="center"/>
            </w:pPr>
            <w:r>
              <w:rPr>
                <w:rFonts w:ascii="宋体" w:hAnsi="宋体" w:eastAsia="宋体"/>
                <w:sz w:val="16"/>
              </w:rPr>
              <w:t>105.55%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E7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EF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42F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8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BF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FE0F">
            <w:pPr>
              <w:jc w:val="center"/>
            </w:pPr>
            <w:r>
              <w:rPr>
                <w:rFonts w:ascii="宋体" w:hAnsi="宋体" w:eastAsia="宋体"/>
                <w:sz w:val="16"/>
              </w:rPr>
              <w:t>按计划完成率提高</w:t>
            </w:r>
          </w:p>
        </w:tc>
      </w:tr>
      <w:tr w14:paraId="372F0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A1B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4A87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62C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11E4">
            <w:pPr>
              <w:jc w:val="center"/>
            </w:pPr>
            <w:r>
              <w:rPr>
                <w:rFonts w:ascii="宋体" w:hAnsi="宋体" w:eastAsia="宋体"/>
                <w:sz w:val="16"/>
              </w:rPr>
              <w:t>培训学员支出成本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02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825D">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A56F">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6C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70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6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7DF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15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80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ED9A">
            <w:pPr>
              <w:jc w:val="center"/>
            </w:pPr>
          </w:p>
        </w:tc>
      </w:tr>
      <w:tr w14:paraId="7162E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D92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C4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3C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52CB">
            <w:pPr>
              <w:jc w:val="center"/>
            </w:pPr>
            <w:r>
              <w:rPr>
                <w:rFonts w:ascii="宋体" w:hAnsi="宋体" w:eastAsia="宋体"/>
                <w:sz w:val="16"/>
              </w:rPr>
              <w:t>运转支出经费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EA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4131">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2128">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3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27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C0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74B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6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3E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9DF0">
            <w:pPr>
              <w:jc w:val="center"/>
            </w:pPr>
          </w:p>
        </w:tc>
      </w:tr>
      <w:tr w14:paraId="7815A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A5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0E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03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0535">
            <w:pPr>
              <w:jc w:val="center"/>
            </w:pPr>
            <w:r>
              <w:rPr>
                <w:rFonts w:ascii="宋体" w:hAnsi="宋体" w:eastAsia="宋体"/>
                <w:sz w:val="16"/>
              </w:rPr>
              <w:t>提升培训学员党性修养及干部素质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5D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208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53EF">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76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98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24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714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41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56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500A">
            <w:pPr>
              <w:jc w:val="center"/>
            </w:pPr>
          </w:p>
        </w:tc>
      </w:tr>
      <w:tr w14:paraId="3C099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9B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34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BD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9A46">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9D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1E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B6B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6C85">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1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B2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392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D7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29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0454">
            <w:pPr>
              <w:jc w:val="center"/>
            </w:pPr>
            <w:r>
              <w:rPr>
                <w:rFonts w:ascii="宋体" w:hAnsi="宋体" w:eastAsia="宋体"/>
                <w:sz w:val="16"/>
              </w:rPr>
              <w:t>培训满意度提高</w:t>
            </w:r>
          </w:p>
        </w:tc>
      </w:tr>
      <w:tr w14:paraId="7C14181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5BBF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8E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616A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FC3D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B09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983D">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5D76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2587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48C7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6B13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E942E1"/>
        </w:tc>
      </w:tr>
    </w:tbl>
    <w:p w14:paraId="424E5987">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626"/>
        <w:gridCol w:w="776"/>
        <w:gridCol w:w="631"/>
        <w:gridCol w:w="776"/>
        <w:gridCol w:w="626"/>
        <w:gridCol w:w="623"/>
        <w:gridCol w:w="623"/>
        <w:gridCol w:w="624"/>
        <w:gridCol w:w="625"/>
        <w:gridCol w:w="632"/>
      </w:tblGrid>
      <w:tr w14:paraId="2869B776">
        <w:tc>
          <w:tcPr>
            <w:tcW w:w="8848" w:type="dxa"/>
            <w:gridSpan w:val="14"/>
            <w:vAlign w:val="center"/>
          </w:tcPr>
          <w:p w14:paraId="3A543EA9">
            <w:pPr>
              <w:jc w:val="center"/>
            </w:pPr>
            <w:r>
              <w:rPr>
                <w:rFonts w:ascii="宋体" w:hAnsi="宋体" w:eastAsia="宋体"/>
                <w:sz w:val="24"/>
              </w:rPr>
              <w:t>项目支出绩效自评表</w:t>
            </w:r>
          </w:p>
        </w:tc>
      </w:tr>
      <w:tr w14:paraId="376C8F46">
        <w:tblPrEx>
          <w:tblCellMar>
            <w:top w:w="0" w:type="dxa"/>
            <w:left w:w="108" w:type="dxa"/>
            <w:bottom w:w="0" w:type="dxa"/>
            <w:right w:w="108" w:type="dxa"/>
          </w:tblCellMar>
        </w:tblPrEx>
        <w:tc>
          <w:tcPr>
            <w:tcW w:w="8848" w:type="dxa"/>
            <w:gridSpan w:val="14"/>
            <w:vAlign w:val="center"/>
          </w:tcPr>
          <w:p w14:paraId="5AE0C403">
            <w:pPr>
              <w:jc w:val="center"/>
            </w:pPr>
            <w:r>
              <w:rPr>
                <w:rFonts w:ascii="宋体" w:hAnsi="宋体" w:eastAsia="宋体"/>
                <w:sz w:val="24"/>
              </w:rPr>
              <w:t>(2024年度)</w:t>
            </w:r>
          </w:p>
        </w:tc>
      </w:tr>
      <w:tr w14:paraId="3C9D85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08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9BBE54">
            <w:pPr>
              <w:jc w:val="center"/>
            </w:pPr>
            <w:r>
              <w:rPr>
                <w:rFonts w:ascii="宋体" w:hAnsi="宋体" w:eastAsia="宋体"/>
                <w:sz w:val="16"/>
              </w:rPr>
              <w:t>霍城县2024年乡科级干部任职培训项目（自有资金）</w:t>
            </w:r>
          </w:p>
        </w:tc>
      </w:tr>
      <w:tr w14:paraId="1FD974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56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BBD36A">
            <w:pPr>
              <w:jc w:val="center"/>
            </w:pPr>
            <w:r>
              <w:rPr>
                <w:rFonts w:ascii="宋体" w:hAnsi="宋体" w:eastAsia="宋体"/>
                <w:sz w:val="16"/>
              </w:rPr>
              <w:t>中国共产党霍城县委员会党校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27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256E34">
            <w:pPr>
              <w:jc w:val="center"/>
            </w:pPr>
            <w:r>
              <w:rPr>
                <w:rFonts w:ascii="宋体" w:hAnsi="宋体" w:eastAsia="宋体"/>
                <w:sz w:val="16"/>
              </w:rPr>
              <w:t>中国共产党霍城县委员会党校</w:t>
            </w:r>
          </w:p>
        </w:tc>
      </w:tr>
      <w:tr w14:paraId="4768EC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1D6F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C35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5E1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5B0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8BA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14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F0A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6AD6">
            <w:pPr>
              <w:jc w:val="center"/>
            </w:pPr>
            <w:r>
              <w:rPr>
                <w:rFonts w:ascii="宋体" w:hAnsi="宋体" w:eastAsia="宋体"/>
                <w:sz w:val="16"/>
              </w:rPr>
              <w:t>得分</w:t>
            </w:r>
          </w:p>
        </w:tc>
      </w:tr>
      <w:tr w14:paraId="1F3DD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564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262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BA6F3">
            <w:pPr>
              <w:jc w:val="center"/>
            </w:pPr>
            <w:r>
              <w:rPr>
                <w:rFonts w:ascii="宋体" w:hAnsi="宋体" w:eastAsia="宋体"/>
                <w:sz w:val="16"/>
              </w:rPr>
              <w:t>21.53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5F2AB">
            <w:pPr>
              <w:jc w:val="center"/>
            </w:pPr>
            <w:r>
              <w:rPr>
                <w:rFonts w:ascii="宋体" w:hAnsi="宋体" w:eastAsia="宋体"/>
                <w:sz w:val="16"/>
              </w:rPr>
              <w:t>21.53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CF421">
            <w:pPr>
              <w:jc w:val="center"/>
            </w:pPr>
            <w:r>
              <w:rPr>
                <w:rFonts w:ascii="宋体" w:hAnsi="宋体" w:eastAsia="宋体"/>
                <w:sz w:val="16"/>
              </w:rPr>
              <w:t>21.53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A3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645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FAE4">
            <w:pPr>
              <w:jc w:val="center"/>
            </w:pPr>
            <w:r>
              <w:rPr>
                <w:rFonts w:ascii="宋体" w:hAnsi="宋体" w:eastAsia="宋体"/>
                <w:sz w:val="16"/>
              </w:rPr>
              <w:t>10.00</w:t>
            </w:r>
          </w:p>
        </w:tc>
      </w:tr>
      <w:tr w14:paraId="0432F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BC8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521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991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797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0E2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492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284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395F">
            <w:pPr>
              <w:jc w:val="center"/>
            </w:pPr>
            <w:r>
              <w:rPr>
                <w:rFonts w:ascii="宋体" w:hAnsi="宋体" w:eastAsia="宋体"/>
                <w:sz w:val="16"/>
              </w:rPr>
              <w:t>—</w:t>
            </w:r>
          </w:p>
        </w:tc>
      </w:tr>
      <w:tr w14:paraId="76627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562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5F1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0FEC0">
            <w:pPr>
              <w:jc w:val="center"/>
            </w:pPr>
            <w:r>
              <w:rPr>
                <w:rFonts w:ascii="宋体" w:hAnsi="宋体" w:eastAsia="宋体"/>
                <w:sz w:val="16"/>
              </w:rPr>
              <w:t>21.53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044DB">
            <w:pPr>
              <w:jc w:val="center"/>
            </w:pPr>
            <w:r>
              <w:rPr>
                <w:rFonts w:ascii="宋体" w:hAnsi="宋体" w:eastAsia="宋体"/>
                <w:sz w:val="16"/>
              </w:rPr>
              <w:t>21.53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084E5">
            <w:pPr>
              <w:jc w:val="center"/>
            </w:pPr>
            <w:r>
              <w:rPr>
                <w:rFonts w:ascii="宋体" w:hAnsi="宋体" w:eastAsia="宋体"/>
                <w:sz w:val="16"/>
              </w:rPr>
              <w:t>21.53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97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D55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5B08">
            <w:pPr>
              <w:jc w:val="center"/>
            </w:pPr>
            <w:r>
              <w:rPr>
                <w:rFonts w:ascii="宋体" w:hAnsi="宋体" w:eastAsia="宋体"/>
                <w:sz w:val="16"/>
              </w:rPr>
              <w:t>—</w:t>
            </w:r>
          </w:p>
        </w:tc>
      </w:tr>
      <w:tr w14:paraId="0A1FC2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E95D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F1C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0C858C">
            <w:pPr>
              <w:jc w:val="center"/>
            </w:pPr>
            <w:r>
              <w:rPr>
                <w:rFonts w:ascii="宋体" w:hAnsi="宋体" w:eastAsia="宋体"/>
                <w:sz w:val="16"/>
              </w:rPr>
              <w:t>实际完成情况</w:t>
            </w:r>
          </w:p>
        </w:tc>
      </w:tr>
      <w:tr w14:paraId="6A051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1F3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81B12">
            <w:pPr>
              <w:jc w:val="both"/>
            </w:pPr>
            <w:r>
              <w:rPr>
                <w:rFonts w:ascii="宋体" w:hAnsi="宋体" w:eastAsia="宋体"/>
                <w:sz w:val="16"/>
              </w:rPr>
              <w:t>通过培训促使乡科级干部加强思想淬炼、政治历练、党性锻炼，严守政治纪律和政治规矩，坚持理论联系实际，自觉深刻领悟“两个确立”的决定性意义，增强“四个意识”、坚定“四个自信”、做到“两个维护”，把学习成果转化为统一思想认识、推动工作落实、夯实基层基础、强化队伍建设的实际行动，不断提高政治素质和党性修养，达到补钙聚力提神的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BDABA">
            <w:pPr>
              <w:jc w:val="both"/>
            </w:pPr>
            <w:r>
              <w:rPr>
                <w:rFonts w:ascii="宋体" w:hAnsi="宋体" w:eastAsia="宋体"/>
                <w:sz w:val="16"/>
              </w:rPr>
              <w:t>完成干部培训人数118人，培训次数3次，培训天数90天。坚持“党校姓党”根本原则，坚守“为党育才、为党献策”的党校初心，围绕县委、县政府中心工作，扎实推进党校各项工作任务，成效明显。</w:t>
            </w:r>
          </w:p>
        </w:tc>
      </w:tr>
      <w:tr w14:paraId="51B0E6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A8F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70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C9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77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B9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D0F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BFB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3F5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E94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01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89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B6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27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363A">
            <w:pPr>
              <w:jc w:val="center"/>
            </w:pPr>
            <w:r>
              <w:rPr>
                <w:rFonts w:ascii="宋体" w:hAnsi="宋体" w:eastAsia="宋体"/>
                <w:sz w:val="16"/>
              </w:rPr>
              <w:t>偏差原因分析及改进措施</w:t>
            </w:r>
          </w:p>
        </w:tc>
      </w:tr>
      <w:tr w14:paraId="194EFF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4C3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3CD8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A51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A15C">
            <w:pPr>
              <w:jc w:val="center"/>
            </w:pPr>
            <w:r>
              <w:rPr>
                <w:rFonts w:ascii="宋体" w:hAnsi="宋体" w:eastAsia="宋体"/>
                <w:sz w:val="16"/>
              </w:rPr>
              <w:t>新任职乡科级干部培训人数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A7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734E">
            <w:pPr>
              <w:jc w:val="center"/>
            </w:pPr>
            <w:r>
              <w:rPr>
                <w:rFonts w:ascii="宋体" w:hAnsi="宋体" w:eastAsia="宋体"/>
                <w:sz w:val="16"/>
              </w:rPr>
              <w:t>=118人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5EA0">
            <w:pPr>
              <w:jc w:val="center"/>
            </w:pPr>
            <w:r>
              <w:rPr>
                <w:rFonts w:ascii="宋体" w:hAnsi="宋体" w:eastAsia="宋体"/>
                <w:sz w:val="16"/>
              </w:rPr>
              <w:t>118人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E8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04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4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84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F6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91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A96B">
            <w:pPr>
              <w:jc w:val="center"/>
            </w:pPr>
          </w:p>
        </w:tc>
      </w:tr>
      <w:tr w14:paraId="69E5B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03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4F3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DF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679E">
            <w:pPr>
              <w:jc w:val="center"/>
            </w:pPr>
            <w:r>
              <w:rPr>
                <w:rFonts w:ascii="宋体" w:hAnsi="宋体" w:eastAsia="宋体"/>
                <w:sz w:val="16"/>
              </w:rPr>
              <w:t>新任职乡科级干部培训次数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EA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FE82">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2EC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22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F4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4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E8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5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57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D134">
            <w:pPr>
              <w:jc w:val="center"/>
            </w:pPr>
          </w:p>
        </w:tc>
      </w:tr>
      <w:tr w14:paraId="0E66B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CC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FB3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58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1E65">
            <w:pPr>
              <w:jc w:val="center"/>
            </w:pPr>
            <w:r>
              <w:rPr>
                <w:rFonts w:ascii="宋体" w:hAnsi="宋体" w:eastAsia="宋体"/>
                <w:sz w:val="16"/>
              </w:rPr>
              <w:t>新任职乡科级干部培训天数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7D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28A5">
            <w:pPr>
              <w:jc w:val="center"/>
            </w:pPr>
            <w:r>
              <w:rPr>
                <w:rFonts w:ascii="宋体" w:hAnsi="宋体" w:eastAsia="宋体"/>
                <w:sz w:val="16"/>
              </w:rPr>
              <w:t>=90天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AD33">
            <w:pPr>
              <w:jc w:val="center"/>
            </w:pPr>
            <w:r>
              <w:rPr>
                <w:rFonts w:ascii="宋体" w:hAnsi="宋体" w:eastAsia="宋体"/>
                <w:sz w:val="16"/>
              </w:rPr>
              <w:t>90天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4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9D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FC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89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10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13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3F7D">
            <w:pPr>
              <w:jc w:val="center"/>
            </w:pPr>
          </w:p>
        </w:tc>
      </w:tr>
      <w:tr w14:paraId="7B245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61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6A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E8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87ED">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A8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BAF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044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E5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04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0E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61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8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A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8717">
            <w:pPr>
              <w:jc w:val="center"/>
            </w:pPr>
          </w:p>
        </w:tc>
      </w:tr>
      <w:tr w14:paraId="185C7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63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618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94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4E36">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D1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F172">
            <w:pPr>
              <w:jc w:val="center"/>
            </w:pPr>
            <w:r>
              <w:rPr>
                <w:rFonts w:ascii="宋体" w:hAnsi="宋体" w:eastAsia="宋体"/>
                <w:sz w:val="16"/>
              </w:rPr>
              <w:t>9月15日之前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62F5">
            <w:pPr>
              <w:jc w:val="center"/>
            </w:pPr>
            <w:r>
              <w:rPr>
                <w:rFonts w:ascii="宋体" w:hAnsi="宋体" w:eastAsia="宋体"/>
                <w:sz w:val="16"/>
              </w:rPr>
              <w:t>8月15日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02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55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8C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29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D1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C8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E82D">
            <w:pPr>
              <w:jc w:val="center"/>
            </w:pPr>
          </w:p>
        </w:tc>
      </w:tr>
      <w:tr w14:paraId="77C77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859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97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F0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EB47">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A6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EF65">
            <w:pPr>
              <w:jc w:val="center"/>
            </w:pPr>
            <w:r>
              <w:rPr>
                <w:rFonts w:ascii="宋体" w:hAnsi="宋体" w:eastAsia="宋体"/>
                <w:sz w:val="16"/>
              </w:rPr>
              <w:t>&lt;=20.28元/人/天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00E6">
            <w:pPr>
              <w:jc w:val="center"/>
            </w:pPr>
            <w:r>
              <w:rPr>
                <w:rFonts w:ascii="宋体" w:hAnsi="宋体" w:eastAsia="宋体"/>
                <w:sz w:val="16"/>
              </w:rPr>
              <w:t>20.28元/人/天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3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22C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38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E0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04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71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5384">
            <w:pPr>
              <w:jc w:val="center"/>
            </w:pPr>
          </w:p>
        </w:tc>
      </w:tr>
      <w:tr w14:paraId="51822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9A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8B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60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844D">
            <w:pPr>
              <w:jc w:val="center"/>
            </w:pPr>
            <w:r>
              <w:rPr>
                <w:rFonts w:ascii="宋体" w:hAnsi="宋体" w:eastAsia="宋体"/>
                <w:sz w:val="16"/>
              </w:rPr>
              <w:t>提升新任职乡科级干部整体素质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61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4B8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D339">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16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22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A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E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DC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4B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57C9">
            <w:pPr>
              <w:jc w:val="center"/>
            </w:pPr>
          </w:p>
        </w:tc>
      </w:tr>
      <w:tr w14:paraId="447F4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67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88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3C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7B59">
            <w:pPr>
              <w:jc w:val="center"/>
            </w:pPr>
            <w:r>
              <w:rPr>
                <w:rFonts w:ascii="宋体" w:hAnsi="宋体" w:eastAsia="宋体"/>
                <w:sz w:val="16"/>
              </w:rPr>
              <w:t>新任职乡科级干部培训满意度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4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64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1180">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55EC">
            <w:pPr>
              <w:jc w:val="center"/>
            </w:pPr>
            <w:r>
              <w:rPr>
                <w:rFonts w:ascii="宋体" w:hAnsi="宋体" w:eastAsia="宋体"/>
                <w:sz w:val="16"/>
              </w:rPr>
              <w:t>104.21%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3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C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B9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2D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08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6FF3">
            <w:pPr>
              <w:jc w:val="center"/>
            </w:pPr>
            <w:r>
              <w:rPr>
                <w:rFonts w:ascii="宋体" w:hAnsi="宋体" w:eastAsia="宋体"/>
                <w:sz w:val="16"/>
              </w:rPr>
              <w:t>培训满意度提高</w:t>
            </w:r>
          </w:p>
        </w:tc>
      </w:tr>
      <w:tr w14:paraId="4DE6FCD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21C2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D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788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E8F6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F47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C55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3633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F29F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1C6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50E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87D7E5"/>
        </w:tc>
      </w:tr>
    </w:tbl>
    <w:p w14:paraId="6AE35D57">
      <w:r>
        <w:br w:type="page"/>
      </w:r>
    </w:p>
    <w:p w14:paraId="471A1B5E">
      <w:pPr>
        <w:spacing w:line="640" w:lineRule="exact"/>
        <w:ind w:firstLine="640"/>
        <w:jc w:val="both"/>
        <w:outlineLvl w:val="2"/>
      </w:pPr>
      <w:r>
        <w:rPr>
          <w:rFonts w:ascii="黑体" w:hAnsi="黑体" w:eastAsia="黑体"/>
          <w:sz w:val="32"/>
        </w:rPr>
        <w:t>十二、其他需说明的事项</w:t>
      </w:r>
    </w:p>
    <w:p w14:paraId="1A47459D">
      <w:pPr>
        <w:spacing w:line="580" w:lineRule="exact"/>
        <w:ind w:firstLine="640"/>
        <w:jc w:val="both"/>
      </w:pPr>
      <w:r>
        <w:rPr>
          <w:rFonts w:ascii="仿宋_GB2312" w:hAnsi="仿宋_GB2312" w:eastAsia="仿宋_GB2312"/>
          <w:b w:val="0"/>
          <w:sz w:val="32"/>
        </w:rPr>
        <w:t>本单位无其他需说明的事项。</w:t>
      </w:r>
    </w:p>
    <w:p w14:paraId="56E1C736">
      <w:r>
        <w:br w:type="page"/>
      </w:r>
    </w:p>
    <w:p w14:paraId="0316F2C2">
      <w:pPr>
        <w:spacing w:line="240" w:lineRule="auto"/>
        <w:jc w:val="center"/>
        <w:outlineLvl w:val="1"/>
      </w:pPr>
      <w:r>
        <w:rPr>
          <w:rFonts w:ascii="黑体" w:hAnsi="黑体" w:eastAsia="黑体"/>
          <w:sz w:val="32"/>
        </w:rPr>
        <w:t>第三部分 专业名词解释</w:t>
      </w:r>
    </w:p>
    <w:p w14:paraId="08681A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A1F85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0AF29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DF4F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D0B674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F4E014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488E1B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5ACF6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45417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2E99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5CBD05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A3249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8972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D3140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FAFEEB">
      <w:r>
        <w:br w:type="page"/>
      </w:r>
    </w:p>
    <w:p w14:paraId="2D9BA15E">
      <w:pPr>
        <w:spacing w:line="240" w:lineRule="auto"/>
        <w:jc w:val="center"/>
        <w:outlineLvl w:val="1"/>
      </w:pPr>
      <w:r>
        <w:rPr>
          <w:rFonts w:ascii="黑体" w:hAnsi="黑体" w:eastAsia="黑体"/>
          <w:sz w:val="32"/>
        </w:rPr>
        <w:t>第四部分 部门决算报表（见附表）</w:t>
      </w:r>
    </w:p>
    <w:p w14:paraId="54BAB2FA">
      <w:pPr>
        <w:spacing w:line="240" w:lineRule="auto"/>
        <w:ind w:firstLine="640"/>
        <w:jc w:val="both"/>
      </w:pPr>
      <w:r>
        <w:rPr>
          <w:rFonts w:ascii="仿宋_GB2312" w:hAnsi="仿宋_GB2312" w:eastAsia="仿宋_GB2312"/>
          <w:b w:val="0"/>
          <w:sz w:val="32"/>
        </w:rPr>
        <w:t>一、《收入支出决算总表》</w:t>
      </w:r>
    </w:p>
    <w:p w14:paraId="1571D170">
      <w:pPr>
        <w:spacing w:line="240" w:lineRule="auto"/>
        <w:ind w:firstLine="640"/>
        <w:jc w:val="both"/>
      </w:pPr>
      <w:r>
        <w:rPr>
          <w:rFonts w:ascii="仿宋_GB2312" w:hAnsi="仿宋_GB2312" w:eastAsia="仿宋_GB2312"/>
          <w:b w:val="0"/>
          <w:sz w:val="32"/>
        </w:rPr>
        <w:t>二、《收入决算表》</w:t>
      </w:r>
    </w:p>
    <w:p w14:paraId="30FC9108">
      <w:pPr>
        <w:spacing w:line="240" w:lineRule="auto"/>
        <w:ind w:firstLine="640"/>
        <w:jc w:val="both"/>
      </w:pPr>
      <w:r>
        <w:rPr>
          <w:rFonts w:ascii="仿宋_GB2312" w:hAnsi="仿宋_GB2312" w:eastAsia="仿宋_GB2312"/>
          <w:b w:val="0"/>
          <w:sz w:val="32"/>
        </w:rPr>
        <w:t>三、《支出决算表》</w:t>
      </w:r>
    </w:p>
    <w:p w14:paraId="0619EC29">
      <w:pPr>
        <w:spacing w:line="240" w:lineRule="auto"/>
        <w:ind w:firstLine="640"/>
        <w:jc w:val="both"/>
      </w:pPr>
      <w:r>
        <w:rPr>
          <w:rFonts w:ascii="仿宋_GB2312" w:hAnsi="仿宋_GB2312" w:eastAsia="仿宋_GB2312"/>
          <w:b w:val="0"/>
          <w:sz w:val="32"/>
        </w:rPr>
        <w:t>四、《财政拨款收入支出决算总表》</w:t>
      </w:r>
    </w:p>
    <w:p w14:paraId="10F4AED5">
      <w:pPr>
        <w:spacing w:line="240" w:lineRule="auto"/>
        <w:ind w:firstLine="640"/>
        <w:jc w:val="both"/>
      </w:pPr>
      <w:r>
        <w:rPr>
          <w:rFonts w:ascii="仿宋_GB2312" w:hAnsi="仿宋_GB2312" w:eastAsia="仿宋_GB2312"/>
          <w:b w:val="0"/>
          <w:sz w:val="32"/>
        </w:rPr>
        <w:t>五、《一般公共预算财政拨款支出决算表》</w:t>
      </w:r>
    </w:p>
    <w:p w14:paraId="5D465DCB">
      <w:pPr>
        <w:spacing w:line="240" w:lineRule="auto"/>
        <w:ind w:firstLine="640"/>
        <w:jc w:val="both"/>
      </w:pPr>
      <w:r>
        <w:rPr>
          <w:rFonts w:ascii="仿宋_GB2312" w:hAnsi="仿宋_GB2312" w:eastAsia="仿宋_GB2312"/>
          <w:b w:val="0"/>
          <w:sz w:val="32"/>
        </w:rPr>
        <w:t>六、《一般公共预算财政拨款基本支出决算表》</w:t>
      </w:r>
    </w:p>
    <w:p w14:paraId="390A961D">
      <w:pPr>
        <w:spacing w:line="240" w:lineRule="auto"/>
        <w:ind w:firstLine="640"/>
        <w:jc w:val="both"/>
      </w:pPr>
      <w:r>
        <w:rPr>
          <w:rFonts w:ascii="仿宋_GB2312" w:hAnsi="仿宋_GB2312" w:eastAsia="仿宋_GB2312"/>
          <w:b w:val="0"/>
          <w:sz w:val="32"/>
        </w:rPr>
        <w:t>七、《政府性基金预算财政拨款收入支出决算表》</w:t>
      </w:r>
    </w:p>
    <w:p w14:paraId="143397EB">
      <w:pPr>
        <w:spacing w:line="240" w:lineRule="auto"/>
        <w:ind w:firstLine="640"/>
        <w:jc w:val="both"/>
      </w:pPr>
      <w:r>
        <w:rPr>
          <w:rFonts w:ascii="仿宋_GB2312" w:hAnsi="仿宋_GB2312" w:eastAsia="仿宋_GB2312"/>
          <w:b w:val="0"/>
          <w:sz w:val="32"/>
        </w:rPr>
        <w:t>八、《国有资本经营预算财政拨款收入支出决算表》</w:t>
      </w:r>
    </w:p>
    <w:p w14:paraId="7E502E94">
      <w:pPr>
        <w:spacing w:line="240" w:lineRule="auto"/>
        <w:ind w:firstLine="640"/>
        <w:jc w:val="both"/>
      </w:pPr>
      <w:r>
        <w:rPr>
          <w:rFonts w:ascii="仿宋_GB2312" w:hAnsi="仿宋_GB2312" w:eastAsia="仿宋_GB2312"/>
          <w:b w:val="0"/>
          <w:sz w:val="32"/>
        </w:rPr>
        <w:t>九、《财政拨款“三公”经费支出决算表》</w:t>
      </w:r>
    </w:p>
    <w:p w14:paraId="6B159E47">
      <w:pPr>
        <w:spacing w:line="240" w:lineRule="auto"/>
        <w:ind w:firstLine="640"/>
        <w:jc w:val="both"/>
      </w:pPr>
    </w:p>
    <w:p w14:paraId="430D294E">
      <w:pPr>
        <w:spacing w:line="240" w:lineRule="auto"/>
        <w:ind w:firstLine="640"/>
        <w:jc w:val="both"/>
      </w:pPr>
    </w:p>
    <w:p w14:paraId="5C26A150">
      <w:pPr>
        <w:spacing w:line="240" w:lineRule="auto"/>
        <w:ind w:firstLine="640"/>
        <w:jc w:val="both"/>
      </w:pPr>
    </w:p>
    <w:p w14:paraId="7B6C6416">
      <w:pPr>
        <w:spacing w:line="240" w:lineRule="auto"/>
        <w:ind w:firstLine="640"/>
        <w:jc w:val="both"/>
      </w:pPr>
    </w:p>
    <w:p w14:paraId="02175D0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A31824-EAAC-45ED-A2B6-5264C3AE6A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9621005-AD52-45DD-8A49-449A526D0E61}"/>
  </w:font>
  <w:font w:name="仿宋_GB2312">
    <w:altName w:val="仿宋"/>
    <w:panose1 w:val="02010609030101010101"/>
    <w:charset w:val="86"/>
    <w:family w:val="modern"/>
    <w:pitch w:val="default"/>
    <w:sig w:usb0="00000000" w:usb1="00000000" w:usb2="00000000" w:usb3="00000000" w:csb0="00040000" w:csb1="00000000"/>
    <w:embedRegular r:id="rId3" w:fontKey="{AC4E7FF2-96A2-46C3-A843-E029BCEC4A6D}"/>
  </w:font>
  <w:font w:name="楷体_GB2312">
    <w:altName w:val="楷体"/>
    <w:panose1 w:val="02010609030101010101"/>
    <w:charset w:val="86"/>
    <w:family w:val="auto"/>
    <w:pitch w:val="default"/>
    <w:sig w:usb0="00000000" w:usb1="00000000" w:usb2="00000000" w:usb3="00000000" w:csb0="00040000" w:csb1="00000000"/>
    <w:embedRegular r:id="rId4" w:fontKey="{44A3ACC4-252E-42D3-B9F0-2F6E21C84F1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E80591"/>
    <w:rsid w:val="5AFC6609"/>
    <w:rsid w:val="5FA17648"/>
    <w:rsid w:val="5FD320BD"/>
    <w:rsid w:val="60DE4D57"/>
    <w:rsid w:val="613409CB"/>
    <w:rsid w:val="61A46A97"/>
    <w:rsid w:val="62DD7D21"/>
    <w:rsid w:val="65D97752"/>
    <w:rsid w:val="664C500C"/>
    <w:rsid w:val="67D111AB"/>
    <w:rsid w:val="68DB0208"/>
    <w:rsid w:val="68DF36D5"/>
    <w:rsid w:val="69843490"/>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6249</Words>
  <Characters>7110</Characters>
  <Lines>0</Lines>
  <Paragraphs>0</Paragraphs>
  <TotalTime>5</TotalTime>
  <ScaleCrop>false</ScaleCrop>
  <LinksUpToDate>false</LinksUpToDate>
  <CharactersWithSpaces>7118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