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中国人民政治协商会议霍城县委员会2024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C527829">
      <w:r>
        <w:br w:type="page"/>
      </w:r>
    </w:p>
    <w:p w14:paraId="22AD9DE6">
      <w:pPr>
        <w:spacing w:line="640" w:lineRule="exact"/>
        <w:jc w:val="center"/>
        <w:outlineLvl w:val="1"/>
      </w:pPr>
      <w:r>
        <w:rPr>
          <w:rFonts w:ascii="黑体" w:hAnsi="黑体" w:eastAsia="黑体"/>
          <w:sz w:val="32"/>
        </w:rPr>
        <w:t>第一部分 单位概况</w:t>
      </w:r>
    </w:p>
    <w:p w14:paraId="0324FAAF">
      <w:pPr>
        <w:spacing w:line="640" w:lineRule="exact"/>
        <w:ind w:firstLine="640"/>
        <w:jc w:val="both"/>
        <w:outlineLvl w:val="2"/>
      </w:pPr>
      <w:r>
        <w:rPr>
          <w:rFonts w:ascii="黑体" w:hAnsi="黑体" w:eastAsia="黑体"/>
          <w:sz w:val="32"/>
        </w:rPr>
        <w:t>一、主要职能</w:t>
      </w:r>
    </w:p>
    <w:p w14:paraId="6F804889">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依照《中国人民政治协商会议章程》，组织本会的各党派、团体和各族各界人士参政议政，实施政治协商和民主监督。</w:t>
      </w:r>
    </w:p>
    <w:p w14:paraId="1BF32106">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积极组织政协常委和委员学习党的理论、国家方针政策和中央、自治区、自治州党委、县委有关重要文件，提高参政议政水平。</w:t>
      </w:r>
    </w:p>
    <w:p w14:paraId="5B81C296">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积极团结和联合社会各族各界民主人士、爱国人士，与一切民族分裂主义分子进行坚决斗争。</w:t>
      </w:r>
    </w:p>
    <w:p w14:paraId="7433FC7F">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积极组织常委和委员进行广泛深入的调研视察，为县委、县政府领导决策提供科学依据和参考意见。</w:t>
      </w:r>
    </w:p>
    <w:p w14:paraId="477FE62F">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对宪法和法律法规的实施，重大方针政策的贯彻执行，国家机关及其工作人员的工作，进行民主监督。</w:t>
      </w:r>
    </w:p>
    <w:p w14:paraId="6688AE7F">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号召带领全体政协委员在全县各族各界中发挥带头作用，围绕霍城社会稳定和长治久安总目标，为促进社会稳定、民族团结、巩固和发展新时期爱国统一战线、加快全县经济社会发展、关心群众生产生活、改善民生建言献策。</w:t>
      </w:r>
    </w:p>
    <w:p w14:paraId="6614964C">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积极完成上级政协和县委、县政府安排的其他工作。</w:t>
      </w:r>
    </w:p>
    <w:p w14:paraId="5A5ACF5B">
      <w:pPr>
        <w:spacing w:line="640" w:lineRule="exact"/>
        <w:ind w:firstLine="640"/>
        <w:jc w:val="both"/>
        <w:outlineLvl w:val="2"/>
      </w:pPr>
      <w:r>
        <w:rPr>
          <w:rFonts w:ascii="黑体" w:hAnsi="黑体" w:eastAsia="黑体"/>
          <w:sz w:val="32"/>
        </w:rPr>
        <w:t>二、机构设置及人员情况</w:t>
      </w:r>
    </w:p>
    <w:p w14:paraId="1B6100B3">
      <w:pPr>
        <w:spacing w:line="580" w:lineRule="exact"/>
        <w:ind w:firstLine="640"/>
        <w:jc w:val="both"/>
      </w:pPr>
      <w:r>
        <w:rPr>
          <w:rFonts w:ascii="仿宋_GB2312" w:hAnsi="仿宋_GB2312" w:eastAsia="仿宋_GB2312"/>
          <w:sz w:val="32"/>
        </w:rPr>
        <w:t>中国人民政治协商会议霍城县委员会2024年度，实有人数40人，其中：在职人员15人，减少1人；离休人员0人，增加0人；退休人员25人,减少1人。</w:t>
      </w:r>
    </w:p>
    <w:p w14:paraId="110E34E5">
      <w:pPr>
        <w:spacing w:line="580" w:lineRule="exact"/>
        <w:ind w:firstLine="640"/>
        <w:jc w:val="both"/>
      </w:pPr>
      <w:r>
        <w:rPr>
          <w:rFonts w:ascii="仿宋_GB2312" w:hAnsi="仿宋_GB2312" w:eastAsia="仿宋_GB2312"/>
          <w:sz w:val="32"/>
        </w:rPr>
        <w:t>中国人民政治协商会议霍城县委员会无下属预算单位，下设5个科室，分别是：办公室（委员联络室）、提案文史学习委员会、民族宗教和社会法制委员会、经济资源环境委员会、教文卫体和人口科技委员会。</w:t>
      </w:r>
    </w:p>
    <w:p w14:paraId="3F079C1E">
      <w:r>
        <w:br w:type="page"/>
      </w:r>
    </w:p>
    <w:p w14:paraId="56267B41">
      <w:pPr>
        <w:spacing w:line="240" w:lineRule="auto"/>
        <w:jc w:val="center"/>
        <w:outlineLvl w:val="1"/>
      </w:pPr>
      <w:r>
        <w:rPr>
          <w:rFonts w:ascii="黑体" w:hAnsi="黑体" w:eastAsia="黑体"/>
          <w:sz w:val="32"/>
        </w:rPr>
        <w:t>第二部分 部门决算情况说明</w:t>
      </w:r>
    </w:p>
    <w:p w14:paraId="7D21BBA1">
      <w:pPr>
        <w:spacing w:line="640" w:lineRule="exact"/>
        <w:ind w:firstLine="640"/>
        <w:jc w:val="both"/>
        <w:outlineLvl w:val="2"/>
      </w:pPr>
      <w:r>
        <w:rPr>
          <w:rFonts w:ascii="黑体" w:hAnsi="黑体" w:eastAsia="黑体"/>
          <w:sz w:val="32"/>
        </w:rPr>
        <w:t>一、收入支出决算总体情况说明</w:t>
      </w:r>
    </w:p>
    <w:p w14:paraId="62EA8F9D">
      <w:pPr>
        <w:spacing w:line="580" w:lineRule="exact"/>
        <w:ind w:firstLine="640"/>
        <w:jc w:val="both"/>
      </w:pPr>
      <w:r>
        <w:rPr>
          <w:rFonts w:ascii="仿宋_GB2312" w:hAnsi="仿宋_GB2312" w:eastAsia="仿宋_GB2312"/>
          <w:b/>
          <w:sz w:val="32"/>
        </w:rPr>
        <w:t>2024年度收入总计393.69万元，</w:t>
      </w:r>
      <w:r>
        <w:rPr>
          <w:rFonts w:ascii="仿宋_GB2312" w:hAnsi="仿宋_GB2312" w:eastAsia="仿宋_GB2312"/>
          <w:b w:val="0"/>
          <w:sz w:val="32"/>
        </w:rPr>
        <w:t>其中：本年收入合计393.69万元，使用非财政拨款结余（含专用结余）0.00万元，年初结转和结余0.00万元。</w:t>
      </w:r>
    </w:p>
    <w:p w14:paraId="4EFDC4D4">
      <w:pPr>
        <w:spacing w:line="580" w:lineRule="exact"/>
        <w:ind w:firstLine="640"/>
        <w:jc w:val="both"/>
      </w:pPr>
      <w:r>
        <w:rPr>
          <w:rFonts w:ascii="仿宋_GB2312" w:hAnsi="仿宋_GB2312" w:eastAsia="仿宋_GB2312"/>
          <w:b/>
          <w:sz w:val="32"/>
        </w:rPr>
        <w:t>2024年度支出总计393.69万元，</w:t>
      </w:r>
      <w:r>
        <w:rPr>
          <w:rFonts w:ascii="仿宋_GB2312" w:hAnsi="仿宋_GB2312" w:eastAsia="仿宋_GB2312"/>
          <w:b w:val="0"/>
          <w:sz w:val="32"/>
        </w:rPr>
        <w:t>其中：本年支出合计385.18万元，结</w:t>
      </w:r>
      <w:bookmarkStart w:id="0" w:name="_GoBack"/>
      <w:r>
        <w:rPr>
          <w:rFonts w:ascii="仿宋_GB2312" w:hAnsi="仿宋_GB2312" w:eastAsia="仿宋_GB2312"/>
          <w:b w:val="0"/>
          <w:sz w:val="32"/>
        </w:rPr>
        <w:t>余分配0.00万元，年末结转和结余8.51万元。</w:t>
      </w:r>
    </w:p>
    <w:p w14:paraId="62E2F074">
      <w:pPr>
        <w:spacing w:line="580" w:lineRule="exact"/>
        <w:ind w:firstLine="640"/>
        <w:jc w:val="both"/>
      </w:pPr>
      <w:r>
        <w:rPr>
          <w:rFonts w:ascii="仿宋_GB2312" w:hAnsi="仿宋_GB2312" w:eastAsia="仿宋_GB2312"/>
          <w:b w:val="0"/>
          <w:sz w:val="32"/>
        </w:rPr>
        <w:t>收入支出总体与上年相比，减少20.77万元，下降5.01%，主要原因是：本年在职人员减少，相关人员经费较上年减少</w:t>
      </w:r>
      <w:r>
        <w:rPr>
          <w:rFonts w:hint="eastAsia" w:ascii="仿宋_GB2312" w:hAnsi="仿宋_GB2312" w:eastAsia="仿宋_GB2312"/>
          <w:b w:val="0"/>
          <w:sz w:val="32"/>
          <w:lang w:eastAsia="zh-CN"/>
        </w:rPr>
        <w:t>；</w:t>
      </w:r>
      <w:bookmarkEnd w:id="0"/>
      <w:r>
        <w:rPr>
          <w:rFonts w:hint="eastAsia" w:ascii="仿宋_GB2312" w:hAnsi="仿宋_GB2312" w:eastAsia="仿宋_GB2312"/>
          <w:b w:val="0"/>
          <w:sz w:val="32"/>
          <w:lang w:val="en-US" w:eastAsia="zh-CN"/>
        </w:rPr>
        <w:t>本年</w:t>
      </w:r>
      <w:r>
        <w:rPr>
          <w:rFonts w:hint="eastAsia" w:ascii="仿宋_GB2312" w:hAnsi="仿宋_GB2312" w:eastAsia="仿宋_GB2312"/>
          <w:b w:val="0"/>
          <w:sz w:val="32"/>
          <w:lang w:eastAsia="zh-CN"/>
        </w:rPr>
        <w:t>援疆办拨入培训资金</w:t>
      </w:r>
      <w:r>
        <w:rPr>
          <w:rFonts w:hint="eastAsia" w:ascii="仿宋_GB2312" w:hAnsi="仿宋_GB2312" w:eastAsia="仿宋_GB2312"/>
          <w:b w:val="0"/>
          <w:sz w:val="32"/>
          <w:lang w:val="en-US" w:eastAsia="zh-CN"/>
        </w:rPr>
        <w:t>较上年减少</w:t>
      </w:r>
      <w:r>
        <w:rPr>
          <w:rFonts w:ascii="仿宋_GB2312" w:hAnsi="仿宋_GB2312" w:eastAsia="仿宋_GB2312"/>
          <w:b w:val="0"/>
          <w:sz w:val="32"/>
        </w:rPr>
        <w:t>。</w:t>
      </w:r>
    </w:p>
    <w:p w14:paraId="261D7E1F">
      <w:pPr>
        <w:spacing w:line="640" w:lineRule="exact"/>
        <w:ind w:firstLine="640"/>
        <w:jc w:val="both"/>
        <w:outlineLvl w:val="2"/>
      </w:pPr>
      <w:r>
        <w:rPr>
          <w:rFonts w:ascii="黑体" w:hAnsi="黑体" w:eastAsia="黑体"/>
          <w:sz w:val="32"/>
        </w:rPr>
        <w:t>二、收入决算情况说明</w:t>
      </w:r>
    </w:p>
    <w:p w14:paraId="7ED87925">
      <w:pPr>
        <w:spacing w:line="580" w:lineRule="exact"/>
        <w:ind w:firstLine="640"/>
        <w:jc w:val="both"/>
      </w:pPr>
      <w:r>
        <w:rPr>
          <w:rFonts w:ascii="仿宋_GB2312" w:hAnsi="仿宋_GB2312" w:eastAsia="仿宋_GB2312"/>
          <w:b/>
          <w:sz w:val="32"/>
        </w:rPr>
        <w:t>本年收入393.69万元，</w:t>
      </w:r>
      <w:r>
        <w:rPr>
          <w:rFonts w:ascii="仿宋_GB2312" w:hAnsi="仿宋_GB2312" w:eastAsia="仿宋_GB2312"/>
          <w:b w:val="0"/>
          <w:sz w:val="32"/>
        </w:rPr>
        <w:t>其中：财政拨款收入383.69万元，占97.46%；上级补助收入0.00万元，占0.00%；事业收入0.00万元，占0.00%；经营收入0.00万元，占0.00%；附属单位上缴收入0.00万元，占0.00%；其他收入10.00万元，占2.54%。</w:t>
      </w:r>
    </w:p>
    <w:p w14:paraId="29C7A920">
      <w:pPr>
        <w:spacing w:line="640" w:lineRule="exact"/>
        <w:ind w:firstLine="640"/>
        <w:jc w:val="both"/>
        <w:outlineLvl w:val="2"/>
      </w:pPr>
      <w:r>
        <w:rPr>
          <w:rFonts w:ascii="黑体" w:hAnsi="黑体" w:eastAsia="黑体"/>
          <w:sz w:val="32"/>
        </w:rPr>
        <w:t>三、支出决算情况说明</w:t>
      </w:r>
    </w:p>
    <w:p w14:paraId="2C9A1AE1">
      <w:pPr>
        <w:spacing w:line="580" w:lineRule="exact"/>
        <w:ind w:firstLine="640"/>
        <w:jc w:val="both"/>
      </w:pPr>
      <w:r>
        <w:rPr>
          <w:rFonts w:ascii="仿宋_GB2312" w:hAnsi="仿宋_GB2312" w:eastAsia="仿宋_GB2312"/>
          <w:b/>
          <w:sz w:val="32"/>
        </w:rPr>
        <w:t>本年支出385.18万元，</w:t>
      </w:r>
      <w:r>
        <w:rPr>
          <w:rFonts w:ascii="仿宋_GB2312" w:hAnsi="仿宋_GB2312" w:eastAsia="仿宋_GB2312"/>
          <w:b w:val="0"/>
          <w:sz w:val="32"/>
        </w:rPr>
        <w:t>其中：基本支出385.18万元，占100.00%；项目支出0.00万元，占0.00%；上缴上级支出0.00万元，占0.00%；经营支出0.00万元，占0.00%；对附属单位补助支出0.00万元，占0.00%。</w:t>
      </w:r>
    </w:p>
    <w:p w14:paraId="1CA88527">
      <w:pPr>
        <w:spacing w:line="640" w:lineRule="exact"/>
        <w:ind w:firstLine="640"/>
        <w:jc w:val="both"/>
        <w:outlineLvl w:val="2"/>
      </w:pPr>
      <w:r>
        <w:rPr>
          <w:rFonts w:ascii="黑体" w:hAnsi="黑体" w:eastAsia="黑体"/>
          <w:sz w:val="32"/>
        </w:rPr>
        <w:t>四、财政拨款收入支出决算总体情况说明</w:t>
      </w:r>
    </w:p>
    <w:p w14:paraId="0B6C9522">
      <w:pPr>
        <w:spacing w:line="580" w:lineRule="exact"/>
        <w:ind w:firstLine="640"/>
        <w:jc w:val="both"/>
      </w:pPr>
      <w:r>
        <w:rPr>
          <w:rFonts w:ascii="仿宋_GB2312" w:hAnsi="仿宋_GB2312" w:eastAsia="仿宋_GB2312"/>
          <w:b/>
          <w:sz w:val="32"/>
        </w:rPr>
        <w:t>2024年度财政拨款收入总计383.69万元，</w:t>
      </w:r>
      <w:r>
        <w:rPr>
          <w:rFonts w:ascii="仿宋_GB2312" w:hAnsi="仿宋_GB2312" w:eastAsia="仿宋_GB2312"/>
          <w:b w:val="0"/>
          <w:sz w:val="32"/>
        </w:rPr>
        <w:t>其中：年初财政拨款结转和结余0.00万元，本年财政拨款收入383.69万元。</w:t>
      </w:r>
      <w:r>
        <w:rPr>
          <w:rFonts w:ascii="仿宋_GB2312" w:hAnsi="仿宋_GB2312" w:eastAsia="仿宋_GB2312"/>
          <w:b/>
          <w:sz w:val="32"/>
        </w:rPr>
        <w:t>财政拨款支出总计383.69万元，</w:t>
      </w:r>
      <w:r>
        <w:rPr>
          <w:rFonts w:ascii="仿宋_GB2312" w:hAnsi="仿宋_GB2312" w:eastAsia="仿宋_GB2312"/>
          <w:b w:val="0"/>
          <w:sz w:val="32"/>
        </w:rPr>
        <w:t>其中：年末财政拨款结转和结余0.00万元，本年财政拨款支出383.69万元。</w:t>
      </w:r>
    </w:p>
    <w:p w14:paraId="38C1404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减少8.18万元，下降2.09%，主要原因是：本年在职人员减少，相关人员经费较上年减少。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年初预算数401.92万元，决算数383.69万元，预决算差异率-4.54%，主要原因是：本年在职人员减少，年中调减人员经费，导致预决算存在差异。</w:t>
      </w:r>
    </w:p>
    <w:p w14:paraId="508B4E50">
      <w:pPr>
        <w:spacing w:line="640" w:lineRule="exact"/>
        <w:ind w:firstLine="640"/>
        <w:jc w:val="both"/>
        <w:outlineLvl w:val="2"/>
      </w:pPr>
      <w:r>
        <w:rPr>
          <w:rFonts w:ascii="黑体" w:hAnsi="黑体" w:eastAsia="黑体"/>
          <w:sz w:val="32"/>
        </w:rPr>
        <w:t>五、一般公共预算财政拨款支出决算情况说明</w:t>
      </w:r>
    </w:p>
    <w:p w14:paraId="1495CFF9">
      <w:pPr>
        <w:spacing w:line="640" w:lineRule="exact"/>
        <w:ind w:firstLine="640"/>
        <w:jc w:val="both"/>
        <w:outlineLvl w:val="3"/>
      </w:pPr>
      <w:r>
        <w:rPr>
          <w:rFonts w:ascii="楷体_GB2312" w:hAnsi="楷体_GB2312" w:eastAsia="楷体_GB2312"/>
          <w:b/>
          <w:sz w:val="32"/>
        </w:rPr>
        <w:t>（一）一般公共预算财政拨款支出决算总体情况</w:t>
      </w:r>
    </w:p>
    <w:p w14:paraId="03977AE1">
      <w:pPr>
        <w:spacing w:line="580" w:lineRule="exact"/>
        <w:ind w:firstLine="640"/>
        <w:jc w:val="both"/>
      </w:pPr>
      <w:r>
        <w:rPr>
          <w:rFonts w:ascii="仿宋_GB2312" w:hAnsi="仿宋_GB2312" w:eastAsia="仿宋_GB2312"/>
          <w:b/>
          <w:sz w:val="32"/>
        </w:rPr>
        <w:t>2024年度一般公共预算财政拨款支出383.69万元，</w:t>
      </w:r>
      <w:r>
        <w:rPr>
          <w:rFonts w:ascii="仿宋_GB2312" w:hAnsi="仿宋_GB2312" w:eastAsia="仿宋_GB2312"/>
          <w:b w:val="0"/>
          <w:sz w:val="32"/>
        </w:rPr>
        <w:t>占本年支出合计的99.61%。</w:t>
      </w:r>
      <w:r>
        <w:rPr>
          <w:rFonts w:ascii="仿宋_GB2312" w:hAnsi="仿宋_GB2312" w:eastAsia="仿宋_GB2312"/>
          <w:b/>
          <w:sz w:val="32"/>
        </w:rPr>
        <w:t>与上年相比，</w:t>
      </w:r>
      <w:r>
        <w:rPr>
          <w:rFonts w:ascii="仿宋_GB2312" w:hAnsi="仿宋_GB2312" w:eastAsia="仿宋_GB2312"/>
          <w:b w:val="0"/>
          <w:sz w:val="32"/>
        </w:rPr>
        <w:t>减少8.18万元，下降2.09%，主要原因是：本年在职人员减少，相关人员经费较上年减少。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年初预算数401.92万元，决算数383.69万元，预决算差异率-4.54%，主要原因是：本年在职人员减少，年中调减人员经费，导致预决算存在差异。</w:t>
      </w:r>
    </w:p>
    <w:p w14:paraId="11EF554A">
      <w:pPr>
        <w:spacing w:line="640" w:lineRule="exact"/>
        <w:ind w:firstLine="640"/>
        <w:jc w:val="both"/>
        <w:outlineLvl w:val="3"/>
      </w:pPr>
      <w:r>
        <w:rPr>
          <w:rFonts w:ascii="楷体_GB2312" w:hAnsi="楷体_GB2312" w:eastAsia="楷体_GB2312"/>
          <w:b/>
          <w:sz w:val="32"/>
        </w:rPr>
        <w:t>（二）一般公共预算财政拨款支出决算结构情况</w:t>
      </w:r>
    </w:p>
    <w:p w14:paraId="17A7730B">
      <w:pPr>
        <w:spacing w:line="580" w:lineRule="exact"/>
        <w:ind w:firstLine="640"/>
        <w:jc w:val="both"/>
      </w:pPr>
      <w:r>
        <w:rPr>
          <w:rFonts w:ascii="仿宋_GB2312" w:hAnsi="仿宋_GB2312" w:eastAsia="仿宋_GB2312"/>
          <w:b w:val="0"/>
          <w:sz w:val="32"/>
        </w:rPr>
        <w:t>1.一般公共服务支出(类)283.01万元,占73.76%。</w:t>
      </w:r>
    </w:p>
    <w:p w14:paraId="4B23EDC7">
      <w:pPr>
        <w:spacing w:line="580" w:lineRule="exact"/>
        <w:ind w:firstLine="640"/>
        <w:jc w:val="both"/>
      </w:pPr>
      <w:r>
        <w:rPr>
          <w:rFonts w:ascii="仿宋_GB2312" w:hAnsi="仿宋_GB2312" w:eastAsia="仿宋_GB2312"/>
          <w:b w:val="0"/>
          <w:sz w:val="32"/>
        </w:rPr>
        <w:t>2.社会保障和就业支出(类)59.50万元,占15.51%。</w:t>
      </w:r>
    </w:p>
    <w:p w14:paraId="2A1131D4">
      <w:pPr>
        <w:spacing w:line="580" w:lineRule="exact"/>
        <w:ind w:firstLine="640"/>
        <w:jc w:val="both"/>
      </w:pPr>
      <w:r>
        <w:rPr>
          <w:rFonts w:ascii="仿宋_GB2312" w:hAnsi="仿宋_GB2312" w:eastAsia="仿宋_GB2312"/>
          <w:b w:val="0"/>
          <w:sz w:val="32"/>
        </w:rPr>
        <w:t>3.卫生健康支出(类)16.04万元,占4.18%。</w:t>
      </w:r>
    </w:p>
    <w:p w14:paraId="670C87EF">
      <w:pPr>
        <w:spacing w:line="580" w:lineRule="exact"/>
        <w:ind w:firstLine="640"/>
        <w:jc w:val="both"/>
      </w:pPr>
      <w:r>
        <w:rPr>
          <w:rFonts w:ascii="仿宋_GB2312" w:hAnsi="仿宋_GB2312" w:eastAsia="仿宋_GB2312"/>
          <w:b w:val="0"/>
          <w:sz w:val="32"/>
        </w:rPr>
        <w:t>4.住房保障支出(类)25.14万元,占6.55%。</w:t>
      </w:r>
    </w:p>
    <w:p w14:paraId="64B1B245">
      <w:pPr>
        <w:spacing w:line="640" w:lineRule="exact"/>
        <w:ind w:firstLine="640"/>
        <w:jc w:val="both"/>
        <w:outlineLvl w:val="3"/>
      </w:pPr>
      <w:r>
        <w:rPr>
          <w:rFonts w:ascii="楷体_GB2312" w:hAnsi="楷体_GB2312" w:eastAsia="楷体_GB2312"/>
          <w:b/>
          <w:sz w:val="32"/>
        </w:rPr>
        <w:t>（三）一般公共预算财政拨款支出决算具体情况</w:t>
      </w:r>
    </w:p>
    <w:p w14:paraId="10ABEC45">
      <w:pPr>
        <w:spacing w:line="580" w:lineRule="exact"/>
        <w:ind w:firstLine="640"/>
        <w:jc w:val="both"/>
      </w:pPr>
      <w:r>
        <w:rPr>
          <w:rFonts w:ascii="仿宋_GB2312" w:hAnsi="仿宋_GB2312" w:eastAsia="仿宋_GB2312"/>
          <w:b w:val="0"/>
          <w:sz w:val="32"/>
        </w:rPr>
        <w:t>1.一般公共服务支出(类)政协事务(款)行政运行(项):支出决算数为235.01万元，比上年决算减少8.10万元，下降3.33%,主要原因是：本年在职人员减少，相应人员经费较上年减少。</w:t>
      </w:r>
    </w:p>
    <w:p w14:paraId="348DE7ED">
      <w:pPr>
        <w:spacing w:line="580" w:lineRule="exact"/>
        <w:ind w:firstLine="640"/>
        <w:jc w:val="both"/>
      </w:pPr>
      <w:r>
        <w:rPr>
          <w:rFonts w:ascii="仿宋_GB2312" w:hAnsi="仿宋_GB2312" w:eastAsia="仿宋_GB2312"/>
          <w:b w:val="0"/>
          <w:sz w:val="32"/>
        </w:rPr>
        <w:t>2.一般公共服务支出(类)政协事务(款)政协会议(项):支出决算数为18.00万元，比上年决算减少5.00万元，下降21.74%,主要原因是：本年度会议经费减少。</w:t>
      </w:r>
    </w:p>
    <w:p w14:paraId="3FF373E7">
      <w:pPr>
        <w:spacing w:line="580" w:lineRule="exact"/>
        <w:ind w:firstLine="640"/>
        <w:jc w:val="both"/>
      </w:pPr>
      <w:r>
        <w:rPr>
          <w:rFonts w:ascii="仿宋_GB2312" w:hAnsi="仿宋_GB2312" w:eastAsia="仿宋_GB2312"/>
          <w:b w:val="0"/>
          <w:sz w:val="32"/>
        </w:rPr>
        <w:t>3.一般公共服务支出(类)政协事务(款)委员视察(项):支出决算数为20.00万元，比上年决算增加10.00万元，增长100.00%,主要原因是：本年增加组织委员培训，委员视察、调研等活动支出。</w:t>
      </w:r>
    </w:p>
    <w:p w14:paraId="4994BDB7">
      <w:pPr>
        <w:spacing w:line="580" w:lineRule="exact"/>
        <w:ind w:firstLine="640"/>
        <w:jc w:val="both"/>
      </w:pPr>
      <w:r>
        <w:rPr>
          <w:rFonts w:ascii="仿宋_GB2312" w:hAnsi="仿宋_GB2312" w:eastAsia="仿宋_GB2312"/>
          <w:b w:val="0"/>
          <w:sz w:val="32"/>
        </w:rPr>
        <w:t>4.一般公共服务支出(类)政协事务(款)其他政协事务支出(项):支出决算数为10.00万元，比上年决算增加0.00万元，增长0.00%,主要原因是：基层政协补助资金与上年一致，无变化。</w:t>
      </w:r>
    </w:p>
    <w:p w14:paraId="48F21C1E">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5.社会保障和就业支出(类)行政事业单位养老支出(款)行政单位离退休(项):支出决算数为20.49万元，比上年决算增加14.61万元，增长248.47%,主要原因是：本年增加退休人员基础绩效奖，退休费支出增加。</w:t>
      </w:r>
    </w:p>
    <w:p w14:paraId="3B6371B5">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31.25万元，比上年决算增加2.29万元，增长7.91%,主要原因是：本年在职人员工资基数调增，养老缴费基数上涨，相应支出增加。</w:t>
      </w:r>
    </w:p>
    <w:p w14:paraId="23C8F0D7">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7.76万元，比上年决算减少7.79万元，下降50.10%,主要原因是：本年调出人员较上年减少，职业年金缴费较上年减少。</w:t>
      </w:r>
    </w:p>
    <w:p w14:paraId="267DDAC5">
      <w:pPr>
        <w:spacing w:line="580" w:lineRule="exact"/>
        <w:ind w:firstLine="640"/>
        <w:jc w:val="both"/>
      </w:pPr>
      <w:r>
        <w:rPr>
          <w:rFonts w:ascii="仿宋_GB2312" w:hAnsi="仿宋_GB2312" w:eastAsia="仿宋_GB2312"/>
          <w:b w:val="0"/>
          <w:sz w:val="32"/>
        </w:rPr>
        <w:t>8.卫生健康支出(类)行政事业单位医疗(款)行政单位医疗(项):支出决算数为15.63万元，比上年决算减少13.86万元，下降47.00%,主要原因是：因退休人员医疗保险制度改革，退休人员基本医疗不再由单位缴纳，导致经费较上年减少。</w:t>
      </w:r>
    </w:p>
    <w:p w14:paraId="68AEB8D6">
      <w:pPr>
        <w:spacing w:line="580" w:lineRule="exact"/>
        <w:ind w:firstLine="640"/>
        <w:jc w:val="both"/>
      </w:pPr>
      <w:r>
        <w:rPr>
          <w:rFonts w:ascii="仿宋_GB2312" w:hAnsi="仿宋_GB2312" w:eastAsia="仿宋_GB2312"/>
          <w:b w:val="0"/>
          <w:sz w:val="32"/>
        </w:rPr>
        <w:t>9.卫生健康支出(类)行政事业单位医疗(款)公务员医疗补助(项):支出决算数为0.42万元，比上年决算减少1.68万元，下降80.00%,主要原因是：因退休人员医疗保险制度改革，退休人员基本医疗不再由单位缴纳，导致经费较上年减少。</w:t>
      </w:r>
    </w:p>
    <w:p w14:paraId="5CBC179D">
      <w:pPr>
        <w:spacing w:line="580" w:lineRule="exact"/>
        <w:ind w:firstLine="640"/>
        <w:jc w:val="both"/>
      </w:pPr>
      <w:r>
        <w:rPr>
          <w:rFonts w:ascii="仿宋_GB2312" w:hAnsi="仿宋_GB2312" w:eastAsia="仿宋_GB2312"/>
          <w:b w:val="0"/>
          <w:sz w:val="32"/>
        </w:rPr>
        <w:t>10.住房保障支出(类)住房改革支出(款)住房公积金(项):支出决算数为25.14万元，比上年决算增加1.37万元，增长5.76%,主要原因是：本年在职人员工资基数调增，公积金缴费基数上涨，相应支出增加。</w:t>
      </w:r>
    </w:p>
    <w:p w14:paraId="400F0609">
      <w:pPr>
        <w:spacing w:line="640" w:lineRule="exact"/>
        <w:ind w:firstLine="640"/>
        <w:jc w:val="both"/>
        <w:outlineLvl w:val="2"/>
      </w:pPr>
      <w:r>
        <w:rPr>
          <w:rFonts w:ascii="黑体" w:hAnsi="黑体" w:eastAsia="黑体"/>
          <w:sz w:val="32"/>
        </w:rPr>
        <w:t>六、一般公共预算财政拨款基本支出决算情况说明</w:t>
      </w:r>
    </w:p>
    <w:p w14:paraId="5A1CCB3D">
      <w:pPr>
        <w:spacing w:line="580" w:lineRule="exact"/>
        <w:ind w:firstLine="640"/>
        <w:jc w:val="both"/>
      </w:pPr>
      <w:r>
        <w:rPr>
          <w:rFonts w:ascii="仿宋_GB2312" w:hAnsi="仿宋_GB2312" w:eastAsia="仿宋_GB2312"/>
          <w:b w:val="0"/>
          <w:sz w:val="32"/>
        </w:rPr>
        <w:t>2024年度一般公共预算财政拨款基本支出383.69万元，其中：</w:t>
      </w:r>
      <w:r>
        <w:rPr>
          <w:rFonts w:ascii="仿宋_GB2312" w:hAnsi="仿宋_GB2312" w:eastAsia="仿宋_GB2312"/>
          <w:b/>
          <w:sz w:val="32"/>
        </w:rPr>
        <w:t>人员经费327.70万元，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生活补助、奖励金。</w:t>
      </w:r>
    </w:p>
    <w:p w14:paraId="6FD60206">
      <w:pPr>
        <w:spacing w:line="580" w:lineRule="exact"/>
        <w:ind w:firstLine="640"/>
        <w:jc w:val="both"/>
      </w:pPr>
      <w:r>
        <w:rPr>
          <w:rFonts w:ascii="仿宋_GB2312" w:hAnsi="仿宋_GB2312" w:eastAsia="仿宋_GB2312"/>
          <w:b/>
          <w:sz w:val="32"/>
        </w:rPr>
        <w:t>公用经费55.99万元，</w:t>
      </w:r>
      <w:r>
        <w:rPr>
          <w:rFonts w:ascii="仿宋_GB2312" w:hAnsi="仿宋_GB2312" w:eastAsia="仿宋_GB2312"/>
          <w:b w:val="0"/>
          <w:sz w:val="32"/>
        </w:rPr>
        <w:t>包括：办公费、邮电费、差旅费、会议费、培训费、劳务费、工会经费、福利费、公务用车运行维护费。</w:t>
      </w:r>
    </w:p>
    <w:p w14:paraId="584D65CA">
      <w:pPr>
        <w:spacing w:line="640" w:lineRule="exact"/>
        <w:ind w:firstLine="640"/>
        <w:jc w:val="both"/>
        <w:outlineLvl w:val="2"/>
      </w:pPr>
      <w:r>
        <w:rPr>
          <w:rFonts w:ascii="黑体" w:hAnsi="黑体" w:eastAsia="黑体"/>
          <w:sz w:val="32"/>
        </w:rPr>
        <w:t>七、政府性基金预算财政拨款收入支出决算情况说明</w:t>
      </w:r>
    </w:p>
    <w:p w14:paraId="4EB08CB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87A463C">
      <w:pPr>
        <w:spacing w:line="640" w:lineRule="exact"/>
        <w:ind w:firstLine="640"/>
        <w:jc w:val="both"/>
        <w:outlineLvl w:val="2"/>
      </w:pPr>
      <w:r>
        <w:rPr>
          <w:rFonts w:ascii="黑体" w:hAnsi="黑体" w:eastAsia="黑体"/>
          <w:sz w:val="32"/>
        </w:rPr>
        <w:t>八、国有资本经营预算财政拨款收入支出决算情况说明</w:t>
      </w:r>
    </w:p>
    <w:p w14:paraId="7BA9443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A1A3D7D">
      <w:pPr>
        <w:spacing w:line="640" w:lineRule="exact"/>
        <w:ind w:firstLine="640"/>
        <w:jc w:val="both"/>
        <w:outlineLvl w:val="2"/>
      </w:pPr>
      <w:r>
        <w:rPr>
          <w:rFonts w:ascii="黑体" w:hAnsi="黑体" w:eastAsia="黑体"/>
          <w:sz w:val="32"/>
        </w:rPr>
        <w:t>九、财政拨款“三公”经费支出决算情况说明</w:t>
      </w:r>
    </w:p>
    <w:p w14:paraId="0AA222D8">
      <w:pPr>
        <w:spacing w:line="580" w:lineRule="exact"/>
        <w:ind w:firstLine="640"/>
        <w:jc w:val="both"/>
      </w:pPr>
      <w:r>
        <w:rPr>
          <w:rFonts w:ascii="仿宋_GB2312" w:hAnsi="仿宋_GB2312" w:eastAsia="仿宋_GB2312"/>
          <w:b/>
          <w:sz w:val="32"/>
        </w:rPr>
        <w:t>2024年度财政拨款“三公”经费支出11.41万元，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11.41万元，占100.00%，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12AC71CE">
      <w:pPr>
        <w:spacing w:line="580" w:lineRule="exact"/>
        <w:ind w:firstLine="640"/>
        <w:jc w:val="both"/>
      </w:pPr>
      <w:r>
        <w:rPr>
          <w:rFonts w:ascii="仿宋_GB2312" w:hAnsi="仿宋_GB2312" w:eastAsia="仿宋_GB2312"/>
          <w:b/>
          <w:sz w:val="32"/>
        </w:rPr>
        <w:t>具体情况如下：</w:t>
      </w:r>
    </w:p>
    <w:p w14:paraId="11297E6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2FBF921">
      <w:pPr>
        <w:spacing w:line="580" w:lineRule="exact"/>
        <w:ind w:firstLine="640"/>
        <w:jc w:val="both"/>
      </w:pPr>
      <w:r>
        <w:rPr>
          <w:rFonts w:ascii="仿宋_GB2312" w:hAnsi="仿宋_GB2312" w:eastAsia="仿宋_GB2312"/>
          <w:b w:val="0"/>
          <w:sz w:val="32"/>
        </w:rPr>
        <w:t>公务用车购置及运行维护费11.41万元，其中：公务用车购置费0.00万元，公务用车运行维护费11.41万元。公务用车运行维护费开支内容包括车辆加油费、维修费、保险费、审车费、过路费等。公务用车购置数0辆，公务用车保有量5辆。国有资产占用情况中固定资产车辆5辆，与公务用车保有量差异原因是：本单位固定资产车辆与公务用车保有量一致无差异。</w:t>
      </w:r>
    </w:p>
    <w:p w14:paraId="6917C3E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9D5281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11.41万元，决算数11.41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11.41万元，决算数11.41万元，预决算差异率0.00%，主要原因是：严格按照预算执行，预决算无差异。公务接待费全年预算数0.00万元，决算数0.00万元，预决算差异率0.00%，主要原因是：本单位无公务接待费。</w:t>
      </w:r>
    </w:p>
    <w:p w14:paraId="7BD36EFC">
      <w:pPr>
        <w:spacing w:line="640" w:lineRule="exact"/>
        <w:ind w:firstLine="640"/>
        <w:jc w:val="both"/>
        <w:outlineLvl w:val="2"/>
      </w:pPr>
      <w:r>
        <w:rPr>
          <w:rFonts w:ascii="黑体" w:hAnsi="黑体" w:eastAsia="黑体"/>
          <w:sz w:val="32"/>
        </w:rPr>
        <w:t>十、其他重要事项的情况说明</w:t>
      </w:r>
    </w:p>
    <w:p w14:paraId="1CA7910B">
      <w:pPr>
        <w:spacing w:line="640" w:lineRule="exact"/>
        <w:ind w:firstLine="640"/>
        <w:jc w:val="both"/>
        <w:outlineLvl w:val="3"/>
      </w:pPr>
      <w:r>
        <w:rPr>
          <w:rFonts w:ascii="楷体_GB2312" w:hAnsi="楷体_GB2312" w:eastAsia="楷体_GB2312"/>
          <w:b/>
          <w:sz w:val="32"/>
        </w:rPr>
        <w:t>（一）机关运行经费及公用经费支出情况</w:t>
      </w:r>
    </w:p>
    <w:p w14:paraId="71827531">
      <w:pPr>
        <w:spacing w:line="580" w:lineRule="exact"/>
        <w:ind w:firstLine="640"/>
        <w:jc w:val="both"/>
      </w:pPr>
      <w:r>
        <w:rPr>
          <w:rFonts w:ascii="仿宋_GB2312" w:hAnsi="仿宋_GB2312" w:eastAsia="仿宋_GB2312"/>
          <w:b w:val="0"/>
          <w:sz w:val="32"/>
        </w:rPr>
        <w:t>2024年度中国人民政治协商会议霍城县委员会（行政单位和参照公务员法管理事业单位）机关运行经费支出55.99万元，比上年增加3.54万元，增长6.75%，主要原因是：本年开展工作业务量增加，机关运行经费增加。</w:t>
      </w:r>
    </w:p>
    <w:p w14:paraId="17490B4F">
      <w:pPr>
        <w:spacing w:line="640" w:lineRule="exact"/>
        <w:ind w:firstLine="640"/>
        <w:jc w:val="both"/>
        <w:outlineLvl w:val="3"/>
      </w:pPr>
      <w:r>
        <w:rPr>
          <w:rFonts w:ascii="楷体_GB2312" w:hAnsi="楷体_GB2312" w:eastAsia="楷体_GB2312"/>
          <w:b/>
          <w:sz w:val="32"/>
        </w:rPr>
        <w:t>（二）政府采购情况</w:t>
      </w:r>
    </w:p>
    <w:p w14:paraId="1F9D0ADA">
      <w:pPr>
        <w:spacing w:line="580" w:lineRule="exact"/>
        <w:ind w:firstLine="640"/>
        <w:jc w:val="both"/>
      </w:pPr>
      <w:r>
        <w:rPr>
          <w:rFonts w:ascii="仿宋_GB2312" w:hAnsi="仿宋_GB2312" w:eastAsia="仿宋_GB2312"/>
          <w:b w:val="0"/>
          <w:sz w:val="32"/>
        </w:rPr>
        <w:t>2024年度政府采购支出总额3.64万元，其中：政府采购货物支出0.00万元、政府采购工程支出0.00万元、政府采购服务支出3.64万元。</w:t>
      </w:r>
    </w:p>
    <w:p w14:paraId="2E33D148">
      <w:pPr>
        <w:spacing w:line="580" w:lineRule="exact"/>
        <w:ind w:firstLine="640"/>
        <w:jc w:val="both"/>
      </w:pPr>
      <w:r>
        <w:rPr>
          <w:rFonts w:ascii="仿宋_GB2312" w:hAnsi="仿宋_GB2312" w:eastAsia="仿宋_GB2312"/>
          <w:b w:val="0"/>
          <w:sz w:val="32"/>
        </w:rPr>
        <w:t>授予中小企业合同金额3.64万元，占政府采购支出总额的100.00%，其中：授予小微企业合同金额3.64万元，占政府采购支出总额的100.00%。</w:t>
      </w:r>
    </w:p>
    <w:p w14:paraId="2E23D7B9">
      <w:pPr>
        <w:spacing w:line="640" w:lineRule="exact"/>
        <w:ind w:firstLine="640"/>
        <w:jc w:val="both"/>
        <w:outlineLvl w:val="3"/>
      </w:pPr>
      <w:r>
        <w:rPr>
          <w:rFonts w:ascii="楷体_GB2312" w:hAnsi="楷体_GB2312" w:eastAsia="楷体_GB2312"/>
          <w:b/>
          <w:sz w:val="32"/>
        </w:rPr>
        <w:t>（三）国有资产占用情况说明</w:t>
      </w:r>
    </w:p>
    <w:p w14:paraId="34F9AB5F">
      <w:pPr>
        <w:spacing w:line="580" w:lineRule="exact"/>
        <w:ind w:firstLine="640"/>
        <w:jc w:val="both"/>
      </w:pPr>
      <w:r>
        <w:rPr>
          <w:rFonts w:ascii="仿宋_GB2312" w:hAnsi="仿宋_GB2312" w:eastAsia="仿宋_GB2312"/>
          <w:b w:val="0"/>
          <w:sz w:val="32"/>
        </w:rPr>
        <w:t>截至2024年12月31日，房屋0.00平方米，价值0.00万元。车辆5辆，价值111.29万元，其中：副部（省）级及以上领导用车0辆、主要负责人用车0辆、机要通信用车0辆、应急保障用车0辆、执法执勤用车0辆、特种专业技术用车0辆、离退休干部服务用车0辆、其他用车5辆，其他用车主要是：一般公务用车。单价100万元（含）以上设备（不含车辆）0台（套）。</w:t>
      </w:r>
    </w:p>
    <w:p w14:paraId="0A0313AC">
      <w:pPr>
        <w:spacing w:line="640" w:lineRule="exact"/>
        <w:ind w:firstLine="640"/>
        <w:jc w:val="both"/>
        <w:outlineLvl w:val="2"/>
      </w:pPr>
      <w:r>
        <w:rPr>
          <w:rFonts w:ascii="黑体" w:hAnsi="黑体" w:eastAsia="黑体"/>
          <w:sz w:val="32"/>
        </w:rPr>
        <w:t>十一、预算绩效的情况说明</w:t>
      </w:r>
    </w:p>
    <w:p w14:paraId="2E92CBE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393.69万元，实际执行总额385.18万元；预算绩效评价项目2个，全年预算数48.00万元，全年执行数48.00万元。预算绩效管理取得的成效：一是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二是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发现的问题及原因：相关绩效管理方面专业知识的系统性学习有待加强。各项指标的设置要进一步优化、完善，主要在细化、量化上改进。在绩效自评过程中，部分人员缺乏相关绩效管理专业知识，自评价工作还存在自我审定的局限性，影响评价质量。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三是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四是进一步完善项目评价过程中有关数据和资料的收集、整理、审核及分析。项目启动时同步做好档案的归纳与整理，及时整理、收集、汇总，健全档案资料。项目后续管理有待进一步加强和跟踪；五是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具体附整体支出绩效自评表，项目支出绩效自评表和评价报告。</w:t>
      </w:r>
    </w:p>
    <w:p w14:paraId="760322B1">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7347DE5">
        <w:tblPrEx>
          <w:tblCellMar>
            <w:top w:w="0" w:type="dxa"/>
            <w:left w:w="108" w:type="dxa"/>
            <w:bottom w:w="0" w:type="dxa"/>
            <w:right w:w="108" w:type="dxa"/>
          </w:tblCellMar>
        </w:tblPrEx>
        <w:tc>
          <w:tcPr>
            <w:tcW w:w="8840" w:type="dxa"/>
            <w:gridSpan w:val="8"/>
            <w:vAlign w:val="center"/>
          </w:tcPr>
          <w:p w14:paraId="47781BD2">
            <w:pPr>
              <w:jc w:val="center"/>
            </w:pPr>
            <w:r>
              <w:rPr>
                <w:rFonts w:ascii="宋体" w:hAnsi="宋体" w:eastAsia="宋体"/>
                <w:sz w:val="24"/>
              </w:rPr>
              <w:t>单位整体支出绩效自评表</w:t>
            </w:r>
          </w:p>
        </w:tc>
      </w:tr>
      <w:tr w14:paraId="09828B1D">
        <w:tblPrEx>
          <w:tblCellMar>
            <w:top w:w="0" w:type="dxa"/>
            <w:left w:w="108" w:type="dxa"/>
            <w:bottom w:w="0" w:type="dxa"/>
            <w:right w:w="108" w:type="dxa"/>
          </w:tblCellMar>
        </w:tblPrEx>
        <w:tc>
          <w:tcPr>
            <w:tcW w:w="8840" w:type="dxa"/>
            <w:gridSpan w:val="8"/>
            <w:vAlign w:val="center"/>
          </w:tcPr>
          <w:p w14:paraId="70C303E5">
            <w:pPr>
              <w:jc w:val="center"/>
            </w:pPr>
            <w:r>
              <w:rPr>
                <w:rFonts w:ascii="宋体" w:hAnsi="宋体" w:eastAsia="宋体"/>
                <w:sz w:val="24"/>
              </w:rPr>
              <w:t>（2024年度）</w:t>
            </w:r>
          </w:p>
        </w:tc>
      </w:tr>
      <w:tr w14:paraId="0B223ED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DE16F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F26259">
            <w:pPr>
              <w:jc w:val="center"/>
            </w:pPr>
            <w:r>
              <w:rPr>
                <w:rFonts w:ascii="宋体" w:hAnsi="宋体" w:eastAsia="宋体"/>
                <w:sz w:val="16"/>
              </w:rPr>
              <w:t>中国人民政治协商会议霍城县委员会</w:t>
            </w:r>
          </w:p>
        </w:tc>
      </w:tr>
      <w:tr w14:paraId="4E63793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A39B63">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11657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B004A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7FB56F">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B05E48">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DC2BF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B9208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16936B">
            <w:pPr>
              <w:jc w:val="center"/>
            </w:pPr>
            <w:r>
              <w:rPr>
                <w:rFonts w:ascii="宋体" w:hAnsi="宋体" w:eastAsia="宋体"/>
                <w:sz w:val="16"/>
              </w:rPr>
              <w:t>得分</w:t>
            </w:r>
          </w:p>
        </w:tc>
      </w:tr>
      <w:tr w14:paraId="3AC1B2D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AFFFF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433EA3">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73E519">
            <w:pPr>
              <w:jc w:val="center"/>
            </w:pPr>
            <w:r>
              <w:rPr>
                <w:rFonts w:ascii="宋体" w:hAnsi="宋体" w:eastAsia="宋体"/>
                <w:sz w:val="16"/>
              </w:rPr>
              <w:t>401.92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7DD64E">
            <w:pPr>
              <w:jc w:val="center"/>
            </w:pPr>
            <w:r>
              <w:rPr>
                <w:rFonts w:ascii="宋体" w:hAnsi="宋体" w:eastAsia="宋体"/>
                <w:sz w:val="16"/>
              </w:rPr>
              <w:t>393.69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4D62DA">
            <w:pPr>
              <w:jc w:val="center"/>
            </w:pPr>
            <w:r>
              <w:rPr>
                <w:rFonts w:ascii="宋体" w:hAnsi="宋体" w:eastAsia="宋体"/>
                <w:sz w:val="16"/>
              </w:rPr>
              <w:t>385.18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465DD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39943C">
            <w:pPr>
              <w:jc w:val="center"/>
            </w:pPr>
            <w:r>
              <w:rPr>
                <w:rFonts w:ascii="宋体" w:hAnsi="宋体" w:eastAsia="宋体"/>
                <w:sz w:val="16"/>
              </w:rPr>
              <w:t>97.84%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8DB1C2">
            <w:pPr>
              <w:jc w:val="center"/>
            </w:pPr>
            <w:r>
              <w:rPr>
                <w:rFonts w:ascii="宋体" w:hAnsi="宋体" w:eastAsia="宋体"/>
                <w:sz w:val="16"/>
              </w:rPr>
              <w:t>9.78</w:t>
            </w:r>
          </w:p>
        </w:tc>
      </w:tr>
      <w:tr w14:paraId="43FD371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3B338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13CBDA">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9959EF">
            <w:pPr>
              <w:jc w:val="center"/>
            </w:pPr>
            <w:r>
              <w:rPr>
                <w:rFonts w:ascii="宋体" w:hAnsi="宋体" w:eastAsia="宋体"/>
                <w:sz w:val="16"/>
              </w:rPr>
              <w:t>10.00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07B7F7">
            <w:pPr>
              <w:jc w:val="center"/>
            </w:pPr>
            <w:r>
              <w:rPr>
                <w:rFonts w:ascii="宋体" w:hAnsi="宋体" w:eastAsia="宋体"/>
                <w:sz w:val="16"/>
              </w:rPr>
              <w:t>10.00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E3F97A">
            <w:pPr>
              <w:jc w:val="center"/>
            </w:pPr>
            <w:r>
              <w:rPr>
                <w:rFonts w:ascii="宋体" w:hAnsi="宋体" w:eastAsia="宋体"/>
                <w:sz w:val="16"/>
              </w:rPr>
              <w:t>10.00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F1E57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0A6E8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DD9DAA">
            <w:pPr>
              <w:jc w:val="center"/>
            </w:pPr>
            <w:r>
              <w:rPr>
                <w:rFonts w:ascii="宋体" w:hAnsi="宋体" w:eastAsia="宋体"/>
                <w:sz w:val="16"/>
              </w:rPr>
              <w:t>-</w:t>
            </w:r>
          </w:p>
        </w:tc>
      </w:tr>
      <w:tr w14:paraId="7128794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1559B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D226CD">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AFC9F5">
            <w:pPr>
              <w:jc w:val="center"/>
            </w:pPr>
            <w:r>
              <w:rPr>
                <w:rFonts w:ascii="宋体" w:hAnsi="宋体" w:eastAsia="宋体"/>
                <w:sz w:val="16"/>
              </w:rPr>
              <w:t>391.92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F751D6">
            <w:pPr>
              <w:jc w:val="center"/>
            </w:pPr>
            <w:r>
              <w:rPr>
                <w:rFonts w:ascii="宋体" w:hAnsi="宋体" w:eastAsia="宋体"/>
                <w:sz w:val="16"/>
              </w:rPr>
              <w:t>373.69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321C57">
            <w:pPr>
              <w:jc w:val="center"/>
            </w:pPr>
            <w:r>
              <w:rPr>
                <w:rFonts w:ascii="宋体" w:hAnsi="宋体" w:eastAsia="宋体"/>
                <w:sz w:val="16"/>
              </w:rPr>
              <w:t>373.69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DA3ED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90514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F4BA8C">
            <w:pPr>
              <w:jc w:val="center"/>
            </w:pPr>
            <w:r>
              <w:rPr>
                <w:rFonts w:ascii="宋体" w:hAnsi="宋体" w:eastAsia="宋体"/>
                <w:sz w:val="16"/>
              </w:rPr>
              <w:t>-</w:t>
            </w:r>
          </w:p>
        </w:tc>
      </w:tr>
      <w:tr w14:paraId="781F2E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17C71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E89C5B">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F951C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F7CA20">
            <w:pPr>
              <w:jc w:val="center"/>
            </w:pPr>
            <w:r>
              <w:rPr>
                <w:rFonts w:ascii="宋体" w:hAnsi="宋体" w:eastAsia="宋体"/>
                <w:sz w:val="16"/>
              </w:rPr>
              <w:t>10.00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25686">
            <w:pPr>
              <w:jc w:val="center"/>
            </w:pPr>
            <w:r>
              <w:rPr>
                <w:rFonts w:ascii="宋体" w:hAnsi="宋体" w:eastAsia="宋体"/>
                <w:sz w:val="16"/>
              </w:rPr>
              <w:t>1.49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466DC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81AE5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A620BF">
            <w:pPr>
              <w:jc w:val="center"/>
            </w:pPr>
            <w:r>
              <w:rPr>
                <w:rFonts w:ascii="宋体" w:hAnsi="宋体" w:eastAsia="宋体"/>
                <w:sz w:val="16"/>
              </w:rPr>
              <w:t>-</w:t>
            </w:r>
          </w:p>
        </w:tc>
      </w:tr>
      <w:tr w14:paraId="72A5A20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5E8486">
            <w:pPr>
              <w:jc w:val="center"/>
            </w:pPr>
            <w:r>
              <w:rPr>
                <w:rFonts w:ascii="宋体" w:hAnsi="宋体" w:eastAsia="宋体"/>
                <w:sz w:val="16"/>
              </w:rPr>
              <w:t>年度总体目标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F9E087">
            <w:pPr>
              <w:jc w:val="center"/>
            </w:pPr>
            <w:r>
              <w:rPr>
                <w:rFonts w:ascii="宋体" w:hAnsi="宋体" w:eastAsia="宋体"/>
                <w:sz w:val="16"/>
              </w:rPr>
              <w:t>预期目标</w:t>
            </w:r>
          </w:p>
        </w:tc>
        <w:tc>
          <w:tcPr>
            <w:tcW w:w="663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55981A">
            <w:pPr>
              <w:jc w:val="center"/>
            </w:pPr>
            <w:r>
              <w:rPr>
                <w:rFonts w:ascii="宋体" w:hAnsi="宋体" w:eastAsia="宋体"/>
                <w:sz w:val="16"/>
              </w:rPr>
              <w:t>实际完成情况</w:t>
            </w:r>
          </w:p>
        </w:tc>
      </w:tr>
      <w:tr w14:paraId="635FC6F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076F3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F0BB85">
            <w:pPr>
              <w:jc w:val="both"/>
            </w:pPr>
            <w:r>
              <w:rPr>
                <w:rFonts w:ascii="宋体" w:hAnsi="宋体" w:eastAsia="宋体"/>
                <w:sz w:val="16"/>
              </w:rPr>
              <w:t>完整准确全面贯彻新时代党的治疆方略，紧扣县委中心工作，坚持发扬民主和增进团结相互贯通、建言资政和凝聚共识双向发力，不断提高政治协商、民主监督、参政议政水平，团结引领各族各界委员，为在新时代新征程上开创“两优一高”新霍城建设新局面作出更大贡献。</w:t>
            </w:r>
          </w:p>
        </w:tc>
        <w:tc>
          <w:tcPr>
            <w:tcW w:w="663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9C1216">
            <w:pPr>
              <w:jc w:val="both"/>
            </w:pPr>
            <w:r>
              <w:rPr>
                <w:rFonts w:ascii="宋体" w:hAnsi="宋体" w:eastAsia="宋体"/>
                <w:sz w:val="16"/>
              </w:rPr>
              <w:t>2024年政协工作取得的主要成效：一、强化学习培训，坚持用党的创新理论凝聚共识。把学习贯彻习近平新时代中国特色社会主义思想作为首要政治任务，结合党纪</w:t>
            </w:r>
            <w:r>
              <w:rPr>
                <w:rFonts w:hint="eastAsia" w:ascii="宋体" w:hAnsi="宋体"/>
                <w:sz w:val="16"/>
                <w:lang w:eastAsia="zh-CN"/>
              </w:rPr>
              <w:t>主题</w:t>
            </w:r>
            <w:r>
              <w:rPr>
                <w:rFonts w:ascii="宋体" w:hAnsi="宋体" w:eastAsia="宋体"/>
                <w:sz w:val="16"/>
              </w:rPr>
              <w:t>教育，通过线上和线下两种渠道、集中学习和个人自学两种形式，领导率先学、党员带头学、“两支队伍”跟进学，累计开展学习活动40次。组织委员外出学习考察5次，创新开展兵地政协委员联合培训2期。倾力打造“书香政协”，建设“委员之家”图书室，购置了一批图书，为委员学习创造了条件，把读书学习活动融入协商议政、视察调研、建言献策的全过程。严格执行“第一议题”制度和首学党的创新理论制度、重大事项请示报告制度和意识形态工作责任制，推动党建和业务工作深度融合、同步推进。二、围绕中心工作，坚持以优质服务保障履职。办公室作为政协机关内部运行的重要枢纽，要牢牢把握新时代办公室的职责定位，推动各项工作始终围绕中心、服务大局。服务政协履职，围绕年度协商计划实施。按照政协年度党组工作要点和协商计划，重点围绕立足霍城区位优势和产业基础 壮大特色产业集群、提升医疗服务质量、加强历史文化遗产保护和利用课题开展专题调研，提出意见建议30余条。2024年组织季度协商2次、召开专题议政性常委会1次，形成调研报告4篇、视察报告1篇，提出意见建议49条，为推动经济社会高质量发展贡献了智慧和力量。定期督办全会提案88件，县委、县政府主要领导及有关县领导领衔督办重点提案7件，切实推进提案办理，对提案办理情况进行督办、跟踪指导，进一步激发承办单位办理提案的主动性。服务委员履职，发挥委员主体作用。以政协委员“工作站”为平台，积极推进“五事”“六进”工作法，落实“委员接访日”制度，保障了协商民主有力有效。今年以来，全县政协委员工作站接待来访群众2000余人次，走访群众2500余人次，协调解决群众意见建议90余条，听民声、察民情、解民忧、聚共识、促发展。我们迎接了自治区基层政协工作现场推进会，打造的央布拉克村兵地政协委员“金桥”工作站和伊犁将军府夏永成政协委员工作室赢得了自治区、州政协领导一致好评；同时，还迎接了国家人民网、新华网、中国网、央视网等13家国家重要媒体采访报道，提升了霍城政协工作质效。服务基层履职，发挥参谋助手作用。县政协办加强信息上报和对外宣传工作，上报社情民意信息、工作信息60余篇，其中16篇信息被人民政协网、自治区、自治州政协采用。结合主题党日活动、领导包联乡镇、联系群众、服务群众制度，深入基层开展宣讲21场，组织委员扶贫帮困40余次、帮扶金额投入80余万元，开展义诊5次，开展法律援助、就业帮扶、政策宣讲、健康教育活动40余场次。三、推进自身建设，提升机关工作成效。统筹做好县政协15项规章制度的修订工作，进一步规范工作规程，以制度效能提升工作成效。党支部按期进行换届选举，加强支部力量，夯实组织基础。落实“三会一课”、组织生活会等制度，通过上专题党课、看红色影片、访教育基地、读红色书籍、开展主题党日活动和委员先进事迹宣讲等活动，扎实推进“五个好”标准化规范化党支部建设，深入开展党员“三学三亮三比”争当先锋行动，推进“党建+履职”深度融合，相互赋能，巩固好县级“五个好”党支部创建成果，打造了机关文化墙。增设政协事务保障中心，增加事业编制2名，配强了力量；严格落实保密工作责任制，组织开展机关安全大检查。严格落实上级关于“过紧日子”的要求，强化机关车辆、办公耗材等管理力度，切实提高办公经费利用效率。四、加强廉政教育，严明党的政治纪律。始终牢记“全面从严治党永远在路上”，坚守“</w:t>
            </w:r>
            <w:r>
              <w:rPr>
                <w:rFonts w:hint="eastAsia" w:ascii="宋体" w:hAnsi="宋体"/>
                <w:sz w:val="16"/>
                <w:lang w:eastAsia="zh-CN"/>
              </w:rPr>
              <w:t>打铁还需自身硬</w:t>
            </w:r>
            <w:r>
              <w:rPr>
                <w:rFonts w:ascii="宋体" w:hAnsi="宋体" w:eastAsia="宋体"/>
                <w:sz w:val="16"/>
              </w:rPr>
              <w:t>”，努力在为民、务实、清廉上树好标杆，在忠诚、干净、担当上当好表率。严格落实“五个必须”要求、坚决同“七个有之”行为作斗争，压实压紧全面从严治党政治责任，以严要求、高标准把全面从严治党落实到政协机关履职全过程，开展党建和党风廉政教育会议6场次，组织党员干部和委员到兰干乡廉政教育基地参观学习，观看反腐倡廉正反典型专题片，召开警示教育大会，通过正面典型学习、廉政测试、微党课、廉政谈话等系列活动，使遵纪守法成为党员干部和委员</w:t>
            </w:r>
            <w:r>
              <w:rPr>
                <w:rFonts w:hint="eastAsia" w:ascii="宋体" w:hAnsi="宋体"/>
                <w:sz w:val="16"/>
                <w:lang w:eastAsia="zh-CN"/>
              </w:rPr>
              <w:t>思想自觉、政治自觉、行动自觉</w:t>
            </w:r>
            <w:r>
              <w:rPr>
                <w:rFonts w:ascii="宋体" w:hAnsi="宋体" w:eastAsia="宋体"/>
                <w:sz w:val="16"/>
              </w:rPr>
              <w:t>。</w:t>
            </w:r>
          </w:p>
        </w:tc>
      </w:tr>
      <w:tr w14:paraId="5581E70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A431AB">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5A2CA0">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37C51C">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165906">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955940">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DB327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BAE7E7">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582611">
            <w:pPr>
              <w:jc w:val="center"/>
            </w:pPr>
            <w:r>
              <w:rPr>
                <w:rFonts w:ascii="宋体" w:hAnsi="宋体" w:eastAsia="宋体"/>
                <w:sz w:val="16"/>
              </w:rPr>
              <w:t>得分</w:t>
            </w:r>
          </w:p>
        </w:tc>
      </w:tr>
      <w:tr w14:paraId="179BBD7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107599">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C8899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853C96">
            <w:pPr>
              <w:jc w:val="center"/>
            </w:pPr>
            <w:r>
              <w:rPr>
                <w:rFonts w:hint="eastAsia" w:ascii="宋体" w:hAnsi="宋体"/>
                <w:sz w:val="16"/>
                <w:lang w:eastAsia="zh-CN"/>
              </w:rPr>
              <w:t>两会</w:t>
            </w:r>
            <w:r>
              <w:rPr>
                <w:rFonts w:ascii="宋体" w:hAnsi="宋体" w:eastAsia="宋体"/>
                <w:sz w:val="16"/>
              </w:rPr>
              <w:t>召开次数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F23E37">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D9C1CD">
            <w:pPr>
              <w:jc w:val="center"/>
            </w:pPr>
            <w:r>
              <w:rPr>
                <w:rFonts w:ascii="宋体" w:hAnsi="宋体" w:eastAsia="宋体"/>
                <w:sz w:val="16"/>
              </w:rPr>
              <w:t>《</w:t>
            </w:r>
            <w:r>
              <w:rPr>
                <w:rFonts w:hint="eastAsia" w:ascii="宋体" w:hAnsi="宋体"/>
                <w:sz w:val="16"/>
                <w:lang w:eastAsia="zh-CN"/>
              </w:rPr>
              <w:t>中国人民政治协商会议</w:t>
            </w:r>
            <w:r>
              <w:rPr>
                <w:rFonts w:ascii="宋体" w:hAnsi="宋体" w:eastAsia="宋体"/>
                <w:sz w:val="16"/>
              </w:rPr>
              <w:t>章程》《霍城县政协2024年协商计划》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6D2FDB">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59C4B4">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3B056F">
            <w:pPr>
              <w:jc w:val="center"/>
            </w:pPr>
            <w:r>
              <w:rPr>
                <w:rFonts w:ascii="宋体" w:hAnsi="宋体" w:eastAsia="宋体"/>
                <w:sz w:val="16"/>
              </w:rPr>
              <w:t>20</w:t>
            </w:r>
          </w:p>
        </w:tc>
      </w:tr>
      <w:tr w14:paraId="323CE2B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A57F3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FFEC2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B71D20">
            <w:pPr>
              <w:jc w:val="center"/>
            </w:pPr>
            <w:r>
              <w:rPr>
                <w:rFonts w:ascii="宋体" w:hAnsi="宋体" w:eastAsia="宋体"/>
                <w:sz w:val="16"/>
              </w:rPr>
              <w:t>召开政协季度协商会次数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EFEB4A">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FB85D8">
            <w:pPr>
              <w:jc w:val="center"/>
            </w:pPr>
            <w:r>
              <w:rPr>
                <w:rFonts w:ascii="宋体" w:hAnsi="宋体" w:eastAsia="宋体"/>
                <w:sz w:val="16"/>
              </w:rPr>
              <w:t>《中国人民政治协商会议章程》《霍城县政协2024年协商计划》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7E5188">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75F595">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F0C14F">
            <w:pPr>
              <w:jc w:val="center"/>
            </w:pPr>
            <w:r>
              <w:rPr>
                <w:rFonts w:ascii="宋体" w:hAnsi="宋体" w:eastAsia="宋体"/>
                <w:sz w:val="16"/>
              </w:rPr>
              <w:t>20</w:t>
            </w:r>
          </w:p>
        </w:tc>
      </w:tr>
      <w:tr w14:paraId="4A7627C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C4578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072D0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42A72C">
            <w:pPr>
              <w:jc w:val="center"/>
            </w:pPr>
            <w:r>
              <w:rPr>
                <w:rFonts w:ascii="宋体" w:hAnsi="宋体" w:eastAsia="宋体"/>
                <w:sz w:val="16"/>
              </w:rPr>
              <w:t>组织政协委员开展培训、视察、调研次数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25808A">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33BA1B">
            <w:pPr>
              <w:jc w:val="center"/>
            </w:pPr>
            <w:r>
              <w:rPr>
                <w:rFonts w:ascii="宋体" w:hAnsi="宋体" w:eastAsia="宋体"/>
                <w:sz w:val="16"/>
              </w:rPr>
              <w:t>《霍城县政协2024年协商计划》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3A821D">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646469">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5BCC78">
            <w:pPr>
              <w:jc w:val="center"/>
            </w:pPr>
            <w:r>
              <w:rPr>
                <w:rFonts w:ascii="宋体" w:hAnsi="宋体" w:eastAsia="宋体"/>
                <w:sz w:val="16"/>
              </w:rPr>
              <w:t>20</w:t>
            </w:r>
          </w:p>
        </w:tc>
      </w:tr>
      <w:tr w14:paraId="0EA1C2C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8DECA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27458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3FAD72">
            <w:pPr>
              <w:jc w:val="center"/>
            </w:pPr>
            <w:r>
              <w:rPr>
                <w:rFonts w:ascii="宋体" w:hAnsi="宋体" w:eastAsia="宋体"/>
                <w:sz w:val="16"/>
              </w:rPr>
              <w:t>完成参政议政调研报告数量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AF6B4">
            <w:pPr>
              <w:jc w:val="center"/>
            </w:pPr>
            <w:r>
              <w:rPr>
                <w:rFonts w:ascii="宋体" w:hAnsi="宋体" w:eastAsia="宋体"/>
                <w:sz w:val="16"/>
              </w:rPr>
              <w:t>&gt;=4个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BF34EB">
            <w:pPr>
              <w:jc w:val="center"/>
            </w:pPr>
            <w:r>
              <w:rPr>
                <w:rFonts w:ascii="宋体" w:hAnsi="宋体" w:eastAsia="宋体"/>
                <w:sz w:val="16"/>
              </w:rPr>
              <w:t>《霍城县政协2024年协商计划》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A85BB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53C85">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562CED">
            <w:pPr>
              <w:jc w:val="center"/>
            </w:pPr>
            <w:r>
              <w:rPr>
                <w:rFonts w:ascii="宋体" w:hAnsi="宋体" w:eastAsia="宋体"/>
                <w:sz w:val="16"/>
              </w:rPr>
              <w:t>15</w:t>
            </w:r>
          </w:p>
        </w:tc>
      </w:tr>
      <w:tr w14:paraId="0215D69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B7D47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6954C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94D322">
            <w:pPr>
              <w:jc w:val="center"/>
            </w:pPr>
            <w:r>
              <w:rPr>
                <w:rFonts w:ascii="宋体" w:hAnsi="宋体" w:eastAsia="宋体"/>
                <w:sz w:val="16"/>
              </w:rPr>
              <w:t>打造政协委员工作站示范点个数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A5AD5">
            <w:pPr>
              <w:jc w:val="center"/>
            </w:pPr>
            <w:r>
              <w:rPr>
                <w:rFonts w:ascii="宋体" w:hAnsi="宋体" w:eastAsia="宋体"/>
                <w:sz w:val="16"/>
              </w:rPr>
              <w:t>&gt;=2个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AADBE4">
            <w:pPr>
              <w:jc w:val="center"/>
            </w:pPr>
            <w:r>
              <w:rPr>
                <w:rFonts w:ascii="宋体" w:hAnsi="宋体" w:eastAsia="宋体"/>
                <w:sz w:val="16"/>
              </w:rPr>
              <w:t>《霍城县政协2024年协商计划》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DCD1C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4A3516">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F5498D">
            <w:pPr>
              <w:jc w:val="center"/>
            </w:pPr>
            <w:r>
              <w:rPr>
                <w:rFonts w:ascii="宋体" w:hAnsi="宋体" w:eastAsia="宋体"/>
                <w:sz w:val="16"/>
              </w:rPr>
              <w:t>15</w:t>
            </w:r>
          </w:p>
        </w:tc>
      </w:tr>
    </w:tbl>
    <w:p w14:paraId="63332DB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751"/>
        <w:gridCol w:w="513"/>
        <w:gridCol w:w="632"/>
        <w:gridCol w:w="632"/>
        <w:gridCol w:w="632"/>
        <w:gridCol w:w="632"/>
        <w:gridCol w:w="632"/>
        <w:gridCol w:w="632"/>
        <w:gridCol w:w="632"/>
        <w:gridCol w:w="632"/>
        <w:gridCol w:w="632"/>
      </w:tblGrid>
      <w:tr w14:paraId="2D52E349">
        <w:tblPrEx>
          <w:tblCellMar>
            <w:top w:w="0" w:type="dxa"/>
            <w:left w:w="108" w:type="dxa"/>
            <w:bottom w:w="0" w:type="dxa"/>
            <w:right w:w="108" w:type="dxa"/>
          </w:tblCellMar>
        </w:tblPrEx>
        <w:tc>
          <w:tcPr>
            <w:tcW w:w="8848" w:type="dxa"/>
            <w:gridSpan w:val="14"/>
            <w:vAlign w:val="center"/>
          </w:tcPr>
          <w:p w14:paraId="0C17A5C1">
            <w:pPr>
              <w:jc w:val="center"/>
            </w:pPr>
            <w:r>
              <w:rPr>
                <w:rFonts w:ascii="宋体" w:hAnsi="宋体" w:eastAsia="宋体"/>
                <w:sz w:val="24"/>
              </w:rPr>
              <w:t>项目支出绩效自评表</w:t>
            </w:r>
          </w:p>
        </w:tc>
      </w:tr>
      <w:tr w14:paraId="34FF61BE">
        <w:tblPrEx>
          <w:tblCellMar>
            <w:top w:w="0" w:type="dxa"/>
            <w:left w:w="108" w:type="dxa"/>
            <w:bottom w:w="0" w:type="dxa"/>
            <w:right w:w="108" w:type="dxa"/>
          </w:tblCellMar>
        </w:tblPrEx>
        <w:tc>
          <w:tcPr>
            <w:tcW w:w="8848" w:type="dxa"/>
            <w:gridSpan w:val="14"/>
            <w:vAlign w:val="center"/>
          </w:tcPr>
          <w:p w14:paraId="413F4DD4">
            <w:pPr>
              <w:jc w:val="center"/>
            </w:pPr>
            <w:r>
              <w:rPr>
                <w:rFonts w:ascii="宋体" w:hAnsi="宋体" w:eastAsia="宋体"/>
                <w:sz w:val="24"/>
              </w:rPr>
              <w:t>(2024年度)</w:t>
            </w:r>
          </w:p>
        </w:tc>
      </w:tr>
      <w:tr w14:paraId="76E31C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7BAD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3E1E62">
            <w:pPr>
              <w:jc w:val="center"/>
            </w:pPr>
            <w:r>
              <w:rPr>
                <w:rFonts w:ascii="宋体" w:hAnsi="宋体" w:eastAsia="宋体"/>
                <w:sz w:val="16"/>
              </w:rPr>
              <w:t>基层政协补助经费项目</w:t>
            </w:r>
          </w:p>
        </w:tc>
      </w:tr>
      <w:tr w14:paraId="6CF337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1702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BA97EF">
            <w:pPr>
              <w:jc w:val="center"/>
            </w:pPr>
            <w:r>
              <w:rPr>
                <w:rFonts w:ascii="宋体" w:hAnsi="宋体" w:eastAsia="宋体"/>
                <w:sz w:val="16"/>
              </w:rPr>
              <w:t>中国人民政治协商会议霍城县委员会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AE24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90F413">
            <w:pPr>
              <w:jc w:val="center"/>
            </w:pPr>
            <w:r>
              <w:rPr>
                <w:rFonts w:ascii="宋体" w:hAnsi="宋体" w:eastAsia="宋体"/>
                <w:sz w:val="16"/>
              </w:rPr>
              <w:t>中国人民政治协商会议霍城县委员会</w:t>
            </w:r>
          </w:p>
        </w:tc>
      </w:tr>
      <w:tr w14:paraId="2D35B5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6AA839">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0C9D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C5DA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E598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843F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99E5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C560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028F8">
            <w:pPr>
              <w:jc w:val="center"/>
            </w:pPr>
            <w:r>
              <w:rPr>
                <w:rFonts w:ascii="宋体" w:hAnsi="宋体" w:eastAsia="宋体"/>
                <w:sz w:val="16"/>
              </w:rPr>
              <w:t>得分</w:t>
            </w:r>
          </w:p>
        </w:tc>
      </w:tr>
      <w:tr w14:paraId="5E3F3D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E10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E505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4E6BD">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2F49A">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E75C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C9A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217D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0BBD6">
            <w:pPr>
              <w:jc w:val="center"/>
            </w:pPr>
            <w:r>
              <w:rPr>
                <w:rFonts w:ascii="宋体" w:hAnsi="宋体" w:eastAsia="宋体"/>
                <w:sz w:val="16"/>
              </w:rPr>
              <w:t>10.00</w:t>
            </w:r>
          </w:p>
        </w:tc>
      </w:tr>
      <w:tr w14:paraId="5FD12F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33D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CA89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56086">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3FA68">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1B65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10C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F98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227E5">
            <w:pPr>
              <w:jc w:val="center"/>
            </w:pPr>
            <w:r>
              <w:rPr>
                <w:rFonts w:ascii="宋体" w:hAnsi="宋体" w:eastAsia="宋体"/>
                <w:sz w:val="16"/>
              </w:rPr>
              <w:t>—</w:t>
            </w:r>
          </w:p>
        </w:tc>
      </w:tr>
      <w:tr w14:paraId="425CB7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847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79DF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EFB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83B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294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974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CEA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624CB">
            <w:pPr>
              <w:jc w:val="center"/>
            </w:pPr>
            <w:r>
              <w:rPr>
                <w:rFonts w:ascii="宋体" w:hAnsi="宋体" w:eastAsia="宋体"/>
                <w:sz w:val="16"/>
              </w:rPr>
              <w:t>—</w:t>
            </w:r>
          </w:p>
        </w:tc>
      </w:tr>
      <w:tr w14:paraId="79AA1F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AA669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13790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51C635">
            <w:pPr>
              <w:jc w:val="center"/>
            </w:pPr>
            <w:r>
              <w:rPr>
                <w:rFonts w:ascii="宋体" w:hAnsi="宋体" w:eastAsia="宋体"/>
                <w:sz w:val="16"/>
              </w:rPr>
              <w:t>实际完成情况</w:t>
            </w:r>
          </w:p>
        </w:tc>
      </w:tr>
      <w:tr w14:paraId="51691D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08F8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E86B91">
            <w:pPr>
              <w:jc w:val="both"/>
            </w:pPr>
            <w:r>
              <w:rPr>
                <w:rFonts w:ascii="宋体" w:hAnsi="宋体" w:eastAsia="宋体"/>
                <w:sz w:val="16"/>
              </w:rPr>
              <w:t>为了更好发挥专门协商机构作用，组织政协委员开展调研视察、参政议政活动，认真组织开展好委员视察、政协民主监督活动，进一步提升政协委员参政议政和民主监督的水平。2024年基层政协补助经费、政协委员活动经费主要用于开展政协委员视察调研、委员工作站建设等活动的开展，单位日常办</w:t>
            </w:r>
            <w:r>
              <w:rPr>
                <w:rFonts w:hint="eastAsia" w:ascii="宋体" w:hAnsi="宋体"/>
                <w:sz w:val="16"/>
                <w:lang w:eastAsia="zh-CN"/>
              </w:rPr>
              <w:t>公工</w:t>
            </w:r>
            <w:r>
              <w:rPr>
                <w:rFonts w:ascii="宋体" w:hAnsi="宋体" w:eastAsia="宋体"/>
                <w:sz w:val="16"/>
              </w:rPr>
              <w:t>作所需的车辆运行费、资料费、宣传费、聘用人员的劳务费等支出。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771626">
            <w:pPr>
              <w:jc w:val="both"/>
            </w:pPr>
            <w:r>
              <w:rPr>
                <w:rFonts w:ascii="宋体" w:hAnsi="宋体" w:eastAsia="宋体"/>
                <w:sz w:val="16"/>
              </w:rPr>
              <w:t>2024年认真按制定的年度工作计划开展各项工作，主要完成了开展政协委员视察调研2次、对全县委员工作站进行提升改造、开展委员培训考察等活动。运用委员视察、培训、调研等方式，通过委员工作站平台，发挥政协委员履职</w:t>
            </w:r>
            <w:r>
              <w:rPr>
                <w:rFonts w:hint="eastAsia" w:ascii="宋体" w:hAnsi="宋体"/>
                <w:sz w:val="16"/>
                <w:lang w:eastAsia="zh-CN"/>
              </w:rPr>
              <w:t>积极性</w:t>
            </w:r>
            <w:r>
              <w:rPr>
                <w:rFonts w:ascii="宋体" w:hAnsi="宋体" w:eastAsia="宋体"/>
                <w:sz w:val="16"/>
              </w:rPr>
              <w:t>和责任心,有效听民声、察民情、解民忧、聚共识、促发展，积极发挥了政协委员的桥梁纽带作用。</w:t>
            </w:r>
          </w:p>
        </w:tc>
      </w:tr>
      <w:tr w14:paraId="20E305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C376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8A68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A3D2C">
            <w:pPr>
              <w:jc w:val="center"/>
            </w:pPr>
            <w:r>
              <w:rPr>
                <w:rFonts w:ascii="宋体" w:hAnsi="宋体" w:eastAsia="宋体"/>
                <w:sz w:val="16"/>
              </w:rPr>
              <w:t>二级指标</w:t>
            </w:r>
          </w:p>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2C2A0614">
            <w:pPr>
              <w:jc w:val="center"/>
            </w:pPr>
            <w:r>
              <w:rPr>
                <w:rFonts w:ascii="宋体" w:hAnsi="宋体" w:eastAsia="宋体"/>
                <w:sz w:val="16"/>
              </w:rPr>
              <w:t>三级指标</w:t>
            </w:r>
          </w:p>
        </w:tc>
        <w:tc>
          <w:tcPr>
            <w:tcW w:w="513" w:type="dxa"/>
            <w:tcBorders>
              <w:top w:val="single" w:color="auto" w:sz="10" w:space="0"/>
              <w:left w:val="single" w:color="auto" w:sz="10" w:space="0"/>
              <w:bottom w:val="single" w:color="auto" w:sz="10" w:space="0"/>
              <w:right w:val="single" w:color="auto" w:sz="10" w:space="0"/>
              <w:insideV w:val="single" w:sz="10" w:space="0"/>
            </w:tcBorders>
            <w:vAlign w:val="center"/>
          </w:tcPr>
          <w:p w14:paraId="37F8CAA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21BF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30D0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20C4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596F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21AA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2291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6603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762E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95563">
            <w:pPr>
              <w:jc w:val="center"/>
            </w:pPr>
            <w:r>
              <w:rPr>
                <w:rFonts w:ascii="宋体" w:hAnsi="宋体" w:eastAsia="宋体"/>
                <w:sz w:val="16"/>
              </w:rPr>
              <w:t>偏差原因分析及改进措施</w:t>
            </w:r>
          </w:p>
        </w:tc>
      </w:tr>
      <w:tr w14:paraId="06186F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0935E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45FD3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523B21">
            <w:pPr>
              <w:jc w:val="center"/>
            </w:pPr>
            <w:r>
              <w:rPr>
                <w:rFonts w:ascii="宋体" w:hAnsi="宋体" w:eastAsia="宋体"/>
                <w:sz w:val="16"/>
              </w:rPr>
              <w:t>数量指标</w:t>
            </w:r>
          </w:p>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7C902A01">
            <w:pPr>
              <w:jc w:val="center"/>
            </w:pPr>
            <w:r>
              <w:rPr>
                <w:rFonts w:ascii="宋体" w:hAnsi="宋体" w:eastAsia="宋体"/>
                <w:sz w:val="16"/>
              </w:rPr>
              <w:t>开展委员视察调研次数</w:t>
            </w:r>
          </w:p>
        </w:tc>
        <w:tc>
          <w:tcPr>
            <w:tcW w:w="513" w:type="dxa"/>
            <w:tcBorders>
              <w:top w:val="single" w:color="auto" w:sz="10" w:space="0"/>
              <w:left w:val="single" w:color="auto" w:sz="10" w:space="0"/>
              <w:bottom w:val="single" w:color="auto" w:sz="10" w:space="0"/>
              <w:right w:val="single" w:color="auto" w:sz="10" w:space="0"/>
              <w:insideV w:val="single" w:sz="10" w:space="0"/>
            </w:tcBorders>
            <w:vAlign w:val="center"/>
          </w:tcPr>
          <w:p w14:paraId="65AE320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0969C">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62AE5">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1E3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17EA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0C5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998D5">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1FF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BD8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54820">
            <w:pPr>
              <w:jc w:val="center"/>
            </w:pPr>
          </w:p>
        </w:tc>
      </w:tr>
      <w:tr w14:paraId="450CC4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B12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0F3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9E125"/>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3E89C915">
            <w:pPr>
              <w:jc w:val="center"/>
            </w:pPr>
            <w:r>
              <w:rPr>
                <w:rFonts w:ascii="宋体" w:hAnsi="宋体" w:eastAsia="宋体"/>
                <w:sz w:val="16"/>
              </w:rPr>
              <w:t>新建委员工作站数量</w:t>
            </w:r>
          </w:p>
        </w:tc>
        <w:tc>
          <w:tcPr>
            <w:tcW w:w="513" w:type="dxa"/>
            <w:tcBorders>
              <w:top w:val="single" w:color="auto" w:sz="10" w:space="0"/>
              <w:left w:val="single" w:color="auto" w:sz="10" w:space="0"/>
              <w:bottom w:val="single" w:color="auto" w:sz="10" w:space="0"/>
              <w:right w:val="single" w:color="auto" w:sz="10" w:space="0"/>
              <w:insideV w:val="single" w:sz="10" w:space="0"/>
            </w:tcBorders>
            <w:vAlign w:val="center"/>
          </w:tcPr>
          <w:p w14:paraId="281888A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B3064">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9FC12">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ABD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4E4B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004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F738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C8C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B2A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8035C">
            <w:pPr>
              <w:jc w:val="center"/>
            </w:pPr>
          </w:p>
        </w:tc>
      </w:tr>
      <w:tr w14:paraId="453CD0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B02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6FE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0BDAB">
            <w:pPr>
              <w:jc w:val="center"/>
            </w:pPr>
            <w:r>
              <w:rPr>
                <w:rFonts w:ascii="宋体" w:hAnsi="宋体" w:eastAsia="宋体"/>
                <w:sz w:val="16"/>
              </w:rPr>
              <w:t>质量指标</w:t>
            </w:r>
          </w:p>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6FB102F5">
            <w:pPr>
              <w:jc w:val="center"/>
            </w:pPr>
            <w:r>
              <w:rPr>
                <w:rFonts w:ascii="宋体" w:hAnsi="宋体" w:eastAsia="宋体"/>
                <w:sz w:val="16"/>
              </w:rPr>
              <w:t>提升委员工作站规范化程度覆盖率</w:t>
            </w:r>
          </w:p>
        </w:tc>
        <w:tc>
          <w:tcPr>
            <w:tcW w:w="513" w:type="dxa"/>
            <w:tcBorders>
              <w:top w:val="single" w:color="auto" w:sz="10" w:space="0"/>
              <w:left w:val="single" w:color="auto" w:sz="10" w:space="0"/>
              <w:bottom w:val="single" w:color="auto" w:sz="10" w:space="0"/>
              <w:right w:val="single" w:color="auto" w:sz="10" w:space="0"/>
              <w:insideV w:val="single" w:sz="10" w:space="0"/>
            </w:tcBorders>
            <w:vAlign w:val="center"/>
          </w:tcPr>
          <w:p w14:paraId="694432E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36BF1">
            <w:pPr>
              <w:jc w:val="center"/>
            </w:pPr>
            <w:r>
              <w:rPr>
                <w:rFonts w:ascii="宋体" w:hAnsi="宋体" w:eastAsia="宋体"/>
                <w:sz w:val="16"/>
              </w:rPr>
              <w:t>&gt;=60%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E6B55">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34E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627D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12D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8B54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B8A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4D7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4FFE4">
            <w:pPr>
              <w:jc w:val="center"/>
            </w:pPr>
          </w:p>
        </w:tc>
      </w:tr>
      <w:tr w14:paraId="0CFDE9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3A9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76B8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3BC3AB">
            <w:pPr>
              <w:jc w:val="center"/>
            </w:pPr>
            <w:r>
              <w:rPr>
                <w:rFonts w:ascii="宋体" w:hAnsi="宋体" w:eastAsia="宋体"/>
                <w:sz w:val="16"/>
              </w:rPr>
              <w:t>时效指标</w:t>
            </w:r>
          </w:p>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5EF5E03D">
            <w:pPr>
              <w:jc w:val="center"/>
            </w:pPr>
            <w:r>
              <w:rPr>
                <w:rFonts w:ascii="宋体" w:hAnsi="宋体" w:eastAsia="宋体"/>
                <w:sz w:val="16"/>
              </w:rPr>
              <w:t>新建提升委员工作站按期完成率</w:t>
            </w:r>
          </w:p>
        </w:tc>
        <w:tc>
          <w:tcPr>
            <w:tcW w:w="513" w:type="dxa"/>
            <w:tcBorders>
              <w:top w:val="single" w:color="auto" w:sz="10" w:space="0"/>
              <w:left w:val="single" w:color="auto" w:sz="10" w:space="0"/>
              <w:bottom w:val="single" w:color="auto" w:sz="10" w:space="0"/>
              <w:right w:val="single" w:color="auto" w:sz="10" w:space="0"/>
              <w:insideV w:val="single" w:sz="10" w:space="0"/>
            </w:tcBorders>
            <w:vAlign w:val="center"/>
          </w:tcPr>
          <w:p w14:paraId="2281C58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25AB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0DA4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C55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615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67E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D12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A50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ABF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A9CC4">
            <w:pPr>
              <w:jc w:val="center"/>
            </w:pPr>
          </w:p>
        </w:tc>
      </w:tr>
      <w:tr w14:paraId="62724A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9D3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249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57984"/>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4B967AC3">
            <w:pPr>
              <w:jc w:val="center"/>
            </w:pPr>
            <w:r>
              <w:rPr>
                <w:rFonts w:ascii="宋体" w:hAnsi="宋体" w:eastAsia="宋体"/>
                <w:sz w:val="16"/>
              </w:rPr>
              <w:t>资金支付及时性</w:t>
            </w:r>
          </w:p>
        </w:tc>
        <w:tc>
          <w:tcPr>
            <w:tcW w:w="513" w:type="dxa"/>
            <w:tcBorders>
              <w:top w:val="single" w:color="auto" w:sz="10" w:space="0"/>
              <w:left w:val="single" w:color="auto" w:sz="10" w:space="0"/>
              <w:bottom w:val="single" w:color="auto" w:sz="10" w:space="0"/>
              <w:right w:val="single" w:color="auto" w:sz="10" w:space="0"/>
              <w:insideV w:val="single" w:sz="10" w:space="0"/>
            </w:tcBorders>
            <w:vAlign w:val="center"/>
          </w:tcPr>
          <w:p w14:paraId="1406FE7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8DD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BD6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A61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83B1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056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E58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96A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D38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52090">
            <w:pPr>
              <w:jc w:val="center"/>
            </w:pPr>
          </w:p>
        </w:tc>
      </w:tr>
      <w:tr w14:paraId="215E04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8C1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CA926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457CFA">
            <w:pPr>
              <w:jc w:val="center"/>
            </w:pPr>
            <w:r>
              <w:rPr>
                <w:rFonts w:ascii="宋体" w:hAnsi="宋体" w:eastAsia="宋体"/>
                <w:sz w:val="16"/>
              </w:rPr>
              <w:t>经济成本指标</w:t>
            </w:r>
          </w:p>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3FFBFC66">
            <w:pPr>
              <w:jc w:val="center"/>
            </w:pPr>
            <w:r>
              <w:rPr>
                <w:rFonts w:ascii="宋体" w:hAnsi="宋体" w:eastAsia="宋体"/>
                <w:sz w:val="16"/>
              </w:rPr>
              <w:t>开展视察调研费用</w:t>
            </w:r>
          </w:p>
        </w:tc>
        <w:tc>
          <w:tcPr>
            <w:tcW w:w="513" w:type="dxa"/>
            <w:tcBorders>
              <w:top w:val="single" w:color="auto" w:sz="10" w:space="0"/>
              <w:left w:val="single" w:color="auto" w:sz="10" w:space="0"/>
              <w:bottom w:val="single" w:color="auto" w:sz="10" w:space="0"/>
              <w:right w:val="single" w:color="auto" w:sz="10" w:space="0"/>
              <w:insideV w:val="single" w:sz="10" w:space="0"/>
            </w:tcBorders>
            <w:vAlign w:val="center"/>
          </w:tcPr>
          <w:p w14:paraId="240DC15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D495B">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C7783">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B8E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928F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5B2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A27B5">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351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3D9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107FC">
            <w:pPr>
              <w:jc w:val="center"/>
            </w:pPr>
          </w:p>
        </w:tc>
      </w:tr>
      <w:tr w14:paraId="14167A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BEA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BA8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31A4D"/>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7AC70BE6">
            <w:pPr>
              <w:jc w:val="center"/>
            </w:pPr>
            <w:r>
              <w:rPr>
                <w:rFonts w:ascii="宋体" w:hAnsi="宋体" w:eastAsia="宋体"/>
                <w:sz w:val="16"/>
              </w:rPr>
              <w:t>新建提升委员工作站费用</w:t>
            </w:r>
          </w:p>
        </w:tc>
        <w:tc>
          <w:tcPr>
            <w:tcW w:w="513" w:type="dxa"/>
            <w:tcBorders>
              <w:top w:val="single" w:color="auto" w:sz="10" w:space="0"/>
              <w:left w:val="single" w:color="auto" w:sz="10" w:space="0"/>
              <w:bottom w:val="single" w:color="auto" w:sz="10" w:space="0"/>
              <w:right w:val="single" w:color="auto" w:sz="10" w:space="0"/>
              <w:insideV w:val="single" w:sz="10" w:space="0"/>
            </w:tcBorders>
            <w:vAlign w:val="center"/>
          </w:tcPr>
          <w:p w14:paraId="39D6633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A19F2">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B4C95">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A20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B327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172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43B4C">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E2B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145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E05A0">
            <w:pPr>
              <w:jc w:val="center"/>
            </w:pPr>
          </w:p>
        </w:tc>
      </w:tr>
      <w:tr w14:paraId="184B5D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029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47D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E8DCC"/>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6C38B208">
            <w:pPr>
              <w:jc w:val="center"/>
            </w:pPr>
            <w:r>
              <w:rPr>
                <w:rFonts w:ascii="宋体" w:hAnsi="宋体" w:eastAsia="宋体"/>
                <w:sz w:val="16"/>
              </w:rPr>
              <w:t>日常办公经费</w:t>
            </w:r>
          </w:p>
        </w:tc>
        <w:tc>
          <w:tcPr>
            <w:tcW w:w="513" w:type="dxa"/>
            <w:tcBorders>
              <w:top w:val="single" w:color="auto" w:sz="10" w:space="0"/>
              <w:left w:val="single" w:color="auto" w:sz="10" w:space="0"/>
              <w:bottom w:val="single" w:color="auto" w:sz="10" w:space="0"/>
              <w:right w:val="single" w:color="auto" w:sz="10" w:space="0"/>
              <w:insideV w:val="single" w:sz="10" w:space="0"/>
            </w:tcBorders>
            <w:vAlign w:val="center"/>
          </w:tcPr>
          <w:p w14:paraId="555723F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1673D">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46E86">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A0B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7ADB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456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0538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E07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0F8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BE062">
            <w:pPr>
              <w:jc w:val="center"/>
            </w:pPr>
          </w:p>
        </w:tc>
      </w:tr>
      <w:tr w14:paraId="4D1E5A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811B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9DBD0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56F2D7">
            <w:pPr>
              <w:jc w:val="center"/>
            </w:pPr>
            <w:r>
              <w:rPr>
                <w:rFonts w:ascii="宋体" w:hAnsi="宋体" w:eastAsia="宋体"/>
                <w:sz w:val="16"/>
              </w:rPr>
              <w:t>社会效益指标</w:t>
            </w:r>
          </w:p>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7D7B56A8">
            <w:pPr>
              <w:jc w:val="center"/>
            </w:pPr>
            <w:r>
              <w:rPr>
                <w:rFonts w:ascii="宋体" w:hAnsi="宋体" w:eastAsia="宋体"/>
                <w:sz w:val="16"/>
              </w:rPr>
              <w:t>提升政协委员履职能力</w:t>
            </w:r>
          </w:p>
        </w:tc>
        <w:tc>
          <w:tcPr>
            <w:tcW w:w="513" w:type="dxa"/>
            <w:tcBorders>
              <w:top w:val="single" w:color="auto" w:sz="10" w:space="0"/>
              <w:left w:val="single" w:color="auto" w:sz="10" w:space="0"/>
              <w:bottom w:val="single" w:color="auto" w:sz="10" w:space="0"/>
              <w:right w:val="single" w:color="auto" w:sz="10" w:space="0"/>
              <w:insideV w:val="single" w:sz="10" w:space="0"/>
            </w:tcBorders>
            <w:vAlign w:val="center"/>
          </w:tcPr>
          <w:p w14:paraId="44953A1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515C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C950E">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DAF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950A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46E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A11D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160B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AE7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47EF6">
            <w:pPr>
              <w:jc w:val="center"/>
            </w:pPr>
          </w:p>
        </w:tc>
      </w:tr>
      <w:tr w14:paraId="1FD861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870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7F1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EF450E"/>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585D98A9">
            <w:pPr>
              <w:jc w:val="center"/>
            </w:pPr>
            <w:r>
              <w:rPr>
                <w:rFonts w:ascii="宋体" w:hAnsi="宋体" w:eastAsia="宋体"/>
                <w:sz w:val="16"/>
              </w:rPr>
              <w:t>保障政协日常工作稳定开展</w:t>
            </w:r>
          </w:p>
        </w:tc>
        <w:tc>
          <w:tcPr>
            <w:tcW w:w="513" w:type="dxa"/>
            <w:tcBorders>
              <w:top w:val="single" w:color="auto" w:sz="10" w:space="0"/>
              <w:left w:val="single" w:color="auto" w:sz="10" w:space="0"/>
              <w:bottom w:val="single" w:color="auto" w:sz="10" w:space="0"/>
              <w:right w:val="single" w:color="auto" w:sz="10" w:space="0"/>
              <w:insideV w:val="single" w:sz="10" w:space="0"/>
            </w:tcBorders>
            <w:vAlign w:val="center"/>
          </w:tcPr>
          <w:p w14:paraId="368E4D9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B403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F9B50">
            <w:pPr>
              <w:jc w:val="center"/>
            </w:pPr>
            <w:r>
              <w:rPr>
                <w:rFonts w:ascii="宋体" w:hAnsi="宋体" w:eastAsia="宋体"/>
                <w:sz w:val="16"/>
              </w:rPr>
              <w:t>有所保障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C51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B98D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808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AD60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41EE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C29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74E56">
            <w:pPr>
              <w:jc w:val="center"/>
            </w:pPr>
          </w:p>
        </w:tc>
      </w:tr>
      <w:tr w14:paraId="3408F3C9">
        <w:tblPrEx>
          <w:tblCellMar>
            <w:top w:w="0" w:type="dxa"/>
            <w:left w:w="108" w:type="dxa"/>
            <w:bottom w:w="0" w:type="dxa"/>
            <w:right w:w="108" w:type="dxa"/>
          </w:tblCellMar>
        </w:tblPrEx>
        <w:tc>
          <w:tcPr>
            <w:tcW w:w="2647"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7AAEAA">
            <w:pPr>
              <w:jc w:val="center"/>
            </w:pPr>
            <w:r>
              <w:rPr>
                <w:rFonts w:ascii="宋体" w:hAnsi="宋体" w:eastAsia="宋体"/>
                <w:sz w:val="16"/>
              </w:rPr>
              <w:t>总分</w:t>
            </w:r>
          </w:p>
        </w:tc>
        <w:tc>
          <w:tcPr>
            <w:tcW w:w="513" w:type="dxa"/>
            <w:tcBorders>
              <w:top w:val="single" w:color="auto" w:sz="10" w:space="0"/>
              <w:left w:val="single" w:color="auto" w:sz="10" w:space="0"/>
              <w:bottom w:val="single" w:color="auto" w:sz="10" w:space="0"/>
              <w:right w:val="single" w:color="auto" w:sz="10" w:space="0"/>
              <w:insideV w:val="single" w:sz="10" w:space="0"/>
            </w:tcBorders>
            <w:vAlign w:val="center"/>
          </w:tcPr>
          <w:p w14:paraId="0D731E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869F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8EA50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AA01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0D144">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C1E05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6D5E1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E9CD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5B91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D32629"/>
        </w:tc>
      </w:tr>
    </w:tbl>
    <w:p w14:paraId="6F906A2F">
      <w:r>
        <w:br w:type="page"/>
      </w:r>
    </w:p>
    <w:tbl>
      <w:tblPr>
        <w:tblStyle w:val="9"/>
        <w:tblW w:w="5000" w:type="pct"/>
        <w:jc w:val="center"/>
        <w:tblLayout w:type="autofit"/>
        <w:tblCellMar>
          <w:top w:w="40" w:type="dxa"/>
          <w:left w:w="64" w:type="dxa"/>
          <w:bottom w:w="40" w:type="dxa"/>
          <w:right w:w="64" w:type="dxa"/>
        </w:tblCellMar>
      </w:tblPr>
      <w:tblGrid>
        <w:gridCol w:w="517"/>
        <w:gridCol w:w="450"/>
        <w:gridCol w:w="529"/>
        <w:gridCol w:w="757"/>
        <w:gridCol w:w="450"/>
        <w:gridCol w:w="1104"/>
        <w:gridCol w:w="915"/>
        <w:gridCol w:w="816"/>
        <w:gridCol w:w="431"/>
        <w:gridCol w:w="411"/>
        <w:gridCol w:w="467"/>
        <w:gridCol w:w="502"/>
        <w:gridCol w:w="389"/>
        <w:gridCol w:w="1234"/>
      </w:tblGrid>
      <w:tr w14:paraId="0A82FF1B">
        <w:tblPrEx>
          <w:tblCellMar>
            <w:top w:w="40" w:type="dxa"/>
            <w:left w:w="64" w:type="dxa"/>
            <w:bottom w:w="40" w:type="dxa"/>
            <w:right w:w="64" w:type="dxa"/>
          </w:tblCellMar>
        </w:tblPrEx>
        <w:trPr>
          <w:trHeight w:val="0" w:hRule="atLeast"/>
          <w:jc w:val="center"/>
        </w:trPr>
        <w:tc>
          <w:tcPr>
            <w:tcW w:w="5000" w:type="pct"/>
            <w:gridSpan w:val="14"/>
            <w:vAlign w:val="center"/>
          </w:tcPr>
          <w:p w14:paraId="23EE4B09">
            <w:pPr>
              <w:snapToGrid w:val="0"/>
              <w:jc w:val="center"/>
            </w:pPr>
            <w:r>
              <w:rPr>
                <w:rFonts w:ascii="宋体" w:hAnsi="宋体" w:eastAsia="宋体"/>
                <w:sz w:val="24"/>
              </w:rPr>
              <w:t>项目支出绩效自评表</w:t>
            </w:r>
          </w:p>
        </w:tc>
      </w:tr>
      <w:tr w14:paraId="0B90AB94">
        <w:tblPrEx>
          <w:tblCellMar>
            <w:top w:w="40" w:type="dxa"/>
            <w:left w:w="64" w:type="dxa"/>
            <w:bottom w:w="40" w:type="dxa"/>
            <w:right w:w="64" w:type="dxa"/>
          </w:tblCellMar>
        </w:tblPrEx>
        <w:trPr>
          <w:trHeight w:val="0" w:hRule="atLeast"/>
          <w:jc w:val="center"/>
        </w:trPr>
        <w:tc>
          <w:tcPr>
            <w:tcW w:w="5000" w:type="pct"/>
            <w:gridSpan w:val="14"/>
            <w:vAlign w:val="center"/>
          </w:tcPr>
          <w:p w14:paraId="154D1C56">
            <w:pPr>
              <w:snapToGrid w:val="0"/>
              <w:jc w:val="center"/>
            </w:pPr>
            <w:r>
              <w:rPr>
                <w:rFonts w:ascii="宋体" w:hAnsi="宋体" w:eastAsia="宋体"/>
                <w:sz w:val="24"/>
              </w:rPr>
              <w:t>(2024年度)</w:t>
            </w:r>
          </w:p>
        </w:tc>
      </w:tr>
      <w:tr w14:paraId="3FB4E426">
        <w:tblPrEx>
          <w:tblCellMar>
            <w:top w:w="40" w:type="dxa"/>
            <w:left w:w="64" w:type="dxa"/>
            <w:bottom w:w="40" w:type="dxa"/>
            <w:right w:w="64" w:type="dxa"/>
          </w:tblCellMar>
        </w:tblPrEx>
        <w:trPr>
          <w:trHeight w:val="0" w:hRule="atLeast"/>
          <w:jc w:val="center"/>
        </w:trPr>
        <w:tc>
          <w:tcPr>
            <w:tcW w:w="288" w:type="pct"/>
            <w:tcBorders>
              <w:top w:val="single" w:color="auto" w:sz="10" w:space="0"/>
              <w:left w:val="single" w:color="auto" w:sz="10" w:space="0"/>
              <w:bottom w:val="single" w:color="auto" w:sz="10" w:space="0"/>
              <w:right w:val="single" w:color="auto" w:sz="10" w:space="0"/>
              <w:insideV w:val="single" w:sz="10" w:space="0"/>
            </w:tcBorders>
            <w:vAlign w:val="center"/>
          </w:tcPr>
          <w:p w14:paraId="7018B993">
            <w:pPr>
              <w:snapToGrid w:val="0"/>
              <w:jc w:val="center"/>
            </w:pPr>
            <w:r>
              <w:rPr>
                <w:rFonts w:ascii="宋体" w:hAnsi="宋体" w:eastAsia="宋体"/>
                <w:sz w:val="16"/>
              </w:rPr>
              <w:t>项目名称</w:t>
            </w:r>
          </w:p>
        </w:tc>
        <w:tc>
          <w:tcPr>
            <w:tcW w:w="4711" w:type="pct"/>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2DCB2E">
            <w:pPr>
              <w:snapToGrid w:val="0"/>
              <w:jc w:val="center"/>
            </w:pPr>
            <w:r>
              <w:rPr>
                <w:rFonts w:ascii="宋体" w:hAnsi="宋体" w:eastAsia="宋体"/>
                <w:sz w:val="16"/>
              </w:rPr>
              <w:t>政协会议项目</w:t>
            </w:r>
          </w:p>
        </w:tc>
      </w:tr>
      <w:tr w14:paraId="35E5AD56">
        <w:tblPrEx>
          <w:tblCellMar>
            <w:top w:w="40" w:type="dxa"/>
            <w:left w:w="64" w:type="dxa"/>
            <w:bottom w:w="40" w:type="dxa"/>
            <w:right w:w="64" w:type="dxa"/>
          </w:tblCellMar>
        </w:tblPrEx>
        <w:trPr>
          <w:trHeight w:val="0" w:hRule="atLeast"/>
          <w:jc w:val="center"/>
        </w:trPr>
        <w:tc>
          <w:tcPr>
            <w:tcW w:w="288" w:type="pct"/>
            <w:tcBorders>
              <w:top w:val="single" w:color="auto" w:sz="10" w:space="0"/>
              <w:left w:val="single" w:color="auto" w:sz="10" w:space="0"/>
              <w:bottom w:val="single" w:color="auto" w:sz="10" w:space="0"/>
              <w:right w:val="single" w:color="auto" w:sz="10" w:space="0"/>
              <w:insideV w:val="single" w:sz="10" w:space="0"/>
            </w:tcBorders>
            <w:vAlign w:val="center"/>
          </w:tcPr>
          <w:p w14:paraId="48E8048B">
            <w:pPr>
              <w:snapToGrid w:val="0"/>
              <w:jc w:val="center"/>
            </w:pPr>
            <w:r>
              <w:rPr>
                <w:rFonts w:ascii="宋体" w:hAnsi="宋体" w:eastAsia="宋体"/>
                <w:sz w:val="16"/>
              </w:rPr>
              <w:t>主管部门</w:t>
            </w:r>
          </w:p>
        </w:tc>
        <w:tc>
          <w:tcPr>
            <w:tcW w:w="2798" w:type="pct"/>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7E4C85">
            <w:pPr>
              <w:snapToGrid w:val="0"/>
              <w:jc w:val="center"/>
            </w:pPr>
            <w:r>
              <w:rPr>
                <w:rFonts w:ascii="宋体" w:hAnsi="宋体" w:eastAsia="宋体"/>
                <w:sz w:val="16"/>
              </w:rPr>
              <w:t>中国人民政治协商会议霍城县委员会</w:t>
            </w:r>
          </w:p>
        </w:tc>
        <w:tc>
          <w:tcPr>
            <w:tcW w:w="240" w:type="pct"/>
            <w:tcBorders>
              <w:top w:val="single" w:color="auto" w:sz="10" w:space="0"/>
              <w:left w:val="single" w:color="auto" w:sz="10" w:space="0"/>
              <w:bottom w:val="single" w:color="auto" w:sz="10" w:space="0"/>
              <w:right w:val="single" w:color="auto" w:sz="10" w:space="0"/>
              <w:insideV w:val="single" w:sz="10" w:space="0"/>
            </w:tcBorders>
            <w:vAlign w:val="center"/>
          </w:tcPr>
          <w:p w14:paraId="3B46F54A">
            <w:pPr>
              <w:snapToGrid w:val="0"/>
              <w:jc w:val="center"/>
            </w:pPr>
            <w:r>
              <w:rPr>
                <w:rFonts w:ascii="宋体" w:hAnsi="宋体" w:eastAsia="宋体"/>
                <w:sz w:val="16"/>
              </w:rPr>
              <w:t>实施单位</w:t>
            </w:r>
          </w:p>
        </w:tc>
        <w:tc>
          <w:tcPr>
            <w:tcW w:w="1672" w:type="pct"/>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64DBEA">
            <w:pPr>
              <w:snapToGrid w:val="0"/>
              <w:jc w:val="center"/>
            </w:pPr>
            <w:r>
              <w:rPr>
                <w:rFonts w:ascii="宋体" w:hAnsi="宋体" w:eastAsia="宋体"/>
                <w:sz w:val="16"/>
              </w:rPr>
              <w:t>中国人民政治协商会议霍城县委员会</w:t>
            </w:r>
          </w:p>
        </w:tc>
      </w:tr>
      <w:tr w14:paraId="6AB26870">
        <w:tblPrEx>
          <w:tblCellMar>
            <w:top w:w="40" w:type="dxa"/>
            <w:left w:w="64" w:type="dxa"/>
            <w:bottom w:w="40" w:type="dxa"/>
            <w:right w:w="64" w:type="dxa"/>
          </w:tblCellMar>
        </w:tblPrEx>
        <w:trPr>
          <w:trHeight w:val="0" w:hRule="atLeast"/>
          <w:jc w:val="center"/>
        </w:trPr>
        <w:tc>
          <w:tcPr>
            <w:tcW w:w="288"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0F1240">
            <w:pPr>
              <w:snapToGrid w:val="0"/>
              <w:jc w:val="center"/>
            </w:pPr>
            <w:r>
              <w:rPr>
                <w:rFonts w:ascii="宋体" w:hAnsi="宋体" w:eastAsia="宋体"/>
                <w:sz w:val="16"/>
              </w:rPr>
              <w:t>项目资金（万元）</w:t>
            </w:r>
          </w:p>
        </w:tc>
        <w:tc>
          <w:tcPr>
            <w:tcW w:w="546"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9FB38">
            <w:pPr>
              <w:snapToGrid w:val="0"/>
              <w:jc w:val="center"/>
            </w:pPr>
          </w:p>
        </w:tc>
        <w:tc>
          <w:tcPr>
            <w:tcW w:w="67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BB071">
            <w:pPr>
              <w:snapToGrid w:val="0"/>
              <w:jc w:val="center"/>
            </w:pPr>
            <w:r>
              <w:rPr>
                <w:rFonts w:ascii="宋体" w:hAnsi="宋体" w:eastAsia="宋体"/>
                <w:sz w:val="16"/>
              </w:rPr>
              <w:t>年初预算数</w:t>
            </w:r>
          </w:p>
        </w:tc>
        <w:tc>
          <w:tcPr>
            <w:tcW w:w="1125"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EA044">
            <w:pPr>
              <w:snapToGrid w:val="0"/>
              <w:jc w:val="center"/>
            </w:pPr>
            <w:r>
              <w:rPr>
                <w:rFonts w:ascii="宋体" w:hAnsi="宋体" w:eastAsia="宋体"/>
                <w:sz w:val="16"/>
              </w:rPr>
              <w:t>全年预算数</w:t>
            </w:r>
          </w:p>
        </w:tc>
        <w:tc>
          <w:tcPr>
            <w:tcW w:w="694"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C18FA">
            <w:pPr>
              <w:snapToGrid w:val="0"/>
              <w:jc w:val="center"/>
            </w:pPr>
            <w:r>
              <w:rPr>
                <w:rFonts w:ascii="宋体" w:hAnsi="宋体" w:eastAsia="宋体"/>
                <w:sz w:val="16"/>
              </w:rPr>
              <w:t>全年执行数</w:t>
            </w:r>
          </w:p>
        </w:tc>
        <w:tc>
          <w:tcPr>
            <w:tcW w:w="489"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F3289">
            <w:pPr>
              <w:snapToGrid w:val="0"/>
              <w:jc w:val="center"/>
            </w:pPr>
            <w:r>
              <w:rPr>
                <w:rFonts w:ascii="宋体" w:hAnsi="宋体" w:eastAsia="宋体"/>
                <w:sz w:val="16"/>
              </w:rPr>
              <w:t>分值</w:t>
            </w:r>
          </w:p>
        </w:tc>
        <w:tc>
          <w:tcPr>
            <w:tcW w:w="497"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B04DA">
            <w:pPr>
              <w:snapToGrid w:val="0"/>
              <w:jc w:val="center"/>
            </w:pPr>
            <w:r>
              <w:rPr>
                <w:rFonts w:ascii="宋体" w:hAnsi="宋体" w:eastAsia="宋体"/>
                <w:sz w:val="16"/>
              </w:rPr>
              <w:t>执行率</w:t>
            </w:r>
          </w:p>
        </w:tc>
        <w:tc>
          <w:tcPr>
            <w:tcW w:w="686" w:type="pct"/>
            <w:tcBorders>
              <w:top w:val="single" w:color="auto" w:sz="10" w:space="0"/>
              <w:left w:val="single" w:color="auto" w:sz="10" w:space="0"/>
              <w:bottom w:val="single" w:color="auto" w:sz="10" w:space="0"/>
              <w:right w:val="single" w:color="auto" w:sz="10" w:space="0"/>
              <w:insideV w:val="single" w:sz="10" w:space="0"/>
            </w:tcBorders>
            <w:vAlign w:val="center"/>
          </w:tcPr>
          <w:p w14:paraId="1C49DAAF">
            <w:pPr>
              <w:snapToGrid w:val="0"/>
              <w:jc w:val="center"/>
            </w:pPr>
            <w:r>
              <w:rPr>
                <w:rFonts w:ascii="宋体" w:hAnsi="宋体" w:eastAsia="宋体"/>
                <w:sz w:val="16"/>
              </w:rPr>
              <w:t>得分</w:t>
            </w:r>
          </w:p>
        </w:tc>
      </w:tr>
      <w:tr w14:paraId="60FC0EC8">
        <w:tblPrEx>
          <w:tblCellMar>
            <w:top w:w="40" w:type="dxa"/>
            <w:left w:w="64" w:type="dxa"/>
            <w:bottom w:w="40" w:type="dxa"/>
            <w:right w:w="64" w:type="dxa"/>
          </w:tblCellMar>
        </w:tblPrEx>
        <w:trPr>
          <w:trHeight w:val="0" w:hRule="atLeast"/>
          <w:jc w:val="center"/>
        </w:trPr>
        <w:tc>
          <w:tcPr>
            <w:tcW w:w="288" w:type="pct"/>
            <w:vMerge w:val="continue"/>
            <w:tcBorders>
              <w:top w:val="single" w:color="auto" w:sz="10" w:space="0"/>
              <w:left w:val="single" w:color="auto" w:sz="10" w:space="0"/>
              <w:bottom w:val="single" w:color="auto" w:sz="10" w:space="0"/>
              <w:right w:val="single" w:color="auto" w:sz="10" w:space="0"/>
              <w:insideV w:val="single" w:sz="10" w:space="0"/>
            </w:tcBorders>
          </w:tcPr>
          <w:p w14:paraId="7F39E766">
            <w:pPr>
              <w:snapToGrid w:val="0"/>
            </w:pPr>
          </w:p>
        </w:tc>
        <w:tc>
          <w:tcPr>
            <w:tcW w:w="546"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E7367">
            <w:pPr>
              <w:snapToGrid w:val="0"/>
              <w:jc w:val="center"/>
            </w:pPr>
            <w:r>
              <w:rPr>
                <w:rFonts w:ascii="宋体" w:hAnsi="宋体" w:eastAsia="宋体"/>
                <w:sz w:val="16"/>
              </w:rPr>
              <w:t>年度资金总额</w:t>
            </w:r>
          </w:p>
        </w:tc>
        <w:tc>
          <w:tcPr>
            <w:tcW w:w="67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E2808">
            <w:pPr>
              <w:snapToGrid w:val="0"/>
              <w:jc w:val="center"/>
            </w:pPr>
            <w:r>
              <w:rPr>
                <w:rFonts w:ascii="宋体" w:hAnsi="宋体" w:eastAsia="宋体"/>
                <w:sz w:val="16"/>
              </w:rPr>
              <w:t>18.00</w:t>
            </w:r>
          </w:p>
        </w:tc>
        <w:tc>
          <w:tcPr>
            <w:tcW w:w="1125"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CCD7C">
            <w:pPr>
              <w:snapToGrid w:val="0"/>
              <w:jc w:val="center"/>
            </w:pPr>
            <w:r>
              <w:rPr>
                <w:rFonts w:ascii="宋体" w:hAnsi="宋体" w:eastAsia="宋体"/>
                <w:sz w:val="16"/>
              </w:rPr>
              <w:t>18.00</w:t>
            </w:r>
          </w:p>
        </w:tc>
        <w:tc>
          <w:tcPr>
            <w:tcW w:w="694"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5FAE9">
            <w:pPr>
              <w:snapToGrid w:val="0"/>
              <w:jc w:val="center"/>
            </w:pPr>
            <w:r>
              <w:rPr>
                <w:rFonts w:ascii="宋体" w:hAnsi="宋体" w:eastAsia="宋体"/>
                <w:sz w:val="16"/>
              </w:rPr>
              <w:t>18.00</w:t>
            </w:r>
          </w:p>
        </w:tc>
        <w:tc>
          <w:tcPr>
            <w:tcW w:w="489"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46340">
            <w:pPr>
              <w:snapToGrid w:val="0"/>
              <w:jc w:val="center"/>
            </w:pPr>
            <w:r>
              <w:rPr>
                <w:rFonts w:ascii="宋体" w:hAnsi="宋体" w:eastAsia="宋体"/>
                <w:sz w:val="16"/>
              </w:rPr>
              <w:t>10</w:t>
            </w:r>
          </w:p>
        </w:tc>
        <w:tc>
          <w:tcPr>
            <w:tcW w:w="497"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5299B">
            <w:pPr>
              <w:snapToGrid w:val="0"/>
              <w:jc w:val="center"/>
            </w:pPr>
            <w:r>
              <w:rPr>
                <w:rFonts w:ascii="宋体" w:hAnsi="宋体" w:eastAsia="宋体"/>
                <w:sz w:val="16"/>
              </w:rPr>
              <w:t>100.00%</w:t>
            </w:r>
          </w:p>
        </w:tc>
        <w:tc>
          <w:tcPr>
            <w:tcW w:w="686" w:type="pct"/>
            <w:tcBorders>
              <w:top w:val="single" w:color="auto" w:sz="10" w:space="0"/>
              <w:left w:val="single" w:color="auto" w:sz="10" w:space="0"/>
              <w:bottom w:val="single" w:color="auto" w:sz="10" w:space="0"/>
              <w:right w:val="single" w:color="auto" w:sz="10" w:space="0"/>
              <w:insideV w:val="single" w:sz="10" w:space="0"/>
            </w:tcBorders>
            <w:vAlign w:val="center"/>
          </w:tcPr>
          <w:p w14:paraId="50DA1DEE">
            <w:pPr>
              <w:snapToGrid w:val="0"/>
              <w:jc w:val="center"/>
            </w:pPr>
            <w:r>
              <w:rPr>
                <w:rFonts w:ascii="宋体" w:hAnsi="宋体" w:eastAsia="宋体"/>
                <w:sz w:val="16"/>
              </w:rPr>
              <w:t>10.00</w:t>
            </w:r>
          </w:p>
        </w:tc>
      </w:tr>
      <w:tr w14:paraId="28C7B620">
        <w:tblPrEx>
          <w:tblCellMar>
            <w:top w:w="40" w:type="dxa"/>
            <w:left w:w="64" w:type="dxa"/>
            <w:bottom w:w="40" w:type="dxa"/>
            <w:right w:w="64" w:type="dxa"/>
          </w:tblCellMar>
        </w:tblPrEx>
        <w:trPr>
          <w:trHeight w:val="0" w:hRule="atLeast"/>
          <w:jc w:val="center"/>
        </w:trPr>
        <w:tc>
          <w:tcPr>
            <w:tcW w:w="288" w:type="pct"/>
            <w:vMerge w:val="continue"/>
            <w:tcBorders>
              <w:top w:val="single" w:color="auto" w:sz="10" w:space="0"/>
              <w:left w:val="single" w:color="auto" w:sz="10" w:space="0"/>
              <w:bottom w:val="single" w:color="auto" w:sz="10" w:space="0"/>
              <w:right w:val="single" w:color="auto" w:sz="10" w:space="0"/>
              <w:insideV w:val="single" w:sz="10" w:space="0"/>
            </w:tcBorders>
          </w:tcPr>
          <w:p w14:paraId="708B2AA4">
            <w:pPr>
              <w:snapToGrid w:val="0"/>
            </w:pPr>
          </w:p>
        </w:tc>
        <w:tc>
          <w:tcPr>
            <w:tcW w:w="546"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605B9">
            <w:pPr>
              <w:snapToGrid w:val="0"/>
              <w:jc w:val="center"/>
            </w:pPr>
            <w:r>
              <w:rPr>
                <w:rFonts w:ascii="宋体" w:hAnsi="宋体" w:eastAsia="宋体"/>
                <w:sz w:val="16"/>
              </w:rPr>
              <w:t>其中：当年财政拨款</w:t>
            </w:r>
          </w:p>
        </w:tc>
        <w:tc>
          <w:tcPr>
            <w:tcW w:w="67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F8704">
            <w:pPr>
              <w:snapToGrid w:val="0"/>
              <w:jc w:val="center"/>
            </w:pPr>
            <w:r>
              <w:rPr>
                <w:rFonts w:ascii="宋体" w:hAnsi="宋体" w:eastAsia="宋体"/>
                <w:sz w:val="16"/>
              </w:rPr>
              <w:t>18.00</w:t>
            </w:r>
          </w:p>
        </w:tc>
        <w:tc>
          <w:tcPr>
            <w:tcW w:w="1125"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FB303">
            <w:pPr>
              <w:snapToGrid w:val="0"/>
              <w:jc w:val="center"/>
            </w:pPr>
            <w:r>
              <w:rPr>
                <w:rFonts w:ascii="宋体" w:hAnsi="宋体" w:eastAsia="宋体"/>
                <w:sz w:val="16"/>
              </w:rPr>
              <w:t>18.00</w:t>
            </w:r>
          </w:p>
        </w:tc>
        <w:tc>
          <w:tcPr>
            <w:tcW w:w="694"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C58F3">
            <w:pPr>
              <w:snapToGrid w:val="0"/>
              <w:jc w:val="center"/>
            </w:pPr>
            <w:r>
              <w:rPr>
                <w:rFonts w:ascii="宋体" w:hAnsi="宋体" w:eastAsia="宋体"/>
                <w:sz w:val="16"/>
              </w:rPr>
              <w:t>18.00</w:t>
            </w:r>
          </w:p>
        </w:tc>
        <w:tc>
          <w:tcPr>
            <w:tcW w:w="489"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F8E77">
            <w:pPr>
              <w:snapToGrid w:val="0"/>
              <w:jc w:val="center"/>
            </w:pPr>
            <w:r>
              <w:rPr>
                <w:rFonts w:ascii="宋体" w:hAnsi="宋体" w:eastAsia="宋体"/>
                <w:sz w:val="16"/>
              </w:rPr>
              <w:t>—</w:t>
            </w:r>
          </w:p>
        </w:tc>
        <w:tc>
          <w:tcPr>
            <w:tcW w:w="497"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BDE11">
            <w:pPr>
              <w:snapToGrid w:val="0"/>
              <w:jc w:val="center"/>
            </w:pPr>
            <w:r>
              <w:rPr>
                <w:rFonts w:ascii="宋体" w:hAnsi="宋体" w:eastAsia="宋体"/>
                <w:sz w:val="16"/>
              </w:rPr>
              <w:t>—</w:t>
            </w:r>
          </w:p>
        </w:tc>
        <w:tc>
          <w:tcPr>
            <w:tcW w:w="686" w:type="pct"/>
            <w:tcBorders>
              <w:top w:val="single" w:color="auto" w:sz="10" w:space="0"/>
              <w:left w:val="single" w:color="auto" w:sz="10" w:space="0"/>
              <w:bottom w:val="single" w:color="auto" w:sz="10" w:space="0"/>
              <w:right w:val="single" w:color="auto" w:sz="10" w:space="0"/>
              <w:insideV w:val="single" w:sz="10" w:space="0"/>
            </w:tcBorders>
            <w:vAlign w:val="center"/>
          </w:tcPr>
          <w:p w14:paraId="0EDEBE7B">
            <w:pPr>
              <w:snapToGrid w:val="0"/>
              <w:jc w:val="center"/>
            </w:pPr>
            <w:r>
              <w:rPr>
                <w:rFonts w:ascii="宋体" w:hAnsi="宋体" w:eastAsia="宋体"/>
                <w:sz w:val="16"/>
              </w:rPr>
              <w:t>—</w:t>
            </w:r>
          </w:p>
        </w:tc>
      </w:tr>
      <w:tr w14:paraId="6C031347">
        <w:tblPrEx>
          <w:tblCellMar>
            <w:top w:w="40" w:type="dxa"/>
            <w:left w:w="64" w:type="dxa"/>
            <w:bottom w:w="40" w:type="dxa"/>
            <w:right w:w="64" w:type="dxa"/>
          </w:tblCellMar>
        </w:tblPrEx>
        <w:trPr>
          <w:trHeight w:val="0" w:hRule="atLeast"/>
          <w:jc w:val="center"/>
        </w:trPr>
        <w:tc>
          <w:tcPr>
            <w:tcW w:w="288" w:type="pct"/>
            <w:vMerge w:val="continue"/>
            <w:tcBorders>
              <w:top w:val="single" w:color="auto" w:sz="10" w:space="0"/>
              <w:left w:val="single" w:color="auto" w:sz="10" w:space="0"/>
              <w:bottom w:val="single" w:color="auto" w:sz="10" w:space="0"/>
              <w:right w:val="single" w:color="auto" w:sz="10" w:space="0"/>
              <w:insideV w:val="single" w:sz="10" w:space="0"/>
            </w:tcBorders>
          </w:tcPr>
          <w:p w14:paraId="2C8768DC">
            <w:pPr>
              <w:snapToGrid w:val="0"/>
            </w:pPr>
          </w:p>
        </w:tc>
        <w:tc>
          <w:tcPr>
            <w:tcW w:w="546"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7B781">
            <w:pPr>
              <w:snapToGrid w:val="0"/>
              <w:jc w:val="center"/>
            </w:pPr>
            <w:r>
              <w:rPr>
                <w:rFonts w:ascii="宋体" w:hAnsi="宋体" w:eastAsia="宋体"/>
                <w:sz w:val="16"/>
              </w:rPr>
              <w:t xml:space="preserve">  其他资金</w:t>
            </w:r>
          </w:p>
        </w:tc>
        <w:tc>
          <w:tcPr>
            <w:tcW w:w="67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E078E">
            <w:pPr>
              <w:snapToGrid w:val="0"/>
              <w:jc w:val="center"/>
            </w:pPr>
            <w:r>
              <w:rPr>
                <w:rFonts w:ascii="宋体" w:hAnsi="宋体" w:eastAsia="宋体"/>
                <w:sz w:val="16"/>
              </w:rPr>
              <w:t>0.00</w:t>
            </w:r>
          </w:p>
        </w:tc>
        <w:tc>
          <w:tcPr>
            <w:tcW w:w="1125"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681B3">
            <w:pPr>
              <w:snapToGrid w:val="0"/>
              <w:jc w:val="center"/>
            </w:pPr>
            <w:r>
              <w:rPr>
                <w:rFonts w:ascii="宋体" w:hAnsi="宋体" w:eastAsia="宋体"/>
                <w:sz w:val="16"/>
              </w:rPr>
              <w:t>0.00</w:t>
            </w:r>
          </w:p>
        </w:tc>
        <w:tc>
          <w:tcPr>
            <w:tcW w:w="694"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4232C">
            <w:pPr>
              <w:snapToGrid w:val="0"/>
              <w:jc w:val="center"/>
            </w:pPr>
            <w:r>
              <w:rPr>
                <w:rFonts w:ascii="宋体" w:hAnsi="宋体" w:eastAsia="宋体"/>
                <w:sz w:val="16"/>
              </w:rPr>
              <w:t>0.00</w:t>
            </w:r>
          </w:p>
        </w:tc>
        <w:tc>
          <w:tcPr>
            <w:tcW w:w="489"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88493">
            <w:pPr>
              <w:snapToGrid w:val="0"/>
              <w:jc w:val="center"/>
            </w:pPr>
            <w:r>
              <w:rPr>
                <w:rFonts w:ascii="宋体" w:hAnsi="宋体" w:eastAsia="宋体"/>
                <w:sz w:val="16"/>
              </w:rPr>
              <w:t>—</w:t>
            </w:r>
          </w:p>
        </w:tc>
        <w:tc>
          <w:tcPr>
            <w:tcW w:w="497"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D1BED">
            <w:pPr>
              <w:snapToGrid w:val="0"/>
              <w:jc w:val="center"/>
            </w:pPr>
            <w:r>
              <w:rPr>
                <w:rFonts w:ascii="宋体" w:hAnsi="宋体" w:eastAsia="宋体"/>
                <w:sz w:val="16"/>
              </w:rPr>
              <w:t>—</w:t>
            </w:r>
          </w:p>
        </w:tc>
        <w:tc>
          <w:tcPr>
            <w:tcW w:w="686" w:type="pct"/>
            <w:tcBorders>
              <w:top w:val="single" w:color="auto" w:sz="10" w:space="0"/>
              <w:left w:val="single" w:color="auto" w:sz="10" w:space="0"/>
              <w:bottom w:val="single" w:color="auto" w:sz="10" w:space="0"/>
              <w:right w:val="single" w:color="auto" w:sz="10" w:space="0"/>
              <w:insideV w:val="single" w:sz="10" w:space="0"/>
            </w:tcBorders>
            <w:vAlign w:val="center"/>
          </w:tcPr>
          <w:p w14:paraId="4517FD99">
            <w:pPr>
              <w:snapToGrid w:val="0"/>
              <w:jc w:val="center"/>
            </w:pPr>
            <w:r>
              <w:rPr>
                <w:rFonts w:ascii="宋体" w:hAnsi="宋体" w:eastAsia="宋体"/>
                <w:sz w:val="16"/>
              </w:rPr>
              <w:t>—</w:t>
            </w:r>
          </w:p>
        </w:tc>
      </w:tr>
      <w:tr w14:paraId="0235AB31">
        <w:tblPrEx>
          <w:tblCellMar>
            <w:top w:w="40" w:type="dxa"/>
            <w:left w:w="64" w:type="dxa"/>
            <w:bottom w:w="40" w:type="dxa"/>
            <w:right w:w="64" w:type="dxa"/>
          </w:tblCellMar>
        </w:tblPrEx>
        <w:trPr>
          <w:trHeight w:val="0" w:hRule="atLeast"/>
          <w:jc w:val="center"/>
        </w:trPr>
        <w:tc>
          <w:tcPr>
            <w:tcW w:w="288"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130D67">
            <w:pPr>
              <w:snapToGrid w:val="0"/>
              <w:jc w:val="center"/>
            </w:pPr>
            <w:r>
              <w:rPr>
                <w:rFonts w:ascii="宋体" w:hAnsi="宋体" w:eastAsia="宋体"/>
                <w:sz w:val="16"/>
              </w:rPr>
              <w:t>年度总体目标</w:t>
            </w:r>
          </w:p>
        </w:tc>
        <w:tc>
          <w:tcPr>
            <w:tcW w:w="2798" w:type="pct"/>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244ED2">
            <w:pPr>
              <w:snapToGrid w:val="0"/>
              <w:jc w:val="center"/>
            </w:pPr>
            <w:r>
              <w:rPr>
                <w:rFonts w:ascii="宋体" w:hAnsi="宋体" w:eastAsia="宋体"/>
                <w:sz w:val="16"/>
              </w:rPr>
              <w:t>预期目标</w:t>
            </w:r>
          </w:p>
        </w:tc>
        <w:tc>
          <w:tcPr>
            <w:tcW w:w="1913" w:type="pct"/>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ACB9AC">
            <w:pPr>
              <w:snapToGrid w:val="0"/>
              <w:jc w:val="center"/>
            </w:pPr>
            <w:r>
              <w:rPr>
                <w:rFonts w:ascii="宋体" w:hAnsi="宋体" w:eastAsia="宋体"/>
                <w:sz w:val="16"/>
              </w:rPr>
              <w:t>实际完成情况</w:t>
            </w:r>
          </w:p>
        </w:tc>
      </w:tr>
      <w:tr w14:paraId="6C90D481">
        <w:tblPrEx>
          <w:tblCellMar>
            <w:top w:w="40" w:type="dxa"/>
            <w:left w:w="64" w:type="dxa"/>
            <w:bottom w:w="40" w:type="dxa"/>
            <w:right w:w="64" w:type="dxa"/>
          </w:tblCellMar>
        </w:tblPrEx>
        <w:trPr>
          <w:trHeight w:val="0" w:hRule="atLeast"/>
          <w:jc w:val="center"/>
        </w:trPr>
        <w:tc>
          <w:tcPr>
            <w:tcW w:w="288" w:type="pct"/>
            <w:vMerge w:val="continue"/>
            <w:tcBorders>
              <w:top w:val="single" w:color="auto" w:sz="10" w:space="0"/>
              <w:left w:val="single" w:color="auto" w:sz="10" w:space="0"/>
              <w:bottom w:val="single" w:color="auto" w:sz="10" w:space="0"/>
              <w:right w:val="single" w:color="auto" w:sz="10" w:space="0"/>
              <w:insideV w:val="single" w:sz="10" w:space="0"/>
            </w:tcBorders>
          </w:tcPr>
          <w:p w14:paraId="1E36A7C2">
            <w:pPr>
              <w:snapToGrid w:val="0"/>
            </w:pPr>
          </w:p>
        </w:tc>
        <w:tc>
          <w:tcPr>
            <w:tcW w:w="2798" w:type="pct"/>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C02D15">
            <w:pPr>
              <w:snapToGrid w:val="0"/>
              <w:jc w:val="both"/>
            </w:pPr>
            <w:r>
              <w:rPr>
                <w:rFonts w:ascii="宋体" w:hAnsi="宋体" w:eastAsia="宋体"/>
                <w:sz w:val="16"/>
              </w:rPr>
              <w:t>以习近平新时代中国特色社会主义思想为指导，全面贯彻落实党的二十大精神，贯彻落实中央、自治区、自治州政协工作会议精神，紧扣霍城县委中心工作，广泛团结参加政协的各党派团体和各族各界人士，坚持发扬民主和增进团结相互贯通，不断提高政治协商、民主监督、参政议政水平，更好凝聚共识，为建设“两优一高”新霍城汇聚团结奋进力量。根据政治协商、民主监督、参政议政职能，2024年主要召开霍城县政协十六届四次会议。</w:t>
            </w:r>
          </w:p>
        </w:tc>
        <w:tc>
          <w:tcPr>
            <w:tcW w:w="1913" w:type="pct"/>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35CE1D">
            <w:pPr>
              <w:snapToGrid w:val="0"/>
              <w:jc w:val="both"/>
            </w:pPr>
            <w:r>
              <w:rPr>
                <w:rFonts w:ascii="宋体" w:hAnsi="宋体" w:eastAsia="宋体"/>
                <w:sz w:val="16"/>
              </w:rPr>
              <w:t>2024年召开霍城县政协十六届四次会议，政协会议按年初制定的计划如期召开，会期为三天。会议期间，政协委员按时参加会议，委员参会率达到90%以上，委员在会议期间积极发言，建言献策，会议期间收集提案数量比上年有所提升，提案内容涉及经济、城市发展、社会治理、民生改善等领域，增强了委员履职积极性与责任感。</w:t>
            </w:r>
          </w:p>
        </w:tc>
      </w:tr>
      <w:tr w14:paraId="60181291">
        <w:tblPrEx>
          <w:tblCellMar>
            <w:top w:w="40" w:type="dxa"/>
            <w:left w:w="64" w:type="dxa"/>
            <w:bottom w:w="40" w:type="dxa"/>
            <w:right w:w="64" w:type="dxa"/>
          </w:tblCellMar>
        </w:tblPrEx>
        <w:trPr>
          <w:trHeight w:val="0" w:hRule="atLeast"/>
          <w:jc w:val="center"/>
        </w:trPr>
        <w:tc>
          <w:tcPr>
            <w:tcW w:w="288" w:type="pct"/>
            <w:tcBorders>
              <w:top w:val="single" w:color="auto" w:sz="10" w:space="0"/>
              <w:left w:val="single" w:color="auto" w:sz="10" w:space="0"/>
              <w:bottom w:val="single" w:color="auto" w:sz="10" w:space="0"/>
              <w:right w:val="single" w:color="auto" w:sz="10" w:space="0"/>
              <w:insideV w:val="single" w:sz="10" w:space="0"/>
            </w:tcBorders>
          </w:tcPr>
          <w:p w14:paraId="7FF5B0ED">
            <w:pPr>
              <w:snapToGrid w:val="0"/>
            </w:pPr>
          </w:p>
        </w:tc>
        <w:tc>
          <w:tcPr>
            <w:tcW w:w="251" w:type="pct"/>
            <w:tcBorders>
              <w:top w:val="single" w:color="auto" w:sz="10" w:space="0"/>
              <w:left w:val="single" w:color="auto" w:sz="10" w:space="0"/>
              <w:bottom w:val="single" w:color="auto" w:sz="10" w:space="0"/>
              <w:right w:val="single" w:color="auto" w:sz="10" w:space="0"/>
              <w:insideV w:val="single" w:sz="10" w:space="0"/>
            </w:tcBorders>
            <w:vAlign w:val="center"/>
          </w:tcPr>
          <w:p w14:paraId="768F083A">
            <w:pPr>
              <w:snapToGrid w:val="0"/>
              <w:jc w:val="center"/>
            </w:pPr>
            <w:r>
              <w:rPr>
                <w:rFonts w:ascii="宋体" w:hAnsi="宋体" w:eastAsia="宋体"/>
                <w:sz w:val="16"/>
              </w:rPr>
              <w:t>一级指标</w:t>
            </w:r>
          </w:p>
        </w:tc>
        <w:tc>
          <w:tcPr>
            <w:tcW w:w="294" w:type="pct"/>
            <w:tcBorders>
              <w:top w:val="single" w:color="auto" w:sz="10" w:space="0"/>
              <w:left w:val="single" w:color="auto" w:sz="10" w:space="0"/>
              <w:bottom w:val="single" w:color="auto" w:sz="10" w:space="0"/>
              <w:right w:val="single" w:color="auto" w:sz="10" w:space="0"/>
              <w:insideV w:val="single" w:sz="10" w:space="0"/>
            </w:tcBorders>
            <w:vAlign w:val="center"/>
          </w:tcPr>
          <w:p w14:paraId="4A586D6D">
            <w:pPr>
              <w:snapToGrid w:val="0"/>
              <w:jc w:val="center"/>
            </w:pPr>
            <w:r>
              <w:rPr>
                <w:rFonts w:ascii="宋体" w:hAnsi="宋体" w:eastAsia="宋体"/>
                <w:sz w:val="16"/>
              </w:rPr>
              <w:t>二级指标</w:t>
            </w:r>
          </w:p>
        </w:tc>
        <w:tc>
          <w:tcPr>
            <w:tcW w:w="420" w:type="pct"/>
            <w:tcBorders>
              <w:top w:val="single" w:color="auto" w:sz="10" w:space="0"/>
              <w:left w:val="single" w:color="auto" w:sz="10" w:space="0"/>
              <w:bottom w:val="single" w:color="auto" w:sz="10" w:space="0"/>
              <w:right w:val="single" w:color="auto" w:sz="10" w:space="0"/>
              <w:insideV w:val="single" w:sz="10" w:space="0"/>
            </w:tcBorders>
            <w:vAlign w:val="center"/>
          </w:tcPr>
          <w:p w14:paraId="67C78414">
            <w:pPr>
              <w:snapToGrid w:val="0"/>
              <w:jc w:val="center"/>
            </w:pPr>
            <w:r>
              <w:rPr>
                <w:rFonts w:ascii="宋体" w:hAnsi="宋体" w:eastAsia="宋体"/>
                <w:sz w:val="16"/>
              </w:rPr>
              <w:t>三级指标</w:t>
            </w:r>
          </w:p>
        </w:tc>
        <w:tc>
          <w:tcPr>
            <w:tcW w:w="251" w:type="pct"/>
            <w:tcBorders>
              <w:top w:val="single" w:color="auto" w:sz="10" w:space="0"/>
              <w:left w:val="single" w:color="auto" w:sz="10" w:space="0"/>
              <w:bottom w:val="single" w:color="auto" w:sz="10" w:space="0"/>
              <w:right w:val="single" w:color="auto" w:sz="10" w:space="0"/>
              <w:insideV w:val="single" w:sz="10" w:space="0"/>
            </w:tcBorders>
            <w:vAlign w:val="center"/>
          </w:tcPr>
          <w:p w14:paraId="632BE80F">
            <w:pPr>
              <w:snapToGrid w:val="0"/>
              <w:jc w:val="center"/>
            </w:pPr>
            <w:r>
              <w:rPr>
                <w:rFonts w:ascii="宋体" w:hAnsi="宋体" w:eastAsia="宋体"/>
                <w:sz w:val="16"/>
              </w:rPr>
              <w:t>权重</w:t>
            </w:r>
          </w:p>
        </w:tc>
        <w:tc>
          <w:tcPr>
            <w:tcW w:w="615" w:type="pct"/>
            <w:tcBorders>
              <w:top w:val="single" w:color="auto" w:sz="10" w:space="0"/>
              <w:left w:val="single" w:color="auto" w:sz="10" w:space="0"/>
              <w:bottom w:val="single" w:color="auto" w:sz="10" w:space="0"/>
              <w:right w:val="single" w:color="auto" w:sz="10" w:space="0"/>
              <w:insideV w:val="single" w:sz="10" w:space="0"/>
            </w:tcBorders>
            <w:vAlign w:val="center"/>
          </w:tcPr>
          <w:p w14:paraId="46521E0E">
            <w:pPr>
              <w:snapToGrid w:val="0"/>
              <w:jc w:val="center"/>
            </w:pPr>
            <w:r>
              <w:rPr>
                <w:rFonts w:ascii="宋体" w:hAnsi="宋体" w:eastAsia="宋体"/>
                <w:sz w:val="16"/>
              </w:rPr>
              <w:t>目标值</w:t>
            </w:r>
          </w:p>
        </w:tc>
        <w:tc>
          <w:tcPr>
            <w:tcW w:w="509" w:type="pct"/>
            <w:tcBorders>
              <w:top w:val="single" w:color="auto" w:sz="10" w:space="0"/>
              <w:left w:val="single" w:color="auto" w:sz="10" w:space="0"/>
              <w:bottom w:val="single" w:color="auto" w:sz="10" w:space="0"/>
              <w:right w:val="single" w:color="auto" w:sz="10" w:space="0"/>
              <w:insideV w:val="single" w:sz="10" w:space="0"/>
            </w:tcBorders>
            <w:vAlign w:val="center"/>
          </w:tcPr>
          <w:p w14:paraId="4579A8BD">
            <w:pPr>
              <w:snapToGrid w:val="0"/>
              <w:jc w:val="center"/>
            </w:pPr>
            <w:r>
              <w:rPr>
                <w:rFonts w:ascii="宋体" w:hAnsi="宋体" w:eastAsia="宋体"/>
                <w:sz w:val="16"/>
              </w:rPr>
              <w:t>业绩值</w:t>
            </w:r>
          </w:p>
        </w:tc>
        <w:tc>
          <w:tcPr>
            <w:tcW w:w="454" w:type="pct"/>
            <w:tcBorders>
              <w:top w:val="single" w:color="auto" w:sz="10" w:space="0"/>
              <w:left w:val="single" w:color="auto" w:sz="10" w:space="0"/>
              <w:bottom w:val="single" w:color="auto" w:sz="10" w:space="0"/>
              <w:right w:val="single" w:color="auto" w:sz="10" w:space="0"/>
              <w:insideV w:val="single" w:sz="10" w:space="0"/>
            </w:tcBorders>
            <w:vAlign w:val="center"/>
          </w:tcPr>
          <w:p w14:paraId="160A1E6D">
            <w:pPr>
              <w:snapToGrid w:val="0"/>
              <w:jc w:val="center"/>
            </w:pPr>
            <w:r>
              <w:rPr>
                <w:rFonts w:ascii="宋体" w:hAnsi="宋体" w:eastAsia="宋体"/>
                <w:sz w:val="16"/>
              </w:rPr>
              <w:t>完成率</w:t>
            </w:r>
          </w:p>
        </w:tc>
        <w:tc>
          <w:tcPr>
            <w:tcW w:w="240" w:type="pct"/>
            <w:tcBorders>
              <w:top w:val="single" w:color="auto" w:sz="10" w:space="0"/>
              <w:left w:val="single" w:color="auto" w:sz="10" w:space="0"/>
              <w:bottom w:val="single" w:color="auto" w:sz="10" w:space="0"/>
              <w:right w:val="single" w:color="auto" w:sz="10" w:space="0"/>
              <w:insideV w:val="single" w:sz="10" w:space="0"/>
            </w:tcBorders>
            <w:vAlign w:val="center"/>
          </w:tcPr>
          <w:p w14:paraId="595FA633">
            <w:pPr>
              <w:snapToGrid w:val="0"/>
              <w:jc w:val="center"/>
            </w:pPr>
            <w:r>
              <w:rPr>
                <w:rFonts w:ascii="宋体" w:hAnsi="宋体" w:eastAsia="宋体"/>
                <w:sz w:val="16"/>
              </w:rPr>
              <w:t>得分</w:t>
            </w:r>
          </w:p>
        </w:tc>
        <w:tc>
          <w:tcPr>
            <w:tcW w:w="229" w:type="pct"/>
            <w:tcBorders>
              <w:top w:val="single" w:color="auto" w:sz="10" w:space="0"/>
              <w:left w:val="single" w:color="auto" w:sz="10" w:space="0"/>
              <w:bottom w:val="single" w:color="auto" w:sz="10" w:space="0"/>
              <w:right w:val="single" w:color="auto" w:sz="10" w:space="0"/>
              <w:insideV w:val="single" w:sz="10" w:space="0"/>
            </w:tcBorders>
            <w:vAlign w:val="center"/>
          </w:tcPr>
          <w:p w14:paraId="0BD8BBB9">
            <w:pPr>
              <w:snapToGrid w:val="0"/>
              <w:jc w:val="center"/>
            </w:pPr>
            <w:r>
              <w:rPr>
                <w:rFonts w:ascii="宋体" w:hAnsi="宋体" w:eastAsia="宋体"/>
                <w:sz w:val="16"/>
              </w:rPr>
              <w:t>指标值设定依据</w:t>
            </w:r>
          </w:p>
        </w:tc>
        <w:tc>
          <w:tcPr>
            <w:tcW w:w="260" w:type="pct"/>
            <w:tcBorders>
              <w:top w:val="single" w:color="auto" w:sz="10" w:space="0"/>
              <w:left w:val="single" w:color="auto" w:sz="10" w:space="0"/>
              <w:bottom w:val="single" w:color="auto" w:sz="10" w:space="0"/>
              <w:right w:val="single" w:color="auto" w:sz="10" w:space="0"/>
              <w:insideV w:val="single" w:sz="10" w:space="0"/>
            </w:tcBorders>
            <w:vAlign w:val="center"/>
          </w:tcPr>
          <w:p w14:paraId="2E36C0F6">
            <w:pPr>
              <w:snapToGrid w:val="0"/>
              <w:jc w:val="center"/>
            </w:pPr>
            <w:r>
              <w:rPr>
                <w:rFonts w:ascii="宋体" w:hAnsi="宋体" w:eastAsia="宋体"/>
                <w:sz w:val="16"/>
              </w:rPr>
              <w:t>上年完成情况</w:t>
            </w:r>
          </w:p>
        </w:tc>
        <w:tc>
          <w:tcPr>
            <w:tcW w:w="280" w:type="pct"/>
            <w:tcBorders>
              <w:top w:val="single" w:color="auto" w:sz="10" w:space="0"/>
              <w:left w:val="single" w:color="auto" w:sz="10" w:space="0"/>
              <w:bottom w:val="single" w:color="auto" w:sz="10" w:space="0"/>
              <w:right w:val="single" w:color="auto" w:sz="10" w:space="0"/>
              <w:insideV w:val="single" w:sz="10" w:space="0"/>
            </w:tcBorders>
            <w:vAlign w:val="center"/>
          </w:tcPr>
          <w:p w14:paraId="14439CE0">
            <w:pPr>
              <w:snapToGrid w:val="0"/>
              <w:jc w:val="center"/>
            </w:pPr>
            <w:r>
              <w:rPr>
                <w:rFonts w:ascii="宋体" w:hAnsi="宋体" w:eastAsia="宋体"/>
                <w:sz w:val="16"/>
              </w:rPr>
              <w:t>赋分规则</w:t>
            </w:r>
          </w:p>
        </w:tc>
        <w:tc>
          <w:tcPr>
            <w:tcW w:w="216" w:type="pct"/>
            <w:tcBorders>
              <w:top w:val="single" w:color="auto" w:sz="10" w:space="0"/>
              <w:left w:val="single" w:color="auto" w:sz="10" w:space="0"/>
              <w:bottom w:val="single" w:color="auto" w:sz="10" w:space="0"/>
              <w:right w:val="single" w:color="auto" w:sz="10" w:space="0"/>
              <w:insideV w:val="single" w:sz="10" w:space="0"/>
            </w:tcBorders>
            <w:vAlign w:val="center"/>
          </w:tcPr>
          <w:p w14:paraId="2C339AFB">
            <w:pPr>
              <w:snapToGrid w:val="0"/>
              <w:jc w:val="center"/>
            </w:pPr>
            <w:r>
              <w:rPr>
                <w:rFonts w:ascii="宋体" w:hAnsi="宋体" w:eastAsia="宋体"/>
                <w:sz w:val="16"/>
              </w:rPr>
              <w:t>佐证资料</w:t>
            </w:r>
          </w:p>
        </w:tc>
        <w:tc>
          <w:tcPr>
            <w:tcW w:w="686" w:type="pct"/>
            <w:tcBorders>
              <w:top w:val="single" w:color="auto" w:sz="10" w:space="0"/>
              <w:left w:val="single" w:color="auto" w:sz="10" w:space="0"/>
              <w:bottom w:val="single" w:color="auto" w:sz="10" w:space="0"/>
              <w:right w:val="single" w:color="auto" w:sz="10" w:space="0"/>
              <w:insideV w:val="single" w:sz="10" w:space="0"/>
            </w:tcBorders>
            <w:vAlign w:val="center"/>
          </w:tcPr>
          <w:p w14:paraId="360536A2">
            <w:pPr>
              <w:snapToGrid w:val="0"/>
              <w:jc w:val="center"/>
            </w:pPr>
            <w:r>
              <w:rPr>
                <w:rFonts w:ascii="宋体" w:hAnsi="宋体" w:eastAsia="宋体"/>
                <w:sz w:val="16"/>
              </w:rPr>
              <w:t>偏差原因分析及改进措施</w:t>
            </w:r>
          </w:p>
        </w:tc>
      </w:tr>
      <w:tr w14:paraId="5B5601FC">
        <w:tblPrEx>
          <w:tblCellMar>
            <w:top w:w="40" w:type="dxa"/>
            <w:left w:w="64" w:type="dxa"/>
            <w:bottom w:w="40" w:type="dxa"/>
            <w:right w:w="64" w:type="dxa"/>
          </w:tblCellMar>
        </w:tblPrEx>
        <w:trPr>
          <w:trHeight w:val="0" w:hRule="atLeast"/>
          <w:jc w:val="center"/>
        </w:trPr>
        <w:tc>
          <w:tcPr>
            <w:tcW w:w="288"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4F9AF2">
            <w:pPr>
              <w:snapToGrid w:val="0"/>
              <w:jc w:val="center"/>
            </w:pPr>
            <w:r>
              <w:rPr>
                <w:rFonts w:ascii="宋体" w:hAnsi="宋体" w:eastAsia="宋体"/>
                <w:sz w:val="16"/>
              </w:rPr>
              <w:t>年度绩效指标完成情况</w:t>
            </w:r>
          </w:p>
        </w:tc>
        <w:tc>
          <w:tcPr>
            <w:tcW w:w="251"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F15EB">
            <w:pPr>
              <w:snapToGrid w:val="0"/>
              <w:jc w:val="center"/>
            </w:pPr>
            <w:r>
              <w:rPr>
                <w:rFonts w:ascii="宋体" w:hAnsi="宋体" w:eastAsia="宋体"/>
                <w:sz w:val="16"/>
              </w:rPr>
              <w:t>产出指标</w:t>
            </w:r>
          </w:p>
        </w:tc>
        <w:tc>
          <w:tcPr>
            <w:tcW w:w="294"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1C38D7">
            <w:pPr>
              <w:snapToGrid w:val="0"/>
              <w:jc w:val="center"/>
            </w:pPr>
            <w:r>
              <w:rPr>
                <w:rFonts w:ascii="宋体" w:hAnsi="宋体" w:eastAsia="宋体"/>
                <w:sz w:val="16"/>
              </w:rPr>
              <w:t>数量指标</w:t>
            </w:r>
          </w:p>
        </w:tc>
        <w:tc>
          <w:tcPr>
            <w:tcW w:w="420" w:type="pct"/>
            <w:tcBorders>
              <w:top w:val="single" w:color="auto" w:sz="10" w:space="0"/>
              <w:left w:val="single" w:color="auto" w:sz="10" w:space="0"/>
              <w:bottom w:val="single" w:color="auto" w:sz="10" w:space="0"/>
              <w:right w:val="single" w:color="auto" w:sz="10" w:space="0"/>
              <w:insideV w:val="single" w:sz="10" w:space="0"/>
            </w:tcBorders>
            <w:vAlign w:val="center"/>
          </w:tcPr>
          <w:p w14:paraId="265A7FBD">
            <w:pPr>
              <w:snapToGrid w:val="0"/>
              <w:jc w:val="center"/>
            </w:pPr>
            <w:r>
              <w:rPr>
                <w:rFonts w:ascii="宋体" w:hAnsi="宋体" w:eastAsia="宋体"/>
                <w:sz w:val="16"/>
              </w:rPr>
              <w:t>政协会议召开次数</w:t>
            </w:r>
          </w:p>
        </w:tc>
        <w:tc>
          <w:tcPr>
            <w:tcW w:w="251" w:type="pct"/>
            <w:tcBorders>
              <w:top w:val="single" w:color="auto" w:sz="10" w:space="0"/>
              <w:left w:val="single" w:color="auto" w:sz="10" w:space="0"/>
              <w:bottom w:val="single" w:color="auto" w:sz="10" w:space="0"/>
              <w:right w:val="single" w:color="auto" w:sz="10" w:space="0"/>
              <w:insideV w:val="single" w:sz="10" w:space="0"/>
            </w:tcBorders>
            <w:vAlign w:val="center"/>
          </w:tcPr>
          <w:p w14:paraId="433C3F3B">
            <w:pPr>
              <w:snapToGrid w:val="0"/>
              <w:jc w:val="center"/>
            </w:pPr>
            <w:r>
              <w:rPr>
                <w:rFonts w:ascii="宋体" w:hAnsi="宋体" w:eastAsia="宋体"/>
                <w:sz w:val="16"/>
              </w:rPr>
              <w:t>5</w:t>
            </w:r>
          </w:p>
        </w:tc>
        <w:tc>
          <w:tcPr>
            <w:tcW w:w="615" w:type="pct"/>
            <w:tcBorders>
              <w:top w:val="single" w:color="auto" w:sz="10" w:space="0"/>
              <w:left w:val="single" w:color="auto" w:sz="10" w:space="0"/>
              <w:bottom w:val="single" w:color="auto" w:sz="10" w:space="0"/>
              <w:right w:val="single" w:color="auto" w:sz="10" w:space="0"/>
              <w:insideV w:val="single" w:sz="10" w:space="0"/>
            </w:tcBorders>
            <w:vAlign w:val="center"/>
          </w:tcPr>
          <w:p w14:paraId="690DF1B9">
            <w:pPr>
              <w:snapToGrid w:val="0"/>
              <w:jc w:val="center"/>
            </w:pPr>
            <w:r>
              <w:rPr>
                <w:rFonts w:ascii="宋体" w:hAnsi="宋体" w:eastAsia="宋体"/>
                <w:sz w:val="16"/>
              </w:rPr>
              <w:t>&gt;=1次</w:t>
            </w:r>
          </w:p>
        </w:tc>
        <w:tc>
          <w:tcPr>
            <w:tcW w:w="509" w:type="pct"/>
            <w:tcBorders>
              <w:top w:val="single" w:color="auto" w:sz="10" w:space="0"/>
              <w:left w:val="single" w:color="auto" w:sz="10" w:space="0"/>
              <w:bottom w:val="single" w:color="auto" w:sz="10" w:space="0"/>
              <w:right w:val="single" w:color="auto" w:sz="10" w:space="0"/>
              <w:insideV w:val="single" w:sz="10" w:space="0"/>
            </w:tcBorders>
            <w:vAlign w:val="center"/>
          </w:tcPr>
          <w:p w14:paraId="246F6086">
            <w:pPr>
              <w:snapToGrid w:val="0"/>
              <w:jc w:val="center"/>
            </w:pPr>
            <w:r>
              <w:rPr>
                <w:rFonts w:ascii="宋体" w:hAnsi="宋体" w:eastAsia="宋体"/>
                <w:sz w:val="16"/>
              </w:rPr>
              <w:t>1次</w:t>
            </w:r>
          </w:p>
        </w:tc>
        <w:tc>
          <w:tcPr>
            <w:tcW w:w="454" w:type="pct"/>
            <w:tcBorders>
              <w:top w:val="single" w:color="auto" w:sz="10" w:space="0"/>
              <w:left w:val="single" w:color="auto" w:sz="10" w:space="0"/>
              <w:bottom w:val="single" w:color="auto" w:sz="10" w:space="0"/>
              <w:right w:val="single" w:color="auto" w:sz="10" w:space="0"/>
              <w:insideV w:val="single" w:sz="10" w:space="0"/>
            </w:tcBorders>
            <w:vAlign w:val="center"/>
          </w:tcPr>
          <w:p w14:paraId="6DDC8E68">
            <w:pPr>
              <w:snapToGrid w:val="0"/>
              <w:jc w:val="center"/>
            </w:pPr>
            <w:r>
              <w:rPr>
                <w:rFonts w:ascii="宋体" w:hAnsi="宋体" w:eastAsia="宋体"/>
                <w:sz w:val="16"/>
              </w:rPr>
              <w:t>100%</w:t>
            </w:r>
          </w:p>
        </w:tc>
        <w:tc>
          <w:tcPr>
            <w:tcW w:w="240" w:type="pct"/>
            <w:tcBorders>
              <w:top w:val="single" w:color="auto" w:sz="10" w:space="0"/>
              <w:left w:val="single" w:color="auto" w:sz="10" w:space="0"/>
              <w:bottom w:val="single" w:color="auto" w:sz="10" w:space="0"/>
              <w:right w:val="single" w:color="auto" w:sz="10" w:space="0"/>
              <w:insideV w:val="single" w:sz="10" w:space="0"/>
            </w:tcBorders>
            <w:vAlign w:val="center"/>
          </w:tcPr>
          <w:p w14:paraId="2957D92B">
            <w:pPr>
              <w:snapToGrid w:val="0"/>
              <w:jc w:val="center"/>
            </w:pPr>
            <w:r>
              <w:rPr>
                <w:rFonts w:ascii="宋体" w:hAnsi="宋体" w:eastAsia="宋体"/>
                <w:sz w:val="16"/>
              </w:rPr>
              <w:t>5</w:t>
            </w:r>
          </w:p>
        </w:tc>
        <w:tc>
          <w:tcPr>
            <w:tcW w:w="229" w:type="pct"/>
            <w:tcBorders>
              <w:top w:val="single" w:color="auto" w:sz="10" w:space="0"/>
              <w:left w:val="single" w:color="auto" w:sz="10" w:space="0"/>
              <w:bottom w:val="single" w:color="auto" w:sz="10" w:space="0"/>
              <w:right w:val="single" w:color="auto" w:sz="10" w:space="0"/>
              <w:insideV w:val="single" w:sz="10" w:space="0"/>
            </w:tcBorders>
            <w:vAlign w:val="center"/>
          </w:tcPr>
          <w:p w14:paraId="1EAAD2CC">
            <w:pPr>
              <w:snapToGrid w:val="0"/>
              <w:jc w:val="center"/>
            </w:pPr>
            <w:r>
              <w:rPr>
                <w:rFonts w:ascii="宋体" w:hAnsi="宋体" w:eastAsia="宋体"/>
                <w:sz w:val="16"/>
              </w:rPr>
              <w:t>计划标准</w:t>
            </w:r>
          </w:p>
        </w:tc>
        <w:tc>
          <w:tcPr>
            <w:tcW w:w="260" w:type="pct"/>
            <w:tcBorders>
              <w:top w:val="single" w:color="auto" w:sz="10" w:space="0"/>
              <w:left w:val="single" w:color="auto" w:sz="10" w:space="0"/>
              <w:bottom w:val="single" w:color="auto" w:sz="10" w:space="0"/>
              <w:right w:val="single" w:color="auto" w:sz="10" w:space="0"/>
              <w:insideV w:val="single" w:sz="10" w:space="0"/>
            </w:tcBorders>
            <w:vAlign w:val="center"/>
          </w:tcPr>
          <w:p w14:paraId="598D2C34">
            <w:pPr>
              <w:snapToGrid w:val="0"/>
              <w:jc w:val="center"/>
            </w:pPr>
            <w:r>
              <w:rPr>
                <w:rFonts w:ascii="宋体" w:hAnsi="宋体" w:eastAsia="宋体"/>
                <w:sz w:val="16"/>
              </w:rPr>
              <w:t>1次</w:t>
            </w:r>
          </w:p>
        </w:tc>
        <w:tc>
          <w:tcPr>
            <w:tcW w:w="280" w:type="pct"/>
            <w:tcBorders>
              <w:top w:val="single" w:color="auto" w:sz="10" w:space="0"/>
              <w:left w:val="single" w:color="auto" w:sz="10" w:space="0"/>
              <w:bottom w:val="single" w:color="auto" w:sz="10" w:space="0"/>
              <w:right w:val="single" w:color="auto" w:sz="10" w:space="0"/>
              <w:insideV w:val="single" w:sz="10" w:space="0"/>
            </w:tcBorders>
            <w:vAlign w:val="center"/>
          </w:tcPr>
          <w:p w14:paraId="4DE67CCA">
            <w:pPr>
              <w:snapToGrid w:val="0"/>
              <w:jc w:val="center"/>
            </w:pPr>
            <w:r>
              <w:rPr>
                <w:rFonts w:ascii="宋体" w:hAnsi="宋体" w:eastAsia="宋体"/>
                <w:sz w:val="16"/>
              </w:rPr>
              <w:t>按照完成比例赋分</w:t>
            </w:r>
          </w:p>
        </w:tc>
        <w:tc>
          <w:tcPr>
            <w:tcW w:w="216" w:type="pct"/>
            <w:tcBorders>
              <w:top w:val="single" w:color="auto" w:sz="10" w:space="0"/>
              <w:left w:val="single" w:color="auto" w:sz="10" w:space="0"/>
              <w:bottom w:val="single" w:color="auto" w:sz="10" w:space="0"/>
              <w:right w:val="single" w:color="auto" w:sz="10" w:space="0"/>
              <w:insideV w:val="single" w:sz="10" w:space="0"/>
            </w:tcBorders>
            <w:vAlign w:val="center"/>
          </w:tcPr>
          <w:p w14:paraId="5B059F79">
            <w:pPr>
              <w:snapToGrid w:val="0"/>
              <w:jc w:val="center"/>
            </w:pPr>
            <w:r>
              <w:rPr>
                <w:rFonts w:ascii="宋体" w:hAnsi="宋体" w:eastAsia="宋体"/>
                <w:sz w:val="16"/>
              </w:rPr>
              <w:t>工作资料</w:t>
            </w:r>
          </w:p>
        </w:tc>
        <w:tc>
          <w:tcPr>
            <w:tcW w:w="686" w:type="pct"/>
            <w:tcBorders>
              <w:top w:val="single" w:color="auto" w:sz="10" w:space="0"/>
              <w:left w:val="single" w:color="auto" w:sz="10" w:space="0"/>
              <w:bottom w:val="single" w:color="auto" w:sz="10" w:space="0"/>
              <w:right w:val="single" w:color="auto" w:sz="10" w:space="0"/>
              <w:insideV w:val="single" w:sz="10" w:space="0"/>
            </w:tcBorders>
            <w:vAlign w:val="center"/>
          </w:tcPr>
          <w:p w14:paraId="21112343">
            <w:pPr>
              <w:snapToGrid w:val="0"/>
              <w:jc w:val="center"/>
            </w:pPr>
          </w:p>
        </w:tc>
      </w:tr>
      <w:tr w14:paraId="3F4A2EC1">
        <w:tblPrEx>
          <w:tblCellMar>
            <w:top w:w="40" w:type="dxa"/>
            <w:left w:w="64" w:type="dxa"/>
            <w:bottom w:w="40" w:type="dxa"/>
            <w:right w:w="64" w:type="dxa"/>
          </w:tblCellMar>
        </w:tblPrEx>
        <w:trPr>
          <w:trHeight w:val="0" w:hRule="atLeast"/>
          <w:jc w:val="center"/>
        </w:trPr>
        <w:tc>
          <w:tcPr>
            <w:tcW w:w="288" w:type="pct"/>
            <w:vMerge w:val="continue"/>
            <w:tcBorders>
              <w:top w:val="single" w:color="auto" w:sz="10" w:space="0"/>
              <w:left w:val="single" w:color="auto" w:sz="10" w:space="0"/>
              <w:bottom w:val="single" w:color="auto" w:sz="10" w:space="0"/>
              <w:right w:val="single" w:color="auto" w:sz="10" w:space="0"/>
              <w:insideV w:val="single" w:sz="10" w:space="0"/>
            </w:tcBorders>
          </w:tcPr>
          <w:p w14:paraId="50E7B4B7">
            <w:pPr>
              <w:snapToGrid w:val="0"/>
            </w:pPr>
          </w:p>
        </w:tc>
        <w:tc>
          <w:tcPr>
            <w:tcW w:w="251" w:type="pct"/>
            <w:vMerge w:val="continue"/>
            <w:tcBorders>
              <w:top w:val="single" w:color="auto" w:sz="10" w:space="0"/>
              <w:left w:val="single" w:color="auto" w:sz="10" w:space="0"/>
              <w:bottom w:val="single" w:color="auto" w:sz="10" w:space="0"/>
              <w:right w:val="single" w:color="auto" w:sz="10" w:space="0"/>
              <w:insideV w:val="single" w:sz="10" w:space="0"/>
            </w:tcBorders>
          </w:tcPr>
          <w:p w14:paraId="26604738">
            <w:pPr>
              <w:snapToGrid w:val="0"/>
            </w:pPr>
          </w:p>
        </w:tc>
        <w:tc>
          <w:tcPr>
            <w:tcW w:w="294" w:type="pct"/>
            <w:vMerge w:val="continue"/>
            <w:tcBorders>
              <w:top w:val="single" w:color="auto" w:sz="10" w:space="0"/>
              <w:left w:val="single" w:color="auto" w:sz="10" w:space="0"/>
              <w:bottom w:val="single" w:color="auto" w:sz="10" w:space="0"/>
              <w:right w:val="single" w:color="auto" w:sz="10" w:space="0"/>
              <w:insideV w:val="single" w:sz="10" w:space="0"/>
            </w:tcBorders>
          </w:tcPr>
          <w:p w14:paraId="6CC2EE47">
            <w:pPr>
              <w:snapToGrid w:val="0"/>
            </w:pPr>
          </w:p>
        </w:tc>
        <w:tc>
          <w:tcPr>
            <w:tcW w:w="420" w:type="pct"/>
            <w:tcBorders>
              <w:top w:val="single" w:color="auto" w:sz="10" w:space="0"/>
              <w:left w:val="single" w:color="auto" w:sz="10" w:space="0"/>
              <w:bottom w:val="single" w:color="auto" w:sz="10" w:space="0"/>
              <w:right w:val="single" w:color="auto" w:sz="10" w:space="0"/>
              <w:insideV w:val="single" w:sz="10" w:space="0"/>
            </w:tcBorders>
            <w:vAlign w:val="center"/>
          </w:tcPr>
          <w:p w14:paraId="5A97C0BA">
            <w:pPr>
              <w:snapToGrid w:val="0"/>
              <w:jc w:val="center"/>
            </w:pPr>
            <w:r>
              <w:rPr>
                <w:rFonts w:ascii="宋体" w:hAnsi="宋体" w:eastAsia="宋体"/>
                <w:sz w:val="16"/>
              </w:rPr>
              <w:t>会议参加人数</w:t>
            </w:r>
          </w:p>
        </w:tc>
        <w:tc>
          <w:tcPr>
            <w:tcW w:w="251" w:type="pct"/>
            <w:tcBorders>
              <w:top w:val="single" w:color="auto" w:sz="10" w:space="0"/>
              <w:left w:val="single" w:color="auto" w:sz="10" w:space="0"/>
              <w:bottom w:val="single" w:color="auto" w:sz="10" w:space="0"/>
              <w:right w:val="single" w:color="auto" w:sz="10" w:space="0"/>
              <w:insideV w:val="single" w:sz="10" w:space="0"/>
            </w:tcBorders>
            <w:vAlign w:val="center"/>
          </w:tcPr>
          <w:p w14:paraId="203341C4">
            <w:pPr>
              <w:snapToGrid w:val="0"/>
              <w:jc w:val="center"/>
            </w:pPr>
            <w:r>
              <w:rPr>
                <w:rFonts w:ascii="宋体" w:hAnsi="宋体" w:eastAsia="宋体"/>
                <w:sz w:val="16"/>
              </w:rPr>
              <w:t>5</w:t>
            </w:r>
          </w:p>
        </w:tc>
        <w:tc>
          <w:tcPr>
            <w:tcW w:w="615" w:type="pct"/>
            <w:tcBorders>
              <w:top w:val="single" w:color="auto" w:sz="10" w:space="0"/>
              <w:left w:val="single" w:color="auto" w:sz="10" w:space="0"/>
              <w:bottom w:val="single" w:color="auto" w:sz="10" w:space="0"/>
              <w:right w:val="single" w:color="auto" w:sz="10" w:space="0"/>
              <w:insideV w:val="single" w:sz="10" w:space="0"/>
            </w:tcBorders>
            <w:vAlign w:val="center"/>
          </w:tcPr>
          <w:p w14:paraId="4E0BE898">
            <w:pPr>
              <w:snapToGrid w:val="0"/>
              <w:jc w:val="center"/>
            </w:pPr>
            <w:r>
              <w:rPr>
                <w:rFonts w:ascii="宋体" w:hAnsi="宋体" w:eastAsia="宋体"/>
                <w:sz w:val="16"/>
              </w:rPr>
              <w:t>&gt;=140人</w:t>
            </w:r>
          </w:p>
        </w:tc>
        <w:tc>
          <w:tcPr>
            <w:tcW w:w="509" w:type="pct"/>
            <w:tcBorders>
              <w:top w:val="single" w:color="auto" w:sz="10" w:space="0"/>
              <w:left w:val="single" w:color="auto" w:sz="10" w:space="0"/>
              <w:bottom w:val="single" w:color="auto" w:sz="10" w:space="0"/>
              <w:right w:val="single" w:color="auto" w:sz="10" w:space="0"/>
              <w:insideV w:val="single" w:sz="10" w:space="0"/>
            </w:tcBorders>
            <w:vAlign w:val="center"/>
          </w:tcPr>
          <w:p w14:paraId="51041C1B">
            <w:pPr>
              <w:snapToGrid w:val="0"/>
              <w:jc w:val="center"/>
            </w:pPr>
            <w:r>
              <w:rPr>
                <w:rFonts w:ascii="宋体" w:hAnsi="宋体" w:eastAsia="宋体"/>
                <w:sz w:val="16"/>
              </w:rPr>
              <w:t>143人</w:t>
            </w:r>
          </w:p>
        </w:tc>
        <w:tc>
          <w:tcPr>
            <w:tcW w:w="454" w:type="pct"/>
            <w:tcBorders>
              <w:top w:val="single" w:color="auto" w:sz="10" w:space="0"/>
              <w:left w:val="single" w:color="auto" w:sz="10" w:space="0"/>
              <w:bottom w:val="single" w:color="auto" w:sz="10" w:space="0"/>
              <w:right w:val="single" w:color="auto" w:sz="10" w:space="0"/>
              <w:insideV w:val="single" w:sz="10" w:space="0"/>
            </w:tcBorders>
            <w:vAlign w:val="center"/>
          </w:tcPr>
          <w:p w14:paraId="2DB822E0">
            <w:pPr>
              <w:snapToGrid w:val="0"/>
              <w:jc w:val="center"/>
            </w:pPr>
            <w:r>
              <w:rPr>
                <w:rFonts w:ascii="宋体" w:hAnsi="宋体" w:eastAsia="宋体"/>
                <w:sz w:val="16"/>
              </w:rPr>
              <w:t>102.14%</w:t>
            </w:r>
          </w:p>
        </w:tc>
        <w:tc>
          <w:tcPr>
            <w:tcW w:w="240" w:type="pct"/>
            <w:tcBorders>
              <w:top w:val="single" w:color="auto" w:sz="10" w:space="0"/>
              <w:left w:val="single" w:color="auto" w:sz="10" w:space="0"/>
              <w:bottom w:val="single" w:color="auto" w:sz="10" w:space="0"/>
              <w:right w:val="single" w:color="auto" w:sz="10" w:space="0"/>
              <w:insideV w:val="single" w:sz="10" w:space="0"/>
            </w:tcBorders>
            <w:vAlign w:val="center"/>
          </w:tcPr>
          <w:p w14:paraId="2B3CCE69">
            <w:pPr>
              <w:snapToGrid w:val="0"/>
              <w:jc w:val="center"/>
            </w:pPr>
            <w:r>
              <w:rPr>
                <w:rFonts w:ascii="宋体" w:hAnsi="宋体" w:eastAsia="宋体"/>
                <w:sz w:val="16"/>
              </w:rPr>
              <w:t>5</w:t>
            </w:r>
          </w:p>
        </w:tc>
        <w:tc>
          <w:tcPr>
            <w:tcW w:w="229" w:type="pct"/>
            <w:tcBorders>
              <w:top w:val="single" w:color="auto" w:sz="10" w:space="0"/>
              <w:left w:val="single" w:color="auto" w:sz="10" w:space="0"/>
              <w:bottom w:val="single" w:color="auto" w:sz="10" w:space="0"/>
              <w:right w:val="single" w:color="auto" w:sz="10" w:space="0"/>
              <w:insideV w:val="single" w:sz="10" w:space="0"/>
            </w:tcBorders>
            <w:vAlign w:val="center"/>
          </w:tcPr>
          <w:p w14:paraId="7AC2BC75">
            <w:pPr>
              <w:snapToGrid w:val="0"/>
              <w:jc w:val="center"/>
            </w:pPr>
            <w:r>
              <w:rPr>
                <w:rFonts w:ascii="宋体" w:hAnsi="宋体" w:eastAsia="宋体"/>
                <w:sz w:val="16"/>
              </w:rPr>
              <w:t>计划标准</w:t>
            </w:r>
          </w:p>
        </w:tc>
        <w:tc>
          <w:tcPr>
            <w:tcW w:w="260" w:type="pct"/>
            <w:tcBorders>
              <w:top w:val="single" w:color="auto" w:sz="10" w:space="0"/>
              <w:left w:val="single" w:color="auto" w:sz="10" w:space="0"/>
              <w:bottom w:val="single" w:color="auto" w:sz="10" w:space="0"/>
              <w:right w:val="single" w:color="auto" w:sz="10" w:space="0"/>
              <w:insideV w:val="single" w:sz="10" w:space="0"/>
            </w:tcBorders>
            <w:vAlign w:val="center"/>
          </w:tcPr>
          <w:p w14:paraId="2ABF4842">
            <w:pPr>
              <w:snapToGrid w:val="0"/>
              <w:jc w:val="center"/>
            </w:pPr>
            <w:r>
              <w:rPr>
                <w:rFonts w:ascii="宋体" w:hAnsi="宋体" w:eastAsia="宋体"/>
                <w:sz w:val="16"/>
              </w:rPr>
              <w:t>120人</w:t>
            </w:r>
          </w:p>
        </w:tc>
        <w:tc>
          <w:tcPr>
            <w:tcW w:w="280" w:type="pct"/>
            <w:tcBorders>
              <w:top w:val="single" w:color="auto" w:sz="10" w:space="0"/>
              <w:left w:val="single" w:color="auto" w:sz="10" w:space="0"/>
              <w:bottom w:val="single" w:color="auto" w:sz="10" w:space="0"/>
              <w:right w:val="single" w:color="auto" w:sz="10" w:space="0"/>
              <w:insideV w:val="single" w:sz="10" w:space="0"/>
            </w:tcBorders>
            <w:vAlign w:val="center"/>
          </w:tcPr>
          <w:p w14:paraId="529799FB">
            <w:pPr>
              <w:snapToGrid w:val="0"/>
              <w:jc w:val="center"/>
            </w:pPr>
            <w:r>
              <w:rPr>
                <w:rFonts w:ascii="宋体" w:hAnsi="宋体" w:eastAsia="宋体"/>
                <w:sz w:val="16"/>
              </w:rPr>
              <w:t>按照完成比例赋分</w:t>
            </w:r>
          </w:p>
        </w:tc>
        <w:tc>
          <w:tcPr>
            <w:tcW w:w="216" w:type="pct"/>
            <w:tcBorders>
              <w:top w:val="single" w:color="auto" w:sz="10" w:space="0"/>
              <w:left w:val="single" w:color="auto" w:sz="10" w:space="0"/>
              <w:bottom w:val="single" w:color="auto" w:sz="10" w:space="0"/>
              <w:right w:val="single" w:color="auto" w:sz="10" w:space="0"/>
              <w:insideV w:val="single" w:sz="10" w:space="0"/>
            </w:tcBorders>
            <w:vAlign w:val="center"/>
          </w:tcPr>
          <w:p w14:paraId="24042D8B">
            <w:pPr>
              <w:snapToGrid w:val="0"/>
              <w:jc w:val="center"/>
            </w:pPr>
            <w:r>
              <w:rPr>
                <w:rFonts w:ascii="宋体" w:hAnsi="宋体" w:eastAsia="宋体"/>
                <w:sz w:val="16"/>
              </w:rPr>
              <w:t>工作资料</w:t>
            </w:r>
          </w:p>
        </w:tc>
        <w:tc>
          <w:tcPr>
            <w:tcW w:w="686" w:type="pct"/>
            <w:tcBorders>
              <w:top w:val="single" w:color="auto" w:sz="10" w:space="0"/>
              <w:left w:val="single" w:color="auto" w:sz="10" w:space="0"/>
              <w:bottom w:val="single" w:color="auto" w:sz="10" w:space="0"/>
              <w:right w:val="single" w:color="auto" w:sz="10" w:space="0"/>
              <w:insideV w:val="single" w:sz="10" w:space="0"/>
            </w:tcBorders>
            <w:vAlign w:val="center"/>
          </w:tcPr>
          <w:p w14:paraId="5D414125">
            <w:pPr>
              <w:snapToGrid w:val="0"/>
              <w:jc w:val="center"/>
            </w:pPr>
            <w:r>
              <w:rPr>
                <w:rFonts w:ascii="宋体" w:hAnsi="宋体" w:eastAsia="宋体"/>
                <w:sz w:val="16"/>
              </w:rPr>
              <w:t>达到预期指标值。</w:t>
            </w:r>
          </w:p>
        </w:tc>
      </w:tr>
      <w:tr w14:paraId="5A598046">
        <w:tblPrEx>
          <w:tblCellMar>
            <w:top w:w="40" w:type="dxa"/>
            <w:left w:w="64" w:type="dxa"/>
            <w:bottom w:w="40" w:type="dxa"/>
            <w:right w:w="64" w:type="dxa"/>
          </w:tblCellMar>
        </w:tblPrEx>
        <w:trPr>
          <w:trHeight w:val="0" w:hRule="atLeast"/>
          <w:jc w:val="center"/>
        </w:trPr>
        <w:tc>
          <w:tcPr>
            <w:tcW w:w="288" w:type="pct"/>
            <w:vMerge w:val="continue"/>
            <w:tcBorders>
              <w:top w:val="single" w:color="auto" w:sz="10" w:space="0"/>
              <w:left w:val="single" w:color="auto" w:sz="10" w:space="0"/>
              <w:bottom w:val="single" w:color="auto" w:sz="10" w:space="0"/>
              <w:right w:val="single" w:color="auto" w:sz="10" w:space="0"/>
              <w:insideV w:val="single" w:sz="10" w:space="0"/>
            </w:tcBorders>
          </w:tcPr>
          <w:p w14:paraId="72AA2C5D">
            <w:pPr>
              <w:snapToGrid w:val="0"/>
            </w:pPr>
          </w:p>
        </w:tc>
        <w:tc>
          <w:tcPr>
            <w:tcW w:w="251" w:type="pct"/>
            <w:vMerge w:val="continue"/>
            <w:tcBorders>
              <w:top w:val="single" w:color="auto" w:sz="10" w:space="0"/>
              <w:left w:val="single" w:color="auto" w:sz="10" w:space="0"/>
              <w:bottom w:val="single" w:color="auto" w:sz="10" w:space="0"/>
              <w:right w:val="single" w:color="auto" w:sz="10" w:space="0"/>
              <w:insideV w:val="single" w:sz="10" w:space="0"/>
            </w:tcBorders>
          </w:tcPr>
          <w:p w14:paraId="6E42347C">
            <w:pPr>
              <w:snapToGrid w:val="0"/>
            </w:pPr>
          </w:p>
        </w:tc>
        <w:tc>
          <w:tcPr>
            <w:tcW w:w="294" w:type="pct"/>
            <w:vMerge w:val="continue"/>
            <w:tcBorders>
              <w:top w:val="single" w:color="auto" w:sz="10" w:space="0"/>
              <w:left w:val="single" w:color="auto" w:sz="10" w:space="0"/>
              <w:bottom w:val="single" w:color="auto" w:sz="10" w:space="0"/>
              <w:right w:val="single" w:color="auto" w:sz="10" w:space="0"/>
              <w:insideV w:val="single" w:sz="10" w:space="0"/>
            </w:tcBorders>
          </w:tcPr>
          <w:p w14:paraId="6AE8D533">
            <w:pPr>
              <w:snapToGrid w:val="0"/>
            </w:pPr>
          </w:p>
        </w:tc>
        <w:tc>
          <w:tcPr>
            <w:tcW w:w="420" w:type="pct"/>
            <w:tcBorders>
              <w:top w:val="single" w:color="auto" w:sz="10" w:space="0"/>
              <w:left w:val="single" w:color="auto" w:sz="10" w:space="0"/>
              <w:bottom w:val="single" w:color="auto" w:sz="10" w:space="0"/>
              <w:right w:val="single" w:color="auto" w:sz="10" w:space="0"/>
              <w:insideV w:val="single" w:sz="10" w:space="0"/>
            </w:tcBorders>
            <w:vAlign w:val="center"/>
          </w:tcPr>
          <w:p w14:paraId="28496F83">
            <w:pPr>
              <w:snapToGrid w:val="0"/>
              <w:jc w:val="center"/>
            </w:pPr>
            <w:r>
              <w:rPr>
                <w:rFonts w:ascii="宋体" w:hAnsi="宋体" w:eastAsia="宋体"/>
                <w:sz w:val="16"/>
              </w:rPr>
              <w:t>召开会议天数</w:t>
            </w:r>
          </w:p>
        </w:tc>
        <w:tc>
          <w:tcPr>
            <w:tcW w:w="251" w:type="pct"/>
            <w:tcBorders>
              <w:top w:val="single" w:color="auto" w:sz="10" w:space="0"/>
              <w:left w:val="single" w:color="auto" w:sz="10" w:space="0"/>
              <w:bottom w:val="single" w:color="auto" w:sz="10" w:space="0"/>
              <w:right w:val="single" w:color="auto" w:sz="10" w:space="0"/>
              <w:insideV w:val="single" w:sz="10" w:space="0"/>
            </w:tcBorders>
            <w:vAlign w:val="center"/>
          </w:tcPr>
          <w:p w14:paraId="5DD3E7A7">
            <w:pPr>
              <w:snapToGrid w:val="0"/>
              <w:jc w:val="center"/>
            </w:pPr>
            <w:r>
              <w:rPr>
                <w:rFonts w:ascii="宋体" w:hAnsi="宋体" w:eastAsia="宋体"/>
                <w:sz w:val="16"/>
              </w:rPr>
              <w:t>6</w:t>
            </w:r>
          </w:p>
        </w:tc>
        <w:tc>
          <w:tcPr>
            <w:tcW w:w="615" w:type="pct"/>
            <w:tcBorders>
              <w:top w:val="single" w:color="auto" w:sz="10" w:space="0"/>
              <w:left w:val="single" w:color="auto" w:sz="10" w:space="0"/>
              <w:bottom w:val="single" w:color="auto" w:sz="10" w:space="0"/>
              <w:right w:val="single" w:color="auto" w:sz="10" w:space="0"/>
              <w:insideV w:val="single" w:sz="10" w:space="0"/>
            </w:tcBorders>
            <w:vAlign w:val="center"/>
          </w:tcPr>
          <w:p w14:paraId="231A0B49">
            <w:pPr>
              <w:snapToGrid w:val="0"/>
              <w:jc w:val="center"/>
            </w:pPr>
            <w:r>
              <w:rPr>
                <w:rFonts w:ascii="宋体" w:hAnsi="宋体" w:eastAsia="宋体"/>
                <w:sz w:val="16"/>
              </w:rPr>
              <w:t>=3天</w:t>
            </w:r>
          </w:p>
        </w:tc>
        <w:tc>
          <w:tcPr>
            <w:tcW w:w="509" w:type="pct"/>
            <w:tcBorders>
              <w:top w:val="single" w:color="auto" w:sz="10" w:space="0"/>
              <w:left w:val="single" w:color="auto" w:sz="10" w:space="0"/>
              <w:bottom w:val="single" w:color="auto" w:sz="10" w:space="0"/>
              <w:right w:val="single" w:color="auto" w:sz="10" w:space="0"/>
              <w:insideV w:val="single" w:sz="10" w:space="0"/>
            </w:tcBorders>
            <w:vAlign w:val="center"/>
          </w:tcPr>
          <w:p w14:paraId="57D4767D">
            <w:pPr>
              <w:snapToGrid w:val="0"/>
              <w:jc w:val="center"/>
            </w:pPr>
            <w:r>
              <w:rPr>
                <w:rFonts w:ascii="宋体" w:hAnsi="宋体" w:eastAsia="宋体"/>
                <w:sz w:val="16"/>
              </w:rPr>
              <w:t>3天</w:t>
            </w:r>
          </w:p>
        </w:tc>
        <w:tc>
          <w:tcPr>
            <w:tcW w:w="454" w:type="pct"/>
            <w:tcBorders>
              <w:top w:val="single" w:color="auto" w:sz="10" w:space="0"/>
              <w:left w:val="single" w:color="auto" w:sz="10" w:space="0"/>
              <w:bottom w:val="single" w:color="auto" w:sz="10" w:space="0"/>
              <w:right w:val="single" w:color="auto" w:sz="10" w:space="0"/>
              <w:insideV w:val="single" w:sz="10" w:space="0"/>
            </w:tcBorders>
            <w:vAlign w:val="center"/>
          </w:tcPr>
          <w:p w14:paraId="1CF9C75D">
            <w:pPr>
              <w:snapToGrid w:val="0"/>
              <w:jc w:val="center"/>
            </w:pPr>
            <w:r>
              <w:rPr>
                <w:rFonts w:ascii="宋体" w:hAnsi="宋体" w:eastAsia="宋体"/>
                <w:sz w:val="16"/>
              </w:rPr>
              <w:t>100%</w:t>
            </w:r>
          </w:p>
        </w:tc>
        <w:tc>
          <w:tcPr>
            <w:tcW w:w="240" w:type="pct"/>
            <w:tcBorders>
              <w:top w:val="single" w:color="auto" w:sz="10" w:space="0"/>
              <w:left w:val="single" w:color="auto" w:sz="10" w:space="0"/>
              <w:bottom w:val="single" w:color="auto" w:sz="10" w:space="0"/>
              <w:right w:val="single" w:color="auto" w:sz="10" w:space="0"/>
              <w:insideV w:val="single" w:sz="10" w:space="0"/>
            </w:tcBorders>
            <w:vAlign w:val="center"/>
          </w:tcPr>
          <w:p w14:paraId="7575B13A">
            <w:pPr>
              <w:snapToGrid w:val="0"/>
              <w:jc w:val="center"/>
            </w:pPr>
            <w:r>
              <w:rPr>
                <w:rFonts w:ascii="宋体" w:hAnsi="宋体" w:eastAsia="宋体"/>
                <w:sz w:val="16"/>
              </w:rPr>
              <w:t>6</w:t>
            </w:r>
          </w:p>
        </w:tc>
        <w:tc>
          <w:tcPr>
            <w:tcW w:w="229" w:type="pct"/>
            <w:tcBorders>
              <w:top w:val="single" w:color="auto" w:sz="10" w:space="0"/>
              <w:left w:val="single" w:color="auto" w:sz="10" w:space="0"/>
              <w:bottom w:val="single" w:color="auto" w:sz="10" w:space="0"/>
              <w:right w:val="single" w:color="auto" w:sz="10" w:space="0"/>
              <w:insideV w:val="single" w:sz="10" w:space="0"/>
            </w:tcBorders>
            <w:vAlign w:val="center"/>
          </w:tcPr>
          <w:p w14:paraId="2CF2025F">
            <w:pPr>
              <w:snapToGrid w:val="0"/>
              <w:jc w:val="center"/>
            </w:pPr>
            <w:r>
              <w:rPr>
                <w:rFonts w:ascii="宋体" w:hAnsi="宋体" w:eastAsia="宋体"/>
                <w:sz w:val="16"/>
              </w:rPr>
              <w:t>计划标准</w:t>
            </w:r>
          </w:p>
        </w:tc>
        <w:tc>
          <w:tcPr>
            <w:tcW w:w="260" w:type="pct"/>
            <w:tcBorders>
              <w:top w:val="single" w:color="auto" w:sz="10" w:space="0"/>
              <w:left w:val="single" w:color="auto" w:sz="10" w:space="0"/>
              <w:bottom w:val="single" w:color="auto" w:sz="10" w:space="0"/>
              <w:right w:val="single" w:color="auto" w:sz="10" w:space="0"/>
              <w:insideV w:val="single" w:sz="10" w:space="0"/>
            </w:tcBorders>
            <w:vAlign w:val="center"/>
          </w:tcPr>
          <w:p w14:paraId="6D5C5CCA">
            <w:pPr>
              <w:snapToGrid w:val="0"/>
              <w:jc w:val="center"/>
            </w:pPr>
            <w:r>
              <w:rPr>
                <w:rFonts w:ascii="宋体" w:hAnsi="宋体" w:eastAsia="宋体"/>
                <w:sz w:val="16"/>
              </w:rPr>
              <w:t>3天</w:t>
            </w:r>
          </w:p>
        </w:tc>
        <w:tc>
          <w:tcPr>
            <w:tcW w:w="280" w:type="pct"/>
            <w:tcBorders>
              <w:top w:val="single" w:color="auto" w:sz="10" w:space="0"/>
              <w:left w:val="single" w:color="auto" w:sz="10" w:space="0"/>
              <w:bottom w:val="single" w:color="auto" w:sz="10" w:space="0"/>
              <w:right w:val="single" w:color="auto" w:sz="10" w:space="0"/>
              <w:insideV w:val="single" w:sz="10" w:space="0"/>
            </w:tcBorders>
            <w:vAlign w:val="center"/>
          </w:tcPr>
          <w:p w14:paraId="27A435E9">
            <w:pPr>
              <w:snapToGrid w:val="0"/>
              <w:jc w:val="center"/>
            </w:pPr>
            <w:r>
              <w:rPr>
                <w:rFonts w:ascii="宋体" w:hAnsi="宋体" w:eastAsia="宋体"/>
                <w:sz w:val="16"/>
              </w:rPr>
              <w:t>按照完成比例赋分</w:t>
            </w:r>
          </w:p>
        </w:tc>
        <w:tc>
          <w:tcPr>
            <w:tcW w:w="216" w:type="pct"/>
            <w:tcBorders>
              <w:top w:val="single" w:color="auto" w:sz="10" w:space="0"/>
              <w:left w:val="single" w:color="auto" w:sz="10" w:space="0"/>
              <w:bottom w:val="single" w:color="auto" w:sz="10" w:space="0"/>
              <w:right w:val="single" w:color="auto" w:sz="10" w:space="0"/>
              <w:insideV w:val="single" w:sz="10" w:space="0"/>
            </w:tcBorders>
            <w:vAlign w:val="center"/>
          </w:tcPr>
          <w:p w14:paraId="4B3C0ADE">
            <w:pPr>
              <w:snapToGrid w:val="0"/>
              <w:jc w:val="center"/>
            </w:pPr>
            <w:r>
              <w:rPr>
                <w:rFonts w:ascii="宋体" w:hAnsi="宋体" w:eastAsia="宋体"/>
                <w:sz w:val="16"/>
              </w:rPr>
              <w:t>工作资料</w:t>
            </w:r>
          </w:p>
        </w:tc>
        <w:tc>
          <w:tcPr>
            <w:tcW w:w="686" w:type="pct"/>
            <w:tcBorders>
              <w:top w:val="single" w:color="auto" w:sz="10" w:space="0"/>
              <w:left w:val="single" w:color="auto" w:sz="10" w:space="0"/>
              <w:bottom w:val="single" w:color="auto" w:sz="10" w:space="0"/>
              <w:right w:val="single" w:color="auto" w:sz="10" w:space="0"/>
              <w:insideV w:val="single" w:sz="10" w:space="0"/>
            </w:tcBorders>
            <w:vAlign w:val="center"/>
          </w:tcPr>
          <w:p w14:paraId="4AD2A782">
            <w:pPr>
              <w:snapToGrid w:val="0"/>
              <w:jc w:val="center"/>
            </w:pPr>
          </w:p>
        </w:tc>
      </w:tr>
      <w:tr w14:paraId="750307CE">
        <w:tblPrEx>
          <w:tblCellMar>
            <w:top w:w="40" w:type="dxa"/>
            <w:left w:w="64" w:type="dxa"/>
            <w:bottom w:w="40" w:type="dxa"/>
            <w:right w:w="64" w:type="dxa"/>
          </w:tblCellMar>
        </w:tblPrEx>
        <w:trPr>
          <w:trHeight w:val="0" w:hRule="atLeast"/>
          <w:jc w:val="center"/>
        </w:trPr>
        <w:tc>
          <w:tcPr>
            <w:tcW w:w="288" w:type="pct"/>
            <w:vMerge w:val="continue"/>
            <w:tcBorders>
              <w:top w:val="single" w:color="auto" w:sz="10" w:space="0"/>
              <w:left w:val="single" w:color="auto" w:sz="10" w:space="0"/>
              <w:bottom w:val="single" w:color="auto" w:sz="10" w:space="0"/>
              <w:right w:val="single" w:color="auto" w:sz="10" w:space="0"/>
              <w:insideV w:val="single" w:sz="10" w:space="0"/>
            </w:tcBorders>
          </w:tcPr>
          <w:p w14:paraId="64131BE3">
            <w:pPr>
              <w:snapToGrid w:val="0"/>
            </w:pPr>
          </w:p>
        </w:tc>
        <w:tc>
          <w:tcPr>
            <w:tcW w:w="251" w:type="pct"/>
            <w:vMerge w:val="continue"/>
            <w:tcBorders>
              <w:top w:val="single" w:color="auto" w:sz="10" w:space="0"/>
              <w:left w:val="single" w:color="auto" w:sz="10" w:space="0"/>
              <w:bottom w:val="single" w:color="auto" w:sz="10" w:space="0"/>
              <w:right w:val="single" w:color="auto" w:sz="10" w:space="0"/>
              <w:insideV w:val="single" w:sz="10" w:space="0"/>
            </w:tcBorders>
          </w:tcPr>
          <w:p w14:paraId="2D81ED7C">
            <w:pPr>
              <w:snapToGrid w:val="0"/>
            </w:pPr>
          </w:p>
        </w:tc>
        <w:tc>
          <w:tcPr>
            <w:tcW w:w="294" w:type="pct"/>
            <w:vMerge w:val="continue"/>
            <w:tcBorders>
              <w:top w:val="single" w:color="auto" w:sz="10" w:space="0"/>
              <w:left w:val="single" w:color="auto" w:sz="10" w:space="0"/>
              <w:bottom w:val="single" w:color="auto" w:sz="10" w:space="0"/>
              <w:right w:val="single" w:color="auto" w:sz="10" w:space="0"/>
              <w:insideV w:val="single" w:sz="10" w:space="0"/>
            </w:tcBorders>
          </w:tcPr>
          <w:p w14:paraId="10F6B06D">
            <w:pPr>
              <w:snapToGrid w:val="0"/>
            </w:pPr>
          </w:p>
        </w:tc>
        <w:tc>
          <w:tcPr>
            <w:tcW w:w="420" w:type="pct"/>
            <w:tcBorders>
              <w:top w:val="single" w:color="auto" w:sz="10" w:space="0"/>
              <w:left w:val="single" w:color="auto" w:sz="10" w:space="0"/>
              <w:bottom w:val="single" w:color="auto" w:sz="10" w:space="0"/>
              <w:right w:val="single" w:color="auto" w:sz="10" w:space="0"/>
              <w:insideV w:val="single" w:sz="10" w:space="0"/>
            </w:tcBorders>
            <w:vAlign w:val="center"/>
          </w:tcPr>
          <w:p w14:paraId="139B65C1">
            <w:pPr>
              <w:snapToGrid w:val="0"/>
              <w:jc w:val="center"/>
            </w:pPr>
            <w:r>
              <w:rPr>
                <w:rFonts w:ascii="宋体" w:hAnsi="宋体" w:eastAsia="宋体"/>
                <w:sz w:val="16"/>
              </w:rPr>
              <w:t>收集政协委员提案建议件数</w:t>
            </w:r>
          </w:p>
        </w:tc>
        <w:tc>
          <w:tcPr>
            <w:tcW w:w="251" w:type="pct"/>
            <w:tcBorders>
              <w:top w:val="single" w:color="auto" w:sz="10" w:space="0"/>
              <w:left w:val="single" w:color="auto" w:sz="10" w:space="0"/>
              <w:bottom w:val="single" w:color="auto" w:sz="10" w:space="0"/>
              <w:right w:val="single" w:color="auto" w:sz="10" w:space="0"/>
              <w:insideV w:val="single" w:sz="10" w:space="0"/>
            </w:tcBorders>
            <w:vAlign w:val="center"/>
          </w:tcPr>
          <w:p w14:paraId="51ECCA1D">
            <w:pPr>
              <w:snapToGrid w:val="0"/>
              <w:jc w:val="center"/>
            </w:pPr>
            <w:r>
              <w:rPr>
                <w:rFonts w:ascii="宋体" w:hAnsi="宋体" w:eastAsia="宋体"/>
                <w:sz w:val="16"/>
              </w:rPr>
              <w:t>6</w:t>
            </w:r>
          </w:p>
        </w:tc>
        <w:tc>
          <w:tcPr>
            <w:tcW w:w="615" w:type="pct"/>
            <w:tcBorders>
              <w:top w:val="single" w:color="auto" w:sz="10" w:space="0"/>
              <w:left w:val="single" w:color="auto" w:sz="10" w:space="0"/>
              <w:bottom w:val="single" w:color="auto" w:sz="10" w:space="0"/>
              <w:right w:val="single" w:color="auto" w:sz="10" w:space="0"/>
              <w:insideV w:val="single" w:sz="10" w:space="0"/>
            </w:tcBorders>
            <w:vAlign w:val="center"/>
          </w:tcPr>
          <w:p w14:paraId="19976877">
            <w:pPr>
              <w:snapToGrid w:val="0"/>
              <w:jc w:val="center"/>
            </w:pPr>
            <w:r>
              <w:rPr>
                <w:rFonts w:ascii="宋体" w:hAnsi="宋体" w:eastAsia="宋体"/>
                <w:sz w:val="16"/>
              </w:rPr>
              <w:t>&gt;=70件</w:t>
            </w:r>
          </w:p>
        </w:tc>
        <w:tc>
          <w:tcPr>
            <w:tcW w:w="509" w:type="pct"/>
            <w:tcBorders>
              <w:top w:val="single" w:color="auto" w:sz="10" w:space="0"/>
              <w:left w:val="single" w:color="auto" w:sz="10" w:space="0"/>
              <w:bottom w:val="single" w:color="auto" w:sz="10" w:space="0"/>
              <w:right w:val="single" w:color="auto" w:sz="10" w:space="0"/>
              <w:insideV w:val="single" w:sz="10" w:space="0"/>
            </w:tcBorders>
            <w:vAlign w:val="center"/>
          </w:tcPr>
          <w:p w14:paraId="5CFBCFFA">
            <w:pPr>
              <w:snapToGrid w:val="0"/>
              <w:jc w:val="center"/>
            </w:pPr>
            <w:r>
              <w:rPr>
                <w:rFonts w:ascii="宋体" w:hAnsi="宋体" w:eastAsia="宋体"/>
                <w:sz w:val="16"/>
              </w:rPr>
              <w:t>88件</w:t>
            </w:r>
          </w:p>
        </w:tc>
        <w:tc>
          <w:tcPr>
            <w:tcW w:w="454" w:type="pct"/>
            <w:tcBorders>
              <w:top w:val="single" w:color="auto" w:sz="10" w:space="0"/>
              <w:left w:val="single" w:color="auto" w:sz="10" w:space="0"/>
              <w:bottom w:val="single" w:color="auto" w:sz="10" w:space="0"/>
              <w:right w:val="single" w:color="auto" w:sz="10" w:space="0"/>
              <w:insideV w:val="single" w:sz="10" w:space="0"/>
            </w:tcBorders>
            <w:vAlign w:val="center"/>
          </w:tcPr>
          <w:p w14:paraId="36897796">
            <w:pPr>
              <w:snapToGrid w:val="0"/>
              <w:jc w:val="center"/>
            </w:pPr>
            <w:r>
              <w:rPr>
                <w:rFonts w:ascii="宋体" w:hAnsi="宋体" w:eastAsia="宋体"/>
                <w:sz w:val="16"/>
              </w:rPr>
              <w:t>125.71%</w:t>
            </w:r>
          </w:p>
        </w:tc>
        <w:tc>
          <w:tcPr>
            <w:tcW w:w="240" w:type="pct"/>
            <w:tcBorders>
              <w:top w:val="single" w:color="auto" w:sz="10" w:space="0"/>
              <w:left w:val="single" w:color="auto" w:sz="10" w:space="0"/>
              <w:bottom w:val="single" w:color="auto" w:sz="10" w:space="0"/>
              <w:right w:val="single" w:color="auto" w:sz="10" w:space="0"/>
              <w:insideV w:val="single" w:sz="10" w:space="0"/>
            </w:tcBorders>
            <w:vAlign w:val="center"/>
          </w:tcPr>
          <w:p w14:paraId="43498B3A">
            <w:pPr>
              <w:snapToGrid w:val="0"/>
              <w:jc w:val="center"/>
            </w:pPr>
            <w:r>
              <w:rPr>
                <w:rFonts w:ascii="宋体" w:hAnsi="宋体" w:eastAsia="宋体"/>
                <w:sz w:val="16"/>
              </w:rPr>
              <w:t>6</w:t>
            </w:r>
          </w:p>
        </w:tc>
        <w:tc>
          <w:tcPr>
            <w:tcW w:w="229" w:type="pct"/>
            <w:tcBorders>
              <w:top w:val="single" w:color="auto" w:sz="10" w:space="0"/>
              <w:left w:val="single" w:color="auto" w:sz="10" w:space="0"/>
              <w:bottom w:val="single" w:color="auto" w:sz="10" w:space="0"/>
              <w:right w:val="single" w:color="auto" w:sz="10" w:space="0"/>
              <w:insideV w:val="single" w:sz="10" w:space="0"/>
            </w:tcBorders>
            <w:vAlign w:val="center"/>
          </w:tcPr>
          <w:p w14:paraId="7CF5D6AD">
            <w:pPr>
              <w:snapToGrid w:val="0"/>
              <w:jc w:val="center"/>
            </w:pPr>
            <w:r>
              <w:rPr>
                <w:rFonts w:ascii="宋体" w:hAnsi="宋体" w:eastAsia="宋体"/>
                <w:sz w:val="16"/>
              </w:rPr>
              <w:t>计划标准</w:t>
            </w:r>
          </w:p>
        </w:tc>
        <w:tc>
          <w:tcPr>
            <w:tcW w:w="260" w:type="pct"/>
            <w:tcBorders>
              <w:top w:val="single" w:color="auto" w:sz="10" w:space="0"/>
              <w:left w:val="single" w:color="auto" w:sz="10" w:space="0"/>
              <w:bottom w:val="single" w:color="auto" w:sz="10" w:space="0"/>
              <w:right w:val="single" w:color="auto" w:sz="10" w:space="0"/>
              <w:insideV w:val="single" w:sz="10" w:space="0"/>
            </w:tcBorders>
            <w:vAlign w:val="center"/>
          </w:tcPr>
          <w:p w14:paraId="695D4409">
            <w:pPr>
              <w:snapToGrid w:val="0"/>
              <w:jc w:val="center"/>
            </w:pPr>
            <w:r>
              <w:rPr>
                <w:rFonts w:ascii="宋体" w:hAnsi="宋体" w:eastAsia="宋体"/>
                <w:sz w:val="16"/>
              </w:rPr>
              <w:t>94件</w:t>
            </w:r>
          </w:p>
        </w:tc>
        <w:tc>
          <w:tcPr>
            <w:tcW w:w="280" w:type="pct"/>
            <w:tcBorders>
              <w:top w:val="single" w:color="auto" w:sz="10" w:space="0"/>
              <w:left w:val="single" w:color="auto" w:sz="10" w:space="0"/>
              <w:bottom w:val="single" w:color="auto" w:sz="10" w:space="0"/>
              <w:right w:val="single" w:color="auto" w:sz="10" w:space="0"/>
              <w:insideV w:val="single" w:sz="10" w:space="0"/>
            </w:tcBorders>
            <w:vAlign w:val="center"/>
          </w:tcPr>
          <w:p w14:paraId="21CCB528">
            <w:pPr>
              <w:snapToGrid w:val="0"/>
              <w:jc w:val="center"/>
            </w:pPr>
            <w:r>
              <w:rPr>
                <w:rFonts w:ascii="宋体" w:hAnsi="宋体" w:eastAsia="宋体"/>
                <w:sz w:val="16"/>
              </w:rPr>
              <w:t>按照完成比例赋分</w:t>
            </w:r>
          </w:p>
        </w:tc>
        <w:tc>
          <w:tcPr>
            <w:tcW w:w="216" w:type="pct"/>
            <w:tcBorders>
              <w:top w:val="single" w:color="auto" w:sz="10" w:space="0"/>
              <w:left w:val="single" w:color="auto" w:sz="10" w:space="0"/>
              <w:bottom w:val="single" w:color="auto" w:sz="10" w:space="0"/>
              <w:right w:val="single" w:color="auto" w:sz="10" w:space="0"/>
              <w:insideV w:val="single" w:sz="10" w:space="0"/>
            </w:tcBorders>
            <w:vAlign w:val="center"/>
          </w:tcPr>
          <w:p w14:paraId="3D5C5114">
            <w:pPr>
              <w:snapToGrid w:val="0"/>
              <w:jc w:val="center"/>
            </w:pPr>
            <w:r>
              <w:rPr>
                <w:rFonts w:ascii="宋体" w:hAnsi="宋体" w:eastAsia="宋体"/>
                <w:sz w:val="16"/>
              </w:rPr>
              <w:t>工作资料</w:t>
            </w:r>
          </w:p>
        </w:tc>
        <w:tc>
          <w:tcPr>
            <w:tcW w:w="686" w:type="pct"/>
            <w:tcBorders>
              <w:top w:val="single" w:color="auto" w:sz="10" w:space="0"/>
              <w:left w:val="single" w:color="auto" w:sz="10" w:space="0"/>
              <w:bottom w:val="single" w:color="auto" w:sz="10" w:space="0"/>
              <w:right w:val="single" w:color="auto" w:sz="10" w:space="0"/>
              <w:insideV w:val="single" w:sz="10" w:space="0"/>
            </w:tcBorders>
            <w:vAlign w:val="center"/>
          </w:tcPr>
          <w:p w14:paraId="5DE5B272">
            <w:pPr>
              <w:snapToGrid w:val="0"/>
              <w:jc w:val="center"/>
            </w:pPr>
            <w:r>
              <w:rPr>
                <w:rFonts w:ascii="宋体" w:hAnsi="宋体" w:eastAsia="宋体"/>
                <w:sz w:val="16"/>
              </w:rPr>
              <w:t>偏差原因：2024年委员积极履职收集提案超预期，改进措施：下年度从严从高设置指标值。</w:t>
            </w:r>
          </w:p>
        </w:tc>
      </w:tr>
      <w:tr w14:paraId="1FC9AE85">
        <w:tblPrEx>
          <w:tblCellMar>
            <w:top w:w="40" w:type="dxa"/>
            <w:left w:w="64" w:type="dxa"/>
            <w:bottom w:w="40" w:type="dxa"/>
            <w:right w:w="64" w:type="dxa"/>
          </w:tblCellMar>
        </w:tblPrEx>
        <w:trPr>
          <w:trHeight w:val="0" w:hRule="atLeast"/>
          <w:jc w:val="center"/>
        </w:trPr>
        <w:tc>
          <w:tcPr>
            <w:tcW w:w="288" w:type="pct"/>
            <w:vMerge w:val="continue"/>
            <w:tcBorders>
              <w:top w:val="single" w:color="auto" w:sz="10" w:space="0"/>
              <w:left w:val="single" w:color="auto" w:sz="10" w:space="0"/>
              <w:bottom w:val="single" w:color="auto" w:sz="10" w:space="0"/>
              <w:right w:val="single" w:color="auto" w:sz="10" w:space="0"/>
              <w:insideV w:val="single" w:sz="10" w:space="0"/>
            </w:tcBorders>
          </w:tcPr>
          <w:p w14:paraId="6A3EA17F">
            <w:pPr>
              <w:snapToGrid w:val="0"/>
            </w:pPr>
          </w:p>
        </w:tc>
        <w:tc>
          <w:tcPr>
            <w:tcW w:w="251" w:type="pct"/>
            <w:vMerge w:val="continue"/>
            <w:tcBorders>
              <w:top w:val="single" w:color="auto" w:sz="10" w:space="0"/>
              <w:left w:val="single" w:color="auto" w:sz="10" w:space="0"/>
              <w:bottom w:val="single" w:color="auto" w:sz="10" w:space="0"/>
              <w:right w:val="single" w:color="auto" w:sz="10" w:space="0"/>
              <w:insideV w:val="single" w:sz="10" w:space="0"/>
            </w:tcBorders>
          </w:tcPr>
          <w:p w14:paraId="1A022D04">
            <w:pPr>
              <w:snapToGrid w:val="0"/>
            </w:pPr>
          </w:p>
        </w:tc>
        <w:tc>
          <w:tcPr>
            <w:tcW w:w="294"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21788F">
            <w:pPr>
              <w:snapToGrid w:val="0"/>
              <w:jc w:val="center"/>
            </w:pPr>
            <w:r>
              <w:rPr>
                <w:rFonts w:ascii="宋体" w:hAnsi="宋体" w:eastAsia="宋体"/>
                <w:sz w:val="16"/>
              </w:rPr>
              <w:t>质量指标</w:t>
            </w:r>
          </w:p>
        </w:tc>
        <w:tc>
          <w:tcPr>
            <w:tcW w:w="420" w:type="pct"/>
            <w:tcBorders>
              <w:top w:val="single" w:color="auto" w:sz="10" w:space="0"/>
              <w:left w:val="single" w:color="auto" w:sz="10" w:space="0"/>
              <w:bottom w:val="single" w:color="auto" w:sz="10" w:space="0"/>
              <w:right w:val="single" w:color="auto" w:sz="10" w:space="0"/>
              <w:insideV w:val="single" w:sz="10" w:space="0"/>
            </w:tcBorders>
            <w:vAlign w:val="center"/>
          </w:tcPr>
          <w:p w14:paraId="4DC6CA6B">
            <w:pPr>
              <w:snapToGrid w:val="0"/>
              <w:jc w:val="center"/>
            </w:pPr>
            <w:r>
              <w:rPr>
                <w:rFonts w:ascii="宋体" w:hAnsi="宋体" w:eastAsia="宋体"/>
                <w:sz w:val="16"/>
              </w:rPr>
              <w:t>政协委员参会率</w:t>
            </w:r>
          </w:p>
        </w:tc>
        <w:tc>
          <w:tcPr>
            <w:tcW w:w="251" w:type="pct"/>
            <w:tcBorders>
              <w:top w:val="single" w:color="auto" w:sz="10" w:space="0"/>
              <w:left w:val="single" w:color="auto" w:sz="10" w:space="0"/>
              <w:bottom w:val="single" w:color="auto" w:sz="10" w:space="0"/>
              <w:right w:val="single" w:color="auto" w:sz="10" w:space="0"/>
              <w:insideV w:val="single" w:sz="10" w:space="0"/>
            </w:tcBorders>
            <w:vAlign w:val="center"/>
          </w:tcPr>
          <w:p w14:paraId="6DA4E680">
            <w:pPr>
              <w:snapToGrid w:val="0"/>
              <w:jc w:val="center"/>
            </w:pPr>
            <w:r>
              <w:rPr>
                <w:rFonts w:ascii="宋体" w:hAnsi="宋体" w:eastAsia="宋体"/>
                <w:sz w:val="16"/>
              </w:rPr>
              <w:t>6</w:t>
            </w:r>
          </w:p>
        </w:tc>
        <w:tc>
          <w:tcPr>
            <w:tcW w:w="615" w:type="pct"/>
            <w:tcBorders>
              <w:top w:val="single" w:color="auto" w:sz="10" w:space="0"/>
              <w:left w:val="single" w:color="auto" w:sz="10" w:space="0"/>
              <w:bottom w:val="single" w:color="auto" w:sz="10" w:space="0"/>
              <w:right w:val="single" w:color="auto" w:sz="10" w:space="0"/>
              <w:insideV w:val="single" w:sz="10" w:space="0"/>
            </w:tcBorders>
            <w:vAlign w:val="center"/>
          </w:tcPr>
          <w:p w14:paraId="09275F74">
            <w:pPr>
              <w:snapToGrid w:val="0"/>
              <w:jc w:val="center"/>
            </w:pPr>
            <w:r>
              <w:rPr>
                <w:rFonts w:ascii="宋体" w:hAnsi="宋体" w:eastAsia="宋体"/>
                <w:sz w:val="16"/>
              </w:rPr>
              <w:t>&gt;=90%</w:t>
            </w:r>
          </w:p>
        </w:tc>
        <w:tc>
          <w:tcPr>
            <w:tcW w:w="509" w:type="pct"/>
            <w:tcBorders>
              <w:top w:val="single" w:color="auto" w:sz="10" w:space="0"/>
              <w:left w:val="single" w:color="auto" w:sz="10" w:space="0"/>
              <w:bottom w:val="single" w:color="auto" w:sz="10" w:space="0"/>
              <w:right w:val="single" w:color="auto" w:sz="10" w:space="0"/>
              <w:insideV w:val="single" w:sz="10" w:space="0"/>
            </w:tcBorders>
            <w:vAlign w:val="center"/>
          </w:tcPr>
          <w:p w14:paraId="31F94345">
            <w:pPr>
              <w:snapToGrid w:val="0"/>
              <w:jc w:val="center"/>
            </w:pPr>
            <w:r>
              <w:rPr>
                <w:rFonts w:ascii="宋体" w:hAnsi="宋体" w:eastAsia="宋体"/>
                <w:sz w:val="16"/>
              </w:rPr>
              <w:t>90%</w:t>
            </w:r>
          </w:p>
        </w:tc>
        <w:tc>
          <w:tcPr>
            <w:tcW w:w="454" w:type="pct"/>
            <w:tcBorders>
              <w:top w:val="single" w:color="auto" w:sz="10" w:space="0"/>
              <w:left w:val="single" w:color="auto" w:sz="10" w:space="0"/>
              <w:bottom w:val="single" w:color="auto" w:sz="10" w:space="0"/>
              <w:right w:val="single" w:color="auto" w:sz="10" w:space="0"/>
              <w:insideV w:val="single" w:sz="10" w:space="0"/>
            </w:tcBorders>
            <w:vAlign w:val="center"/>
          </w:tcPr>
          <w:p w14:paraId="06B6330B">
            <w:pPr>
              <w:snapToGrid w:val="0"/>
              <w:jc w:val="center"/>
            </w:pPr>
            <w:r>
              <w:rPr>
                <w:rFonts w:ascii="宋体" w:hAnsi="宋体" w:eastAsia="宋体"/>
                <w:sz w:val="16"/>
              </w:rPr>
              <w:t>100%</w:t>
            </w:r>
          </w:p>
        </w:tc>
        <w:tc>
          <w:tcPr>
            <w:tcW w:w="240" w:type="pct"/>
            <w:tcBorders>
              <w:top w:val="single" w:color="auto" w:sz="10" w:space="0"/>
              <w:left w:val="single" w:color="auto" w:sz="10" w:space="0"/>
              <w:bottom w:val="single" w:color="auto" w:sz="10" w:space="0"/>
              <w:right w:val="single" w:color="auto" w:sz="10" w:space="0"/>
              <w:insideV w:val="single" w:sz="10" w:space="0"/>
            </w:tcBorders>
            <w:vAlign w:val="center"/>
          </w:tcPr>
          <w:p w14:paraId="2846FA11">
            <w:pPr>
              <w:snapToGrid w:val="0"/>
              <w:jc w:val="center"/>
            </w:pPr>
            <w:r>
              <w:rPr>
                <w:rFonts w:ascii="宋体" w:hAnsi="宋体" w:eastAsia="宋体"/>
                <w:sz w:val="16"/>
              </w:rPr>
              <w:t>6</w:t>
            </w:r>
          </w:p>
        </w:tc>
        <w:tc>
          <w:tcPr>
            <w:tcW w:w="229" w:type="pct"/>
            <w:tcBorders>
              <w:top w:val="single" w:color="auto" w:sz="10" w:space="0"/>
              <w:left w:val="single" w:color="auto" w:sz="10" w:space="0"/>
              <w:bottom w:val="single" w:color="auto" w:sz="10" w:space="0"/>
              <w:right w:val="single" w:color="auto" w:sz="10" w:space="0"/>
              <w:insideV w:val="single" w:sz="10" w:space="0"/>
            </w:tcBorders>
            <w:vAlign w:val="center"/>
          </w:tcPr>
          <w:p w14:paraId="25B08BEA">
            <w:pPr>
              <w:snapToGrid w:val="0"/>
              <w:jc w:val="center"/>
            </w:pPr>
            <w:r>
              <w:rPr>
                <w:rFonts w:ascii="宋体" w:hAnsi="宋体" w:eastAsia="宋体"/>
                <w:sz w:val="16"/>
              </w:rPr>
              <w:t>计划标准</w:t>
            </w:r>
          </w:p>
        </w:tc>
        <w:tc>
          <w:tcPr>
            <w:tcW w:w="260" w:type="pct"/>
            <w:tcBorders>
              <w:top w:val="single" w:color="auto" w:sz="10" w:space="0"/>
              <w:left w:val="single" w:color="auto" w:sz="10" w:space="0"/>
              <w:bottom w:val="single" w:color="auto" w:sz="10" w:space="0"/>
              <w:right w:val="single" w:color="auto" w:sz="10" w:space="0"/>
              <w:insideV w:val="single" w:sz="10" w:space="0"/>
            </w:tcBorders>
            <w:vAlign w:val="center"/>
          </w:tcPr>
          <w:p w14:paraId="4044640C">
            <w:pPr>
              <w:snapToGrid w:val="0"/>
              <w:jc w:val="center"/>
            </w:pPr>
            <w:r>
              <w:rPr>
                <w:rFonts w:ascii="宋体" w:hAnsi="宋体" w:eastAsia="宋体"/>
                <w:sz w:val="16"/>
              </w:rPr>
              <w:t>90%</w:t>
            </w:r>
          </w:p>
        </w:tc>
        <w:tc>
          <w:tcPr>
            <w:tcW w:w="280" w:type="pct"/>
            <w:tcBorders>
              <w:top w:val="single" w:color="auto" w:sz="10" w:space="0"/>
              <w:left w:val="single" w:color="auto" w:sz="10" w:space="0"/>
              <w:bottom w:val="single" w:color="auto" w:sz="10" w:space="0"/>
              <w:right w:val="single" w:color="auto" w:sz="10" w:space="0"/>
              <w:insideV w:val="single" w:sz="10" w:space="0"/>
            </w:tcBorders>
            <w:vAlign w:val="center"/>
          </w:tcPr>
          <w:p w14:paraId="1A9D101D">
            <w:pPr>
              <w:snapToGrid w:val="0"/>
              <w:jc w:val="center"/>
            </w:pPr>
            <w:r>
              <w:rPr>
                <w:rFonts w:ascii="宋体" w:hAnsi="宋体" w:eastAsia="宋体"/>
                <w:sz w:val="16"/>
              </w:rPr>
              <w:t>按照完成比例赋分</w:t>
            </w:r>
          </w:p>
        </w:tc>
        <w:tc>
          <w:tcPr>
            <w:tcW w:w="216" w:type="pct"/>
            <w:tcBorders>
              <w:top w:val="single" w:color="auto" w:sz="10" w:space="0"/>
              <w:left w:val="single" w:color="auto" w:sz="10" w:space="0"/>
              <w:bottom w:val="single" w:color="auto" w:sz="10" w:space="0"/>
              <w:right w:val="single" w:color="auto" w:sz="10" w:space="0"/>
              <w:insideV w:val="single" w:sz="10" w:space="0"/>
            </w:tcBorders>
            <w:vAlign w:val="center"/>
          </w:tcPr>
          <w:p w14:paraId="3624A5B8">
            <w:pPr>
              <w:snapToGrid w:val="0"/>
              <w:jc w:val="center"/>
            </w:pPr>
            <w:r>
              <w:rPr>
                <w:rFonts w:ascii="宋体" w:hAnsi="宋体" w:eastAsia="宋体"/>
                <w:sz w:val="16"/>
              </w:rPr>
              <w:t>工作资料</w:t>
            </w:r>
          </w:p>
        </w:tc>
        <w:tc>
          <w:tcPr>
            <w:tcW w:w="686" w:type="pct"/>
            <w:tcBorders>
              <w:top w:val="single" w:color="auto" w:sz="10" w:space="0"/>
              <w:left w:val="single" w:color="auto" w:sz="10" w:space="0"/>
              <w:bottom w:val="single" w:color="auto" w:sz="10" w:space="0"/>
              <w:right w:val="single" w:color="auto" w:sz="10" w:space="0"/>
              <w:insideV w:val="single" w:sz="10" w:space="0"/>
            </w:tcBorders>
            <w:vAlign w:val="center"/>
          </w:tcPr>
          <w:p w14:paraId="75DEC45E">
            <w:pPr>
              <w:snapToGrid w:val="0"/>
              <w:jc w:val="center"/>
            </w:pPr>
          </w:p>
        </w:tc>
      </w:tr>
      <w:tr w14:paraId="38D773FD">
        <w:tblPrEx>
          <w:tblCellMar>
            <w:top w:w="40" w:type="dxa"/>
            <w:left w:w="64" w:type="dxa"/>
            <w:bottom w:w="40" w:type="dxa"/>
            <w:right w:w="64" w:type="dxa"/>
          </w:tblCellMar>
        </w:tblPrEx>
        <w:trPr>
          <w:trHeight w:val="0" w:hRule="atLeast"/>
          <w:jc w:val="center"/>
        </w:trPr>
        <w:tc>
          <w:tcPr>
            <w:tcW w:w="288" w:type="pct"/>
            <w:vMerge w:val="continue"/>
            <w:tcBorders>
              <w:top w:val="single" w:color="auto" w:sz="10" w:space="0"/>
              <w:left w:val="single" w:color="auto" w:sz="10" w:space="0"/>
              <w:bottom w:val="single" w:color="auto" w:sz="10" w:space="0"/>
              <w:right w:val="single" w:color="auto" w:sz="10" w:space="0"/>
              <w:insideV w:val="single" w:sz="10" w:space="0"/>
            </w:tcBorders>
          </w:tcPr>
          <w:p w14:paraId="106C048D">
            <w:pPr>
              <w:snapToGrid w:val="0"/>
            </w:pPr>
          </w:p>
        </w:tc>
        <w:tc>
          <w:tcPr>
            <w:tcW w:w="251" w:type="pct"/>
            <w:vMerge w:val="continue"/>
            <w:tcBorders>
              <w:top w:val="single" w:color="auto" w:sz="10" w:space="0"/>
              <w:left w:val="single" w:color="auto" w:sz="10" w:space="0"/>
              <w:bottom w:val="single" w:color="auto" w:sz="10" w:space="0"/>
              <w:right w:val="single" w:color="auto" w:sz="10" w:space="0"/>
              <w:insideV w:val="single" w:sz="10" w:space="0"/>
            </w:tcBorders>
          </w:tcPr>
          <w:p w14:paraId="2BD2DA4D">
            <w:pPr>
              <w:snapToGrid w:val="0"/>
            </w:pPr>
          </w:p>
        </w:tc>
        <w:tc>
          <w:tcPr>
            <w:tcW w:w="294" w:type="pct"/>
            <w:vMerge w:val="continue"/>
            <w:tcBorders>
              <w:top w:val="single" w:color="auto" w:sz="10" w:space="0"/>
              <w:left w:val="single" w:color="auto" w:sz="10" w:space="0"/>
              <w:bottom w:val="single" w:color="auto" w:sz="10" w:space="0"/>
              <w:right w:val="single" w:color="auto" w:sz="10" w:space="0"/>
              <w:insideV w:val="single" w:sz="10" w:space="0"/>
            </w:tcBorders>
          </w:tcPr>
          <w:p w14:paraId="0B571F05">
            <w:pPr>
              <w:snapToGrid w:val="0"/>
            </w:pPr>
          </w:p>
        </w:tc>
        <w:tc>
          <w:tcPr>
            <w:tcW w:w="420" w:type="pct"/>
            <w:tcBorders>
              <w:top w:val="single" w:color="auto" w:sz="10" w:space="0"/>
              <w:left w:val="single" w:color="auto" w:sz="10" w:space="0"/>
              <w:bottom w:val="single" w:color="auto" w:sz="10" w:space="0"/>
              <w:right w:val="single" w:color="auto" w:sz="10" w:space="0"/>
              <w:insideV w:val="single" w:sz="10" w:space="0"/>
            </w:tcBorders>
            <w:vAlign w:val="center"/>
          </w:tcPr>
          <w:p w14:paraId="5DA4FFD6">
            <w:pPr>
              <w:snapToGrid w:val="0"/>
              <w:jc w:val="center"/>
            </w:pPr>
            <w:r>
              <w:rPr>
                <w:rFonts w:ascii="宋体" w:hAnsi="宋体" w:eastAsia="宋体"/>
                <w:sz w:val="16"/>
              </w:rPr>
              <w:t>收集提案办结率</w:t>
            </w:r>
          </w:p>
        </w:tc>
        <w:tc>
          <w:tcPr>
            <w:tcW w:w="251" w:type="pct"/>
            <w:tcBorders>
              <w:top w:val="single" w:color="auto" w:sz="10" w:space="0"/>
              <w:left w:val="single" w:color="auto" w:sz="10" w:space="0"/>
              <w:bottom w:val="single" w:color="auto" w:sz="10" w:space="0"/>
              <w:right w:val="single" w:color="auto" w:sz="10" w:space="0"/>
              <w:insideV w:val="single" w:sz="10" w:space="0"/>
            </w:tcBorders>
            <w:vAlign w:val="center"/>
          </w:tcPr>
          <w:p w14:paraId="4D660035">
            <w:pPr>
              <w:snapToGrid w:val="0"/>
              <w:jc w:val="center"/>
            </w:pPr>
            <w:r>
              <w:rPr>
                <w:rFonts w:ascii="宋体" w:hAnsi="宋体" w:eastAsia="宋体"/>
                <w:sz w:val="16"/>
              </w:rPr>
              <w:t>6</w:t>
            </w:r>
          </w:p>
        </w:tc>
        <w:tc>
          <w:tcPr>
            <w:tcW w:w="615" w:type="pct"/>
            <w:tcBorders>
              <w:top w:val="single" w:color="auto" w:sz="10" w:space="0"/>
              <w:left w:val="single" w:color="auto" w:sz="10" w:space="0"/>
              <w:bottom w:val="single" w:color="auto" w:sz="10" w:space="0"/>
              <w:right w:val="single" w:color="auto" w:sz="10" w:space="0"/>
              <w:insideV w:val="single" w:sz="10" w:space="0"/>
            </w:tcBorders>
            <w:vAlign w:val="center"/>
          </w:tcPr>
          <w:p w14:paraId="5F8D4BDC">
            <w:pPr>
              <w:snapToGrid w:val="0"/>
              <w:jc w:val="center"/>
            </w:pPr>
            <w:r>
              <w:rPr>
                <w:rFonts w:ascii="宋体" w:hAnsi="宋体" w:eastAsia="宋体"/>
                <w:sz w:val="16"/>
              </w:rPr>
              <w:t>&gt;=90%</w:t>
            </w:r>
          </w:p>
        </w:tc>
        <w:tc>
          <w:tcPr>
            <w:tcW w:w="509" w:type="pct"/>
            <w:tcBorders>
              <w:top w:val="single" w:color="auto" w:sz="10" w:space="0"/>
              <w:left w:val="single" w:color="auto" w:sz="10" w:space="0"/>
              <w:bottom w:val="single" w:color="auto" w:sz="10" w:space="0"/>
              <w:right w:val="single" w:color="auto" w:sz="10" w:space="0"/>
              <w:insideV w:val="single" w:sz="10" w:space="0"/>
            </w:tcBorders>
            <w:vAlign w:val="center"/>
          </w:tcPr>
          <w:p w14:paraId="21EB4C29">
            <w:pPr>
              <w:snapToGrid w:val="0"/>
              <w:jc w:val="center"/>
            </w:pPr>
            <w:r>
              <w:rPr>
                <w:rFonts w:ascii="宋体" w:hAnsi="宋体" w:eastAsia="宋体"/>
                <w:sz w:val="16"/>
              </w:rPr>
              <w:t>91.08%</w:t>
            </w:r>
          </w:p>
        </w:tc>
        <w:tc>
          <w:tcPr>
            <w:tcW w:w="454" w:type="pct"/>
            <w:tcBorders>
              <w:top w:val="single" w:color="auto" w:sz="10" w:space="0"/>
              <w:left w:val="single" w:color="auto" w:sz="10" w:space="0"/>
              <w:bottom w:val="single" w:color="auto" w:sz="10" w:space="0"/>
              <w:right w:val="single" w:color="auto" w:sz="10" w:space="0"/>
              <w:insideV w:val="single" w:sz="10" w:space="0"/>
            </w:tcBorders>
            <w:vAlign w:val="center"/>
          </w:tcPr>
          <w:p w14:paraId="244CF0B7">
            <w:pPr>
              <w:snapToGrid w:val="0"/>
              <w:jc w:val="center"/>
            </w:pPr>
            <w:r>
              <w:rPr>
                <w:rFonts w:ascii="宋体" w:hAnsi="宋体" w:eastAsia="宋体"/>
                <w:sz w:val="16"/>
              </w:rPr>
              <w:t>101.2%</w:t>
            </w:r>
          </w:p>
        </w:tc>
        <w:tc>
          <w:tcPr>
            <w:tcW w:w="240" w:type="pct"/>
            <w:tcBorders>
              <w:top w:val="single" w:color="auto" w:sz="10" w:space="0"/>
              <w:left w:val="single" w:color="auto" w:sz="10" w:space="0"/>
              <w:bottom w:val="single" w:color="auto" w:sz="10" w:space="0"/>
              <w:right w:val="single" w:color="auto" w:sz="10" w:space="0"/>
              <w:insideV w:val="single" w:sz="10" w:space="0"/>
            </w:tcBorders>
            <w:vAlign w:val="center"/>
          </w:tcPr>
          <w:p w14:paraId="32ACEA71">
            <w:pPr>
              <w:snapToGrid w:val="0"/>
              <w:jc w:val="center"/>
            </w:pPr>
            <w:r>
              <w:rPr>
                <w:rFonts w:ascii="宋体" w:hAnsi="宋体" w:eastAsia="宋体"/>
                <w:sz w:val="16"/>
              </w:rPr>
              <w:t>6</w:t>
            </w:r>
          </w:p>
        </w:tc>
        <w:tc>
          <w:tcPr>
            <w:tcW w:w="229" w:type="pct"/>
            <w:tcBorders>
              <w:top w:val="single" w:color="auto" w:sz="10" w:space="0"/>
              <w:left w:val="single" w:color="auto" w:sz="10" w:space="0"/>
              <w:bottom w:val="single" w:color="auto" w:sz="10" w:space="0"/>
              <w:right w:val="single" w:color="auto" w:sz="10" w:space="0"/>
              <w:insideV w:val="single" w:sz="10" w:space="0"/>
            </w:tcBorders>
            <w:vAlign w:val="center"/>
          </w:tcPr>
          <w:p w14:paraId="4610CD8E">
            <w:pPr>
              <w:snapToGrid w:val="0"/>
              <w:jc w:val="center"/>
            </w:pPr>
            <w:r>
              <w:rPr>
                <w:rFonts w:ascii="宋体" w:hAnsi="宋体" w:eastAsia="宋体"/>
                <w:sz w:val="16"/>
              </w:rPr>
              <w:t>计划标准</w:t>
            </w:r>
          </w:p>
        </w:tc>
        <w:tc>
          <w:tcPr>
            <w:tcW w:w="260" w:type="pct"/>
            <w:tcBorders>
              <w:top w:val="single" w:color="auto" w:sz="10" w:space="0"/>
              <w:left w:val="single" w:color="auto" w:sz="10" w:space="0"/>
              <w:bottom w:val="single" w:color="auto" w:sz="10" w:space="0"/>
              <w:right w:val="single" w:color="auto" w:sz="10" w:space="0"/>
              <w:insideV w:val="single" w:sz="10" w:space="0"/>
            </w:tcBorders>
            <w:vAlign w:val="center"/>
          </w:tcPr>
          <w:p w14:paraId="7A84F44A">
            <w:pPr>
              <w:snapToGrid w:val="0"/>
              <w:jc w:val="center"/>
            </w:pPr>
            <w:r>
              <w:rPr>
                <w:rFonts w:ascii="宋体" w:hAnsi="宋体" w:eastAsia="宋体"/>
                <w:sz w:val="16"/>
              </w:rPr>
              <w:t>90%</w:t>
            </w:r>
          </w:p>
        </w:tc>
        <w:tc>
          <w:tcPr>
            <w:tcW w:w="280" w:type="pct"/>
            <w:tcBorders>
              <w:top w:val="single" w:color="auto" w:sz="10" w:space="0"/>
              <w:left w:val="single" w:color="auto" w:sz="10" w:space="0"/>
              <w:bottom w:val="single" w:color="auto" w:sz="10" w:space="0"/>
              <w:right w:val="single" w:color="auto" w:sz="10" w:space="0"/>
              <w:insideV w:val="single" w:sz="10" w:space="0"/>
            </w:tcBorders>
            <w:vAlign w:val="center"/>
          </w:tcPr>
          <w:p w14:paraId="7F0C5B60">
            <w:pPr>
              <w:snapToGrid w:val="0"/>
              <w:jc w:val="center"/>
            </w:pPr>
            <w:r>
              <w:rPr>
                <w:rFonts w:ascii="宋体" w:hAnsi="宋体" w:eastAsia="宋体"/>
                <w:sz w:val="16"/>
              </w:rPr>
              <w:t>按照完成比例赋分</w:t>
            </w:r>
          </w:p>
        </w:tc>
        <w:tc>
          <w:tcPr>
            <w:tcW w:w="216" w:type="pct"/>
            <w:tcBorders>
              <w:top w:val="single" w:color="auto" w:sz="10" w:space="0"/>
              <w:left w:val="single" w:color="auto" w:sz="10" w:space="0"/>
              <w:bottom w:val="single" w:color="auto" w:sz="10" w:space="0"/>
              <w:right w:val="single" w:color="auto" w:sz="10" w:space="0"/>
              <w:insideV w:val="single" w:sz="10" w:space="0"/>
            </w:tcBorders>
            <w:vAlign w:val="center"/>
          </w:tcPr>
          <w:p w14:paraId="6C7BD35F">
            <w:pPr>
              <w:snapToGrid w:val="0"/>
              <w:jc w:val="center"/>
            </w:pPr>
            <w:r>
              <w:rPr>
                <w:rFonts w:ascii="宋体" w:hAnsi="宋体" w:eastAsia="宋体"/>
                <w:sz w:val="16"/>
              </w:rPr>
              <w:t>工作资料</w:t>
            </w:r>
          </w:p>
        </w:tc>
        <w:tc>
          <w:tcPr>
            <w:tcW w:w="686" w:type="pct"/>
            <w:tcBorders>
              <w:top w:val="single" w:color="auto" w:sz="10" w:space="0"/>
              <w:left w:val="single" w:color="auto" w:sz="10" w:space="0"/>
              <w:bottom w:val="single" w:color="auto" w:sz="10" w:space="0"/>
              <w:right w:val="single" w:color="auto" w:sz="10" w:space="0"/>
              <w:insideV w:val="single" w:sz="10" w:space="0"/>
            </w:tcBorders>
            <w:vAlign w:val="center"/>
          </w:tcPr>
          <w:p w14:paraId="6958FF44">
            <w:pPr>
              <w:snapToGrid w:val="0"/>
              <w:jc w:val="center"/>
            </w:pPr>
            <w:r>
              <w:rPr>
                <w:rFonts w:ascii="宋体" w:hAnsi="宋体" w:eastAsia="宋体"/>
                <w:sz w:val="16"/>
              </w:rPr>
              <w:t>达到预期指标值。</w:t>
            </w:r>
          </w:p>
        </w:tc>
      </w:tr>
      <w:tr w14:paraId="6CB3FCB4">
        <w:tblPrEx>
          <w:tblCellMar>
            <w:top w:w="40" w:type="dxa"/>
            <w:left w:w="64" w:type="dxa"/>
            <w:bottom w:w="40" w:type="dxa"/>
            <w:right w:w="64" w:type="dxa"/>
          </w:tblCellMar>
        </w:tblPrEx>
        <w:trPr>
          <w:trHeight w:val="0" w:hRule="atLeast"/>
          <w:jc w:val="center"/>
        </w:trPr>
        <w:tc>
          <w:tcPr>
            <w:tcW w:w="288" w:type="pct"/>
            <w:vMerge w:val="continue"/>
            <w:tcBorders>
              <w:top w:val="single" w:color="auto" w:sz="10" w:space="0"/>
              <w:left w:val="single" w:color="auto" w:sz="10" w:space="0"/>
              <w:bottom w:val="single" w:color="auto" w:sz="10" w:space="0"/>
              <w:right w:val="single" w:color="auto" w:sz="10" w:space="0"/>
              <w:insideV w:val="single" w:sz="10" w:space="0"/>
            </w:tcBorders>
          </w:tcPr>
          <w:p w14:paraId="06513690">
            <w:pPr>
              <w:snapToGrid w:val="0"/>
            </w:pPr>
          </w:p>
        </w:tc>
        <w:tc>
          <w:tcPr>
            <w:tcW w:w="251" w:type="pct"/>
            <w:vMerge w:val="continue"/>
            <w:tcBorders>
              <w:top w:val="single" w:color="auto" w:sz="10" w:space="0"/>
              <w:left w:val="single" w:color="auto" w:sz="10" w:space="0"/>
              <w:bottom w:val="single" w:color="auto" w:sz="10" w:space="0"/>
              <w:right w:val="single" w:color="auto" w:sz="10" w:space="0"/>
              <w:insideV w:val="single" w:sz="10" w:space="0"/>
            </w:tcBorders>
          </w:tcPr>
          <w:p w14:paraId="3A5FCA80">
            <w:pPr>
              <w:snapToGrid w:val="0"/>
            </w:pPr>
          </w:p>
        </w:tc>
        <w:tc>
          <w:tcPr>
            <w:tcW w:w="294" w:type="pct"/>
            <w:tcBorders>
              <w:top w:val="single" w:color="auto" w:sz="10" w:space="0"/>
              <w:left w:val="single" w:color="auto" w:sz="10" w:space="0"/>
              <w:bottom w:val="single" w:color="auto" w:sz="10" w:space="0"/>
              <w:right w:val="single" w:color="auto" w:sz="10" w:space="0"/>
              <w:insideV w:val="single" w:sz="10" w:space="0"/>
            </w:tcBorders>
            <w:vAlign w:val="center"/>
          </w:tcPr>
          <w:p w14:paraId="432D2754">
            <w:pPr>
              <w:snapToGrid w:val="0"/>
              <w:jc w:val="center"/>
            </w:pPr>
            <w:r>
              <w:rPr>
                <w:rFonts w:ascii="宋体" w:hAnsi="宋体" w:eastAsia="宋体"/>
                <w:sz w:val="16"/>
              </w:rPr>
              <w:t>时效指标</w:t>
            </w:r>
          </w:p>
        </w:tc>
        <w:tc>
          <w:tcPr>
            <w:tcW w:w="420" w:type="pct"/>
            <w:tcBorders>
              <w:top w:val="single" w:color="auto" w:sz="10" w:space="0"/>
              <w:left w:val="single" w:color="auto" w:sz="10" w:space="0"/>
              <w:bottom w:val="single" w:color="auto" w:sz="10" w:space="0"/>
              <w:right w:val="single" w:color="auto" w:sz="10" w:space="0"/>
              <w:insideV w:val="single" w:sz="10" w:space="0"/>
            </w:tcBorders>
            <w:vAlign w:val="center"/>
          </w:tcPr>
          <w:p w14:paraId="6A713290">
            <w:pPr>
              <w:snapToGrid w:val="0"/>
              <w:jc w:val="center"/>
            </w:pPr>
            <w:r>
              <w:rPr>
                <w:rFonts w:ascii="宋体" w:hAnsi="宋体" w:eastAsia="宋体"/>
                <w:sz w:val="16"/>
              </w:rPr>
              <w:t>会议按期完成率</w:t>
            </w:r>
          </w:p>
        </w:tc>
        <w:tc>
          <w:tcPr>
            <w:tcW w:w="251" w:type="pct"/>
            <w:tcBorders>
              <w:top w:val="single" w:color="auto" w:sz="10" w:space="0"/>
              <w:left w:val="single" w:color="auto" w:sz="10" w:space="0"/>
              <w:bottom w:val="single" w:color="auto" w:sz="10" w:space="0"/>
              <w:right w:val="single" w:color="auto" w:sz="10" w:space="0"/>
              <w:insideV w:val="single" w:sz="10" w:space="0"/>
            </w:tcBorders>
            <w:vAlign w:val="center"/>
          </w:tcPr>
          <w:p w14:paraId="758B2845">
            <w:pPr>
              <w:snapToGrid w:val="0"/>
              <w:jc w:val="center"/>
            </w:pPr>
            <w:r>
              <w:rPr>
                <w:rFonts w:ascii="宋体" w:hAnsi="宋体" w:eastAsia="宋体"/>
                <w:sz w:val="16"/>
              </w:rPr>
              <w:t>6</w:t>
            </w:r>
          </w:p>
        </w:tc>
        <w:tc>
          <w:tcPr>
            <w:tcW w:w="615" w:type="pct"/>
            <w:tcBorders>
              <w:top w:val="single" w:color="auto" w:sz="10" w:space="0"/>
              <w:left w:val="single" w:color="auto" w:sz="10" w:space="0"/>
              <w:bottom w:val="single" w:color="auto" w:sz="10" w:space="0"/>
              <w:right w:val="single" w:color="auto" w:sz="10" w:space="0"/>
              <w:insideV w:val="single" w:sz="10" w:space="0"/>
            </w:tcBorders>
            <w:vAlign w:val="center"/>
          </w:tcPr>
          <w:p w14:paraId="7A04004C">
            <w:pPr>
              <w:snapToGrid w:val="0"/>
              <w:jc w:val="center"/>
            </w:pPr>
            <w:r>
              <w:rPr>
                <w:rFonts w:ascii="宋体" w:hAnsi="宋体" w:eastAsia="宋体"/>
                <w:sz w:val="16"/>
              </w:rPr>
              <w:t>&gt;=90%</w:t>
            </w:r>
          </w:p>
        </w:tc>
        <w:tc>
          <w:tcPr>
            <w:tcW w:w="509" w:type="pct"/>
            <w:tcBorders>
              <w:top w:val="single" w:color="auto" w:sz="10" w:space="0"/>
              <w:left w:val="single" w:color="auto" w:sz="10" w:space="0"/>
              <w:bottom w:val="single" w:color="auto" w:sz="10" w:space="0"/>
              <w:right w:val="single" w:color="auto" w:sz="10" w:space="0"/>
              <w:insideV w:val="single" w:sz="10" w:space="0"/>
            </w:tcBorders>
            <w:vAlign w:val="center"/>
          </w:tcPr>
          <w:p w14:paraId="4EDCDD11">
            <w:pPr>
              <w:snapToGrid w:val="0"/>
              <w:jc w:val="center"/>
            </w:pPr>
            <w:r>
              <w:rPr>
                <w:rFonts w:ascii="宋体" w:hAnsi="宋体" w:eastAsia="宋体"/>
                <w:sz w:val="16"/>
              </w:rPr>
              <w:t>100%</w:t>
            </w:r>
          </w:p>
        </w:tc>
        <w:tc>
          <w:tcPr>
            <w:tcW w:w="454" w:type="pct"/>
            <w:tcBorders>
              <w:top w:val="single" w:color="auto" w:sz="10" w:space="0"/>
              <w:left w:val="single" w:color="auto" w:sz="10" w:space="0"/>
              <w:bottom w:val="single" w:color="auto" w:sz="10" w:space="0"/>
              <w:right w:val="single" w:color="auto" w:sz="10" w:space="0"/>
              <w:insideV w:val="single" w:sz="10" w:space="0"/>
            </w:tcBorders>
            <w:vAlign w:val="center"/>
          </w:tcPr>
          <w:p w14:paraId="48821E68">
            <w:pPr>
              <w:snapToGrid w:val="0"/>
              <w:jc w:val="center"/>
            </w:pPr>
            <w:r>
              <w:rPr>
                <w:rFonts w:ascii="宋体" w:hAnsi="宋体" w:eastAsia="宋体"/>
                <w:sz w:val="16"/>
              </w:rPr>
              <w:t>100%</w:t>
            </w:r>
          </w:p>
        </w:tc>
        <w:tc>
          <w:tcPr>
            <w:tcW w:w="240" w:type="pct"/>
            <w:tcBorders>
              <w:top w:val="single" w:color="auto" w:sz="10" w:space="0"/>
              <w:left w:val="single" w:color="auto" w:sz="10" w:space="0"/>
              <w:bottom w:val="single" w:color="auto" w:sz="10" w:space="0"/>
              <w:right w:val="single" w:color="auto" w:sz="10" w:space="0"/>
              <w:insideV w:val="single" w:sz="10" w:space="0"/>
            </w:tcBorders>
            <w:vAlign w:val="center"/>
          </w:tcPr>
          <w:p w14:paraId="32170AA6">
            <w:pPr>
              <w:snapToGrid w:val="0"/>
              <w:jc w:val="center"/>
            </w:pPr>
            <w:r>
              <w:rPr>
                <w:rFonts w:ascii="宋体" w:hAnsi="宋体" w:eastAsia="宋体"/>
                <w:sz w:val="16"/>
              </w:rPr>
              <w:t>6</w:t>
            </w:r>
          </w:p>
        </w:tc>
        <w:tc>
          <w:tcPr>
            <w:tcW w:w="229" w:type="pct"/>
            <w:tcBorders>
              <w:top w:val="single" w:color="auto" w:sz="10" w:space="0"/>
              <w:left w:val="single" w:color="auto" w:sz="10" w:space="0"/>
              <w:bottom w:val="single" w:color="auto" w:sz="10" w:space="0"/>
              <w:right w:val="single" w:color="auto" w:sz="10" w:space="0"/>
              <w:insideV w:val="single" w:sz="10" w:space="0"/>
            </w:tcBorders>
            <w:vAlign w:val="center"/>
          </w:tcPr>
          <w:p w14:paraId="0A340150">
            <w:pPr>
              <w:snapToGrid w:val="0"/>
              <w:jc w:val="center"/>
            </w:pPr>
            <w:r>
              <w:rPr>
                <w:rFonts w:ascii="宋体" w:hAnsi="宋体" w:eastAsia="宋体"/>
                <w:sz w:val="16"/>
              </w:rPr>
              <w:t>计划标准</w:t>
            </w:r>
          </w:p>
        </w:tc>
        <w:tc>
          <w:tcPr>
            <w:tcW w:w="260" w:type="pct"/>
            <w:tcBorders>
              <w:top w:val="single" w:color="auto" w:sz="10" w:space="0"/>
              <w:left w:val="single" w:color="auto" w:sz="10" w:space="0"/>
              <w:bottom w:val="single" w:color="auto" w:sz="10" w:space="0"/>
              <w:right w:val="single" w:color="auto" w:sz="10" w:space="0"/>
              <w:insideV w:val="single" w:sz="10" w:space="0"/>
            </w:tcBorders>
            <w:vAlign w:val="center"/>
          </w:tcPr>
          <w:p w14:paraId="09559158">
            <w:pPr>
              <w:snapToGrid w:val="0"/>
              <w:jc w:val="center"/>
            </w:pPr>
            <w:r>
              <w:rPr>
                <w:rFonts w:ascii="宋体" w:hAnsi="宋体" w:eastAsia="宋体"/>
                <w:sz w:val="16"/>
              </w:rPr>
              <w:t>90%</w:t>
            </w:r>
          </w:p>
        </w:tc>
        <w:tc>
          <w:tcPr>
            <w:tcW w:w="280" w:type="pct"/>
            <w:tcBorders>
              <w:top w:val="single" w:color="auto" w:sz="10" w:space="0"/>
              <w:left w:val="single" w:color="auto" w:sz="10" w:space="0"/>
              <w:bottom w:val="single" w:color="auto" w:sz="10" w:space="0"/>
              <w:right w:val="single" w:color="auto" w:sz="10" w:space="0"/>
              <w:insideV w:val="single" w:sz="10" w:space="0"/>
            </w:tcBorders>
            <w:vAlign w:val="center"/>
          </w:tcPr>
          <w:p w14:paraId="431C12C1">
            <w:pPr>
              <w:snapToGrid w:val="0"/>
              <w:jc w:val="center"/>
            </w:pPr>
            <w:r>
              <w:rPr>
                <w:rFonts w:ascii="宋体" w:hAnsi="宋体" w:eastAsia="宋体"/>
                <w:sz w:val="16"/>
              </w:rPr>
              <w:t>按照完成比例赋分</w:t>
            </w:r>
          </w:p>
        </w:tc>
        <w:tc>
          <w:tcPr>
            <w:tcW w:w="216" w:type="pct"/>
            <w:tcBorders>
              <w:top w:val="single" w:color="auto" w:sz="10" w:space="0"/>
              <w:left w:val="single" w:color="auto" w:sz="10" w:space="0"/>
              <w:bottom w:val="single" w:color="auto" w:sz="10" w:space="0"/>
              <w:right w:val="single" w:color="auto" w:sz="10" w:space="0"/>
              <w:insideV w:val="single" w:sz="10" w:space="0"/>
            </w:tcBorders>
            <w:vAlign w:val="center"/>
          </w:tcPr>
          <w:p w14:paraId="1340B12F">
            <w:pPr>
              <w:snapToGrid w:val="0"/>
              <w:jc w:val="center"/>
            </w:pPr>
            <w:r>
              <w:rPr>
                <w:rFonts w:ascii="宋体" w:hAnsi="宋体" w:eastAsia="宋体"/>
                <w:sz w:val="16"/>
              </w:rPr>
              <w:t>工作资料</w:t>
            </w:r>
          </w:p>
        </w:tc>
        <w:tc>
          <w:tcPr>
            <w:tcW w:w="686" w:type="pct"/>
            <w:tcBorders>
              <w:top w:val="single" w:color="auto" w:sz="10" w:space="0"/>
              <w:left w:val="single" w:color="auto" w:sz="10" w:space="0"/>
              <w:bottom w:val="single" w:color="auto" w:sz="10" w:space="0"/>
              <w:right w:val="single" w:color="auto" w:sz="10" w:space="0"/>
              <w:insideV w:val="single" w:sz="10" w:space="0"/>
            </w:tcBorders>
            <w:vAlign w:val="center"/>
          </w:tcPr>
          <w:p w14:paraId="18AAE793">
            <w:pPr>
              <w:snapToGrid w:val="0"/>
              <w:jc w:val="center"/>
            </w:pPr>
          </w:p>
        </w:tc>
      </w:tr>
      <w:tr w14:paraId="6F8589CE">
        <w:tblPrEx>
          <w:tblCellMar>
            <w:top w:w="40" w:type="dxa"/>
            <w:left w:w="64" w:type="dxa"/>
            <w:bottom w:w="40" w:type="dxa"/>
            <w:right w:w="64" w:type="dxa"/>
          </w:tblCellMar>
        </w:tblPrEx>
        <w:trPr>
          <w:trHeight w:val="0" w:hRule="atLeast"/>
          <w:jc w:val="center"/>
        </w:trPr>
        <w:tc>
          <w:tcPr>
            <w:tcW w:w="288" w:type="pct"/>
            <w:vMerge w:val="continue"/>
            <w:tcBorders>
              <w:top w:val="single" w:color="auto" w:sz="10" w:space="0"/>
              <w:left w:val="single" w:color="auto" w:sz="10" w:space="0"/>
              <w:bottom w:val="single" w:color="auto" w:sz="10" w:space="0"/>
              <w:right w:val="single" w:color="auto" w:sz="10" w:space="0"/>
              <w:insideV w:val="single" w:sz="10" w:space="0"/>
            </w:tcBorders>
          </w:tcPr>
          <w:p w14:paraId="721B1D64">
            <w:pPr>
              <w:snapToGrid w:val="0"/>
            </w:pPr>
          </w:p>
        </w:tc>
        <w:tc>
          <w:tcPr>
            <w:tcW w:w="251" w:type="pct"/>
            <w:tcBorders>
              <w:top w:val="single" w:color="auto" w:sz="10" w:space="0"/>
              <w:left w:val="single" w:color="auto" w:sz="10" w:space="0"/>
              <w:bottom w:val="single" w:color="auto" w:sz="10" w:space="0"/>
              <w:right w:val="single" w:color="auto" w:sz="10" w:space="0"/>
              <w:insideV w:val="single" w:sz="10" w:space="0"/>
            </w:tcBorders>
            <w:vAlign w:val="center"/>
          </w:tcPr>
          <w:p w14:paraId="63CC74E0">
            <w:pPr>
              <w:snapToGrid w:val="0"/>
              <w:jc w:val="center"/>
            </w:pPr>
            <w:r>
              <w:rPr>
                <w:rFonts w:ascii="宋体" w:hAnsi="宋体" w:eastAsia="宋体"/>
                <w:sz w:val="16"/>
              </w:rPr>
              <w:t>成本指标</w:t>
            </w:r>
          </w:p>
        </w:tc>
        <w:tc>
          <w:tcPr>
            <w:tcW w:w="294" w:type="pct"/>
            <w:tcBorders>
              <w:top w:val="single" w:color="auto" w:sz="10" w:space="0"/>
              <w:left w:val="single" w:color="auto" w:sz="10" w:space="0"/>
              <w:bottom w:val="single" w:color="auto" w:sz="10" w:space="0"/>
              <w:right w:val="single" w:color="auto" w:sz="10" w:space="0"/>
              <w:insideV w:val="single" w:sz="10" w:space="0"/>
            </w:tcBorders>
            <w:vAlign w:val="center"/>
          </w:tcPr>
          <w:p w14:paraId="17D3D7A6">
            <w:pPr>
              <w:snapToGrid w:val="0"/>
              <w:jc w:val="center"/>
            </w:pPr>
            <w:r>
              <w:rPr>
                <w:rFonts w:ascii="宋体" w:hAnsi="宋体" w:eastAsia="宋体"/>
                <w:sz w:val="16"/>
              </w:rPr>
              <w:t>经济成本指标</w:t>
            </w:r>
          </w:p>
        </w:tc>
        <w:tc>
          <w:tcPr>
            <w:tcW w:w="420" w:type="pct"/>
            <w:tcBorders>
              <w:top w:val="single" w:color="auto" w:sz="10" w:space="0"/>
              <w:left w:val="single" w:color="auto" w:sz="10" w:space="0"/>
              <w:bottom w:val="single" w:color="auto" w:sz="10" w:space="0"/>
              <w:right w:val="single" w:color="auto" w:sz="10" w:space="0"/>
              <w:insideV w:val="single" w:sz="10" w:space="0"/>
            </w:tcBorders>
            <w:vAlign w:val="center"/>
          </w:tcPr>
          <w:p w14:paraId="7A864E4D">
            <w:pPr>
              <w:snapToGrid w:val="0"/>
              <w:jc w:val="center"/>
            </w:pPr>
            <w:r>
              <w:rPr>
                <w:rFonts w:ascii="宋体" w:hAnsi="宋体" w:eastAsia="宋体"/>
                <w:sz w:val="16"/>
              </w:rPr>
              <w:t>会议经费人均费用</w:t>
            </w:r>
          </w:p>
        </w:tc>
        <w:tc>
          <w:tcPr>
            <w:tcW w:w="251" w:type="pct"/>
            <w:tcBorders>
              <w:top w:val="single" w:color="auto" w:sz="10" w:space="0"/>
              <w:left w:val="single" w:color="auto" w:sz="10" w:space="0"/>
              <w:bottom w:val="single" w:color="auto" w:sz="10" w:space="0"/>
              <w:right w:val="single" w:color="auto" w:sz="10" w:space="0"/>
              <w:insideV w:val="single" w:sz="10" w:space="0"/>
            </w:tcBorders>
            <w:vAlign w:val="center"/>
          </w:tcPr>
          <w:p w14:paraId="6B53D7A0">
            <w:pPr>
              <w:snapToGrid w:val="0"/>
              <w:jc w:val="center"/>
            </w:pPr>
            <w:r>
              <w:rPr>
                <w:rFonts w:ascii="宋体" w:hAnsi="宋体" w:eastAsia="宋体"/>
                <w:sz w:val="16"/>
              </w:rPr>
              <w:t>20</w:t>
            </w:r>
          </w:p>
        </w:tc>
        <w:tc>
          <w:tcPr>
            <w:tcW w:w="615" w:type="pct"/>
            <w:tcBorders>
              <w:top w:val="single" w:color="auto" w:sz="10" w:space="0"/>
              <w:left w:val="single" w:color="auto" w:sz="10" w:space="0"/>
              <w:bottom w:val="single" w:color="auto" w:sz="10" w:space="0"/>
              <w:right w:val="single" w:color="auto" w:sz="10" w:space="0"/>
              <w:insideV w:val="single" w:sz="10" w:space="0"/>
            </w:tcBorders>
            <w:vAlign w:val="center"/>
          </w:tcPr>
          <w:p w14:paraId="682F110D">
            <w:pPr>
              <w:snapToGrid w:val="0"/>
              <w:jc w:val="center"/>
            </w:pPr>
            <w:r>
              <w:rPr>
                <w:rFonts w:ascii="宋体" w:hAnsi="宋体" w:eastAsia="宋体"/>
                <w:sz w:val="16"/>
              </w:rPr>
              <w:t>&lt;=1285.71元/人</w:t>
            </w:r>
          </w:p>
        </w:tc>
        <w:tc>
          <w:tcPr>
            <w:tcW w:w="509" w:type="pct"/>
            <w:tcBorders>
              <w:top w:val="single" w:color="auto" w:sz="10" w:space="0"/>
              <w:left w:val="single" w:color="auto" w:sz="10" w:space="0"/>
              <w:bottom w:val="single" w:color="auto" w:sz="10" w:space="0"/>
              <w:right w:val="single" w:color="auto" w:sz="10" w:space="0"/>
              <w:insideV w:val="single" w:sz="10" w:space="0"/>
            </w:tcBorders>
            <w:vAlign w:val="center"/>
          </w:tcPr>
          <w:p w14:paraId="5774190A">
            <w:pPr>
              <w:snapToGrid w:val="0"/>
              <w:jc w:val="center"/>
            </w:pPr>
            <w:r>
              <w:rPr>
                <w:rFonts w:ascii="宋体" w:hAnsi="宋体" w:eastAsia="宋体"/>
                <w:sz w:val="16"/>
              </w:rPr>
              <w:t>1258.74元/人</w:t>
            </w:r>
          </w:p>
        </w:tc>
        <w:tc>
          <w:tcPr>
            <w:tcW w:w="454" w:type="pct"/>
            <w:tcBorders>
              <w:top w:val="single" w:color="auto" w:sz="10" w:space="0"/>
              <w:left w:val="single" w:color="auto" w:sz="10" w:space="0"/>
              <w:bottom w:val="single" w:color="auto" w:sz="10" w:space="0"/>
              <w:right w:val="single" w:color="auto" w:sz="10" w:space="0"/>
              <w:insideV w:val="single" w:sz="10" w:space="0"/>
            </w:tcBorders>
            <w:vAlign w:val="center"/>
          </w:tcPr>
          <w:p w14:paraId="4FA6C88B">
            <w:pPr>
              <w:snapToGrid w:val="0"/>
              <w:jc w:val="center"/>
            </w:pPr>
            <w:r>
              <w:rPr>
                <w:rFonts w:ascii="宋体" w:hAnsi="宋体" w:eastAsia="宋体"/>
                <w:sz w:val="16"/>
              </w:rPr>
              <w:t>100%</w:t>
            </w:r>
          </w:p>
        </w:tc>
        <w:tc>
          <w:tcPr>
            <w:tcW w:w="240" w:type="pct"/>
            <w:tcBorders>
              <w:top w:val="single" w:color="auto" w:sz="10" w:space="0"/>
              <w:left w:val="single" w:color="auto" w:sz="10" w:space="0"/>
              <w:bottom w:val="single" w:color="auto" w:sz="10" w:space="0"/>
              <w:right w:val="single" w:color="auto" w:sz="10" w:space="0"/>
              <w:insideV w:val="single" w:sz="10" w:space="0"/>
            </w:tcBorders>
            <w:vAlign w:val="center"/>
          </w:tcPr>
          <w:p w14:paraId="4B082258">
            <w:pPr>
              <w:snapToGrid w:val="0"/>
              <w:jc w:val="center"/>
            </w:pPr>
            <w:r>
              <w:rPr>
                <w:rFonts w:ascii="宋体" w:hAnsi="宋体" w:eastAsia="宋体"/>
                <w:sz w:val="16"/>
              </w:rPr>
              <w:t>20</w:t>
            </w:r>
          </w:p>
        </w:tc>
        <w:tc>
          <w:tcPr>
            <w:tcW w:w="229" w:type="pct"/>
            <w:tcBorders>
              <w:top w:val="single" w:color="auto" w:sz="10" w:space="0"/>
              <w:left w:val="single" w:color="auto" w:sz="10" w:space="0"/>
              <w:bottom w:val="single" w:color="auto" w:sz="10" w:space="0"/>
              <w:right w:val="single" w:color="auto" w:sz="10" w:space="0"/>
              <w:insideV w:val="single" w:sz="10" w:space="0"/>
            </w:tcBorders>
            <w:vAlign w:val="center"/>
          </w:tcPr>
          <w:p w14:paraId="0687C1FF">
            <w:pPr>
              <w:snapToGrid w:val="0"/>
              <w:jc w:val="center"/>
            </w:pPr>
            <w:r>
              <w:rPr>
                <w:rFonts w:ascii="宋体" w:hAnsi="宋体" w:eastAsia="宋体"/>
                <w:sz w:val="16"/>
              </w:rPr>
              <w:t>计划标准</w:t>
            </w:r>
          </w:p>
        </w:tc>
        <w:tc>
          <w:tcPr>
            <w:tcW w:w="260" w:type="pct"/>
            <w:tcBorders>
              <w:top w:val="single" w:color="auto" w:sz="10" w:space="0"/>
              <w:left w:val="single" w:color="auto" w:sz="10" w:space="0"/>
              <w:bottom w:val="single" w:color="auto" w:sz="10" w:space="0"/>
              <w:right w:val="single" w:color="auto" w:sz="10" w:space="0"/>
              <w:insideV w:val="single" w:sz="10" w:space="0"/>
            </w:tcBorders>
            <w:vAlign w:val="center"/>
          </w:tcPr>
          <w:p w14:paraId="0BA2786D">
            <w:pPr>
              <w:snapToGrid w:val="0"/>
              <w:jc w:val="center"/>
            </w:pPr>
            <w:r>
              <w:rPr>
                <w:rFonts w:ascii="宋体" w:hAnsi="宋体" w:eastAsia="宋体"/>
                <w:sz w:val="16"/>
              </w:rPr>
              <w:t>无</w:t>
            </w:r>
          </w:p>
        </w:tc>
        <w:tc>
          <w:tcPr>
            <w:tcW w:w="280" w:type="pct"/>
            <w:tcBorders>
              <w:top w:val="single" w:color="auto" w:sz="10" w:space="0"/>
              <w:left w:val="single" w:color="auto" w:sz="10" w:space="0"/>
              <w:bottom w:val="single" w:color="auto" w:sz="10" w:space="0"/>
              <w:right w:val="single" w:color="auto" w:sz="10" w:space="0"/>
              <w:insideV w:val="single" w:sz="10" w:space="0"/>
            </w:tcBorders>
            <w:vAlign w:val="center"/>
          </w:tcPr>
          <w:p w14:paraId="40872399">
            <w:pPr>
              <w:snapToGrid w:val="0"/>
              <w:jc w:val="center"/>
            </w:pPr>
            <w:r>
              <w:rPr>
                <w:rFonts w:ascii="宋体" w:hAnsi="宋体" w:eastAsia="宋体"/>
                <w:sz w:val="16"/>
              </w:rPr>
              <w:t>按照完成比例赋分</w:t>
            </w:r>
          </w:p>
        </w:tc>
        <w:tc>
          <w:tcPr>
            <w:tcW w:w="216" w:type="pct"/>
            <w:tcBorders>
              <w:top w:val="single" w:color="auto" w:sz="10" w:space="0"/>
              <w:left w:val="single" w:color="auto" w:sz="10" w:space="0"/>
              <w:bottom w:val="single" w:color="auto" w:sz="10" w:space="0"/>
              <w:right w:val="single" w:color="auto" w:sz="10" w:space="0"/>
              <w:insideV w:val="single" w:sz="10" w:space="0"/>
            </w:tcBorders>
            <w:vAlign w:val="center"/>
          </w:tcPr>
          <w:p w14:paraId="52A7A92E">
            <w:pPr>
              <w:snapToGrid w:val="0"/>
              <w:jc w:val="center"/>
            </w:pPr>
            <w:r>
              <w:rPr>
                <w:rFonts w:ascii="宋体" w:hAnsi="宋体" w:eastAsia="宋体"/>
                <w:sz w:val="16"/>
              </w:rPr>
              <w:t>原始凭证</w:t>
            </w:r>
          </w:p>
        </w:tc>
        <w:tc>
          <w:tcPr>
            <w:tcW w:w="686" w:type="pct"/>
            <w:tcBorders>
              <w:top w:val="single" w:color="auto" w:sz="10" w:space="0"/>
              <w:left w:val="single" w:color="auto" w:sz="10" w:space="0"/>
              <w:bottom w:val="single" w:color="auto" w:sz="10" w:space="0"/>
              <w:right w:val="single" w:color="auto" w:sz="10" w:space="0"/>
              <w:insideV w:val="single" w:sz="10" w:space="0"/>
            </w:tcBorders>
            <w:vAlign w:val="center"/>
          </w:tcPr>
          <w:p w14:paraId="32C3B428">
            <w:pPr>
              <w:snapToGrid w:val="0"/>
              <w:jc w:val="center"/>
            </w:pPr>
          </w:p>
        </w:tc>
      </w:tr>
      <w:tr w14:paraId="51044694">
        <w:tblPrEx>
          <w:tblCellMar>
            <w:top w:w="40" w:type="dxa"/>
            <w:left w:w="64" w:type="dxa"/>
            <w:bottom w:w="40" w:type="dxa"/>
            <w:right w:w="64" w:type="dxa"/>
          </w:tblCellMar>
        </w:tblPrEx>
        <w:trPr>
          <w:trHeight w:val="0" w:hRule="atLeast"/>
          <w:jc w:val="center"/>
        </w:trPr>
        <w:tc>
          <w:tcPr>
            <w:tcW w:w="288" w:type="pct"/>
            <w:vMerge w:val="continue"/>
            <w:tcBorders>
              <w:top w:val="single" w:color="auto" w:sz="10" w:space="0"/>
              <w:left w:val="single" w:color="auto" w:sz="10" w:space="0"/>
              <w:bottom w:val="single" w:color="auto" w:sz="10" w:space="0"/>
              <w:right w:val="single" w:color="auto" w:sz="10" w:space="0"/>
              <w:insideV w:val="single" w:sz="10" w:space="0"/>
            </w:tcBorders>
          </w:tcPr>
          <w:p w14:paraId="077BFEAF">
            <w:pPr>
              <w:snapToGrid w:val="0"/>
            </w:pPr>
          </w:p>
        </w:tc>
        <w:tc>
          <w:tcPr>
            <w:tcW w:w="251" w:type="pct"/>
            <w:tcBorders>
              <w:top w:val="single" w:color="auto" w:sz="10" w:space="0"/>
              <w:left w:val="single" w:color="auto" w:sz="10" w:space="0"/>
              <w:bottom w:val="single" w:color="auto" w:sz="10" w:space="0"/>
              <w:right w:val="single" w:color="auto" w:sz="10" w:space="0"/>
              <w:insideV w:val="single" w:sz="10" w:space="0"/>
            </w:tcBorders>
            <w:vAlign w:val="center"/>
          </w:tcPr>
          <w:p w14:paraId="0CEA32C1">
            <w:pPr>
              <w:snapToGrid w:val="0"/>
              <w:jc w:val="center"/>
            </w:pPr>
            <w:r>
              <w:rPr>
                <w:rFonts w:ascii="宋体" w:hAnsi="宋体" w:eastAsia="宋体"/>
                <w:sz w:val="16"/>
              </w:rPr>
              <w:t>效益指标</w:t>
            </w:r>
          </w:p>
        </w:tc>
        <w:tc>
          <w:tcPr>
            <w:tcW w:w="294" w:type="pct"/>
            <w:tcBorders>
              <w:top w:val="single" w:color="auto" w:sz="10" w:space="0"/>
              <w:left w:val="single" w:color="auto" w:sz="10" w:space="0"/>
              <w:bottom w:val="single" w:color="auto" w:sz="10" w:space="0"/>
              <w:right w:val="single" w:color="auto" w:sz="10" w:space="0"/>
              <w:insideV w:val="single" w:sz="10" w:space="0"/>
            </w:tcBorders>
            <w:vAlign w:val="center"/>
          </w:tcPr>
          <w:p w14:paraId="59B303DC">
            <w:pPr>
              <w:snapToGrid w:val="0"/>
              <w:jc w:val="center"/>
            </w:pPr>
            <w:r>
              <w:rPr>
                <w:rFonts w:ascii="宋体" w:hAnsi="宋体" w:eastAsia="宋体"/>
                <w:sz w:val="16"/>
              </w:rPr>
              <w:t>社会效益指标</w:t>
            </w:r>
          </w:p>
        </w:tc>
        <w:tc>
          <w:tcPr>
            <w:tcW w:w="420" w:type="pct"/>
            <w:tcBorders>
              <w:top w:val="single" w:color="auto" w:sz="10" w:space="0"/>
              <w:left w:val="single" w:color="auto" w:sz="10" w:space="0"/>
              <w:bottom w:val="single" w:color="auto" w:sz="10" w:space="0"/>
              <w:right w:val="single" w:color="auto" w:sz="10" w:space="0"/>
              <w:insideV w:val="single" w:sz="10" w:space="0"/>
            </w:tcBorders>
            <w:vAlign w:val="center"/>
          </w:tcPr>
          <w:p w14:paraId="62C6193E">
            <w:pPr>
              <w:snapToGrid w:val="0"/>
              <w:jc w:val="center"/>
            </w:pPr>
            <w:r>
              <w:rPr>
                <w:rFonts w:ascii="宋体" w:hAnsi="宋体" w:eastAsia="宋体"/>
                <w:sz w:val="16"/>
              </w:rPr>
              <w:t>提升政协委员履职能力</w:t>
            </w:r>
          </w:p>
        </w:tc>
        <w:tc>
          <w:tcPr>
            <w:tcW w:w="251" w:type="pct"/>
            <w:tcBorders>
              <w:top w:val="single" w:color="auto" w:sz="10" w:space="0"/>
              <w:left w:val="single" w:color="auto" w:sz="10" w:space="0"/>
              <w:bottom w:val="single" w:color="auto" w:sz="10" w:space="0"/>
              <w:right w:val="single" w:color="auto" w:sz="10" w:space="0"/>
              <w:insideV w:val="single" w:sz="10" w:space="0"/>
            </w:tcBorders>
            <w:vAlign w:val="center"/>
          </w:tcPr>
          <w:p w14:paraId="292AB0B8">
            <w:pPr>
              <w:snapToGrid w:val="0"/>
              <w:jc w:val="center"/>
            </w:pPr>
            <w:r>
              <w:rPr>
                <w:rFonts w:ascii="宋体" w:hAnsi="宋体" w:eastAsia="宋体"/>
                <w:sz w:val="16"/>
              </w:rPr>
              <w:t>30</w:t>
            </w:r>
          </w:p>
        </w:tc>
        <w:tc>
          <w:tcPr>
            <w:tcW w:w="615" w:type="pct"/>
            <w:tcBorders>
              <w:top w:val="single" w:color="auto" w:sz="10" w:space="0"/>
              <w:left w:val="single" w:color="auto" w:sz="10" w:space="0"/>
              <w:bottom w:val="single" w:color="auto" w:sz="10" w:space="0"/>
              <w:right w:val="single" w:color="auto" w:sz="10" w:space="0"/>
              <w:insideV w:val="single" w:sz="10" w:space="0"/>
            </w:tcBorders>
            <w:vAlign w:val="center"/>
          </w:tcPr>
          <w:p w14:paraId="731E6CAD">
            <w:pPr>
              <w:snapToGrid w:val="0"/>
              <w:jc w:val="center"/>
            </w:pPr>
            <w:r>
              <w:rPr>
                <w:rFonts w:ascii="宋体" w:hAnsi="宋体" w:eastAsia="宋体"/>
                <w:sz w:val="16"/>
              </w:rPr>
              <w:t>显著提升</w:t>
            </w:r>
          </w:p>
        </w:tc>
        <w:tc>
          <w:tcPr>
            <w:tcW w:w="509" w:type="pct"/>
            <w:tcBorders>
              <w:top w:val="single" w:color="auto" w:sz="10" w:space="0"/>
              <w:left w:val="single" w:color="auto" w:sz="10" w:space="0"/>
              <w:bottom w:val="single" w:color="auto" w:sz="10" w:space="0"/>
              <w:right w:val="single" w:color="auto" w:sz="10" w:space="0"/>
              <w:insideV w:val="single" w:sz="10" w:space="0"/>
            </w:tcBorders>
            <w:vAlign w:val="center"/>
          </w:tcPr>
          <w:p w14:paraId="4F28773D">
            <w:pPr>
              <w:snapToGrid w:val="0"/>
              <w:jc w:val="center"/>
            </w:pPr>
            <w:r>
              <w:rPr>
                <w:rFonts w:ascii="宋体" w:hAnsi="宋体" w:eastAsia="宋体"/>
                <w:sz w:val="16"/>
              </w:rPr>
              <w:t>有效提升</w:t>
            </w:r>
          </w:p>
        </w:tc>
        <w:tc>
          <w:tcPr>
            <w:tcW w:w="454" w:type="pct"/>
            <w:tcBorders>
              <w:top w:val="single" w:color="auto" w:sz="10" w:space="0"/>
              <w:left w:val="single" w:color="auto" w:sz="10" w:space="0"/>
              <w:bottom w:val="single" w:color="auto" w:sz="10" w:space="0"/>
              <w:right w:val="single" w:color="auto" w:sz="10" w:space="0"/>
              <w:insideV w:val="single" w:sz="10" w:space="0"/>
            </w:tcBorders>
            <w:vAlign w:val="center"/>
          </w:tcPr>
          <w:p w14:paraId="725E2917">
            <w:pPr>
              <w:snapToGrid w:val="0"/>
              <w:jc w:val="center"/>
            </w:pPr>
            <w:r>
              <w:rPr>
                <w:rFonts w:ascii="宋体" w:hAnsi="宋体" w:eastAsia="宋体"/>
                <w:sz w:val="16"/>
              </w:rPr>
              <w:t>100%</w:t>
            </w:r>
          </w:p>
        </w:tc>
        <w:tc>
          <w:tcPr>
            <w:tcW w:w="240" w:type="pct"/>
            <w:tcBorders>
              <w:top w:val="single" w:color="auto" w:sz="10" w:space="0"/>
              <w:left w:val="single" w:color="auto" w:sz="10" w:space="0"/>
              <w:bottom w:val="single" w:color="auto" w:sz="10" w:space="0"/>
              <w:right w:val="single" w:color="auto" w:sz="10" w:space="0"/>
              <w:insideV w:val="single" w:sz="10" w:space="0"/>
            </w:tcBorders>
            <w:vAlign w:val="center"/>
          </w:tcPr>
          <w:p w14:paraId="3A77300F">
            <w:pPr>
              <w:snapToGrid w:val="0"/>
              <w:jc w:val="center"/>
            </w:pPr>
            <w:r>
              <w:rPr>
                <w:rFonts w:ascii="宋体" w:hAnsi="宋体" w:eastAsia="宋体"/>
                <w:sz w:val="16"/>
              </w:rPr>
              <w:t>30</w:t>
            </w:r>
          </w:p>
        </w:tc>
        <w:tc>
          <w:tcPr>
            <w:tcW w:w="229" w:type="pct"/>
            <w:tcBorders>
              <w:top w:val="single" w:color="auto" w:sz="10" w:space="0"/>
              <w:left w:val="single" w:color="auto" w:sz="10" w:space="0"/>
              <w:bottom w:val="single" w:color="auto" w:sz="10" w:space="0"/>
              <w:right w:val="single" w:color="auto" w:sz="10" w:space="0"/>
              <w:insideV w:val="single" w:sz="10" w:space="0"/>
            </w:tcBorders>
            <w:vAlign w:val="center"/>
          </w:tcPr>
          <w:p w14:paraId="087F3F42">
            <w:pPr>
              <w:snapToGrid w:val="0"/>
              <w:jc w:val="center"/>
            </w:pPr>
            <w:r>
              <w:rPr>
                <w:rFonts w:ascii="宋体" w:hAnsi="宋体" w:eastAsia="宋体"/>
                <w:sz w:val="16"/>
              </w:rPr>
              <w:t>计划标准</w:t>
            </w:r>
          </w:p>
        </w:tc>
        <w:tc>
          <w:tcPr>
            <w:tcW w:w="260" w:type="pct"/>
            <w:tcBorders>
              <w:top w:val="single" w:color="auto" w:sz="10" w:space="0"/>
              <w:left w:val="single" w:color="auto" w:sz="10" w:space="0"/>
              <w:bottom w:val="single" w:color="auto" w:sz="10" w:space="0"/>
              <w:right w:val="single" w:color="auto" w:sz="10" w:space="0"/>
              <w:insideV w:val="single" w:sz="10" w:space="0"/>
            </w:tcBorders>
            <w:vAlign w:val="center"/>
          </w:tcPr>
          <w:p w14:paraId="1D700F27">
            <w:pPr>
              <w:snapToGrid w:val="0"/>
              <w:jc w:val="center"/>
            </w:pPr>
            <w:r>
              <w:rPr>
                <w:rFonts w:ascii="宋体" w:hAnsi="宋体" w:eastAsia="宋体"/>
                <w:sz w:val="16"/>
              </w:rPr>
              <w:t>显著提升</w:t>
            </w:r>
          </w:p>
        </w:tc>
        <w:tc>
          <w:tcPr>
            <w:tcW w:w="280" w:type="pct"/>
            <w:tcBorders>
              <w:top w:val="single" w:color="auto" w:sz="10" w:space="0"/>
              <w:left w:val="single" w:color="auto" w:sz="10" w:space="0"/>
              <w:bottom w:val="single" w:color="auto" w:sz="10" w:space="0"/>
              <w:right w:val="single" w:color="auto" w:sz="10" w:space="0"/>
              <w:insideV w:val="single" w:sz="10" w:space="0"/>
            </w:tcBorders>
            <w:vAlign w:val="center"/>
          </w:tcPr>
          <w:p w14:paraId="2C8D9E03">
            <w:pPr>
              <w:snapToGrid w:val="0"/>
              <w:jc w:val="center"/>
            </w:pPr>
            <w:r>
              <w:rPr>
                <w:rFonts w:ascii="宋体" w:hAnsi="宋体" w:eastAsia="宋体"/>
                <w:sz w:val="16"/>
              </w:rPr>
              <w:t>按评判等级赋分</w:t>
            </w:r>
          </w:p>
        </w:tc>
        <w:tc>
          <w:tcPr>
            <w:tcW w:w="216" w:type="pct"/>
            <w:tcBorders>
              <w:top w:val="single" w:color="auto" w:sz="10" w:space="0"/>
              <w:left w:val="single" w:color="auto" w:sz="10" w:space="0"/>
              <w:bottom w:val="single" w:color="auto" w:sz="10" w:space="0"/>
              <w:right w:val="single" w:color="auto" w:sz="10" w:space="0"/>
              <w:insideV w:val="single" w:sz="10" w:space="0"/>
            </w:tcBorders>
            <w:vAlign w:val="center"/>
          </w:tcPr>
          <w:p w14:paraId="0462109F">
            <w:pPr>
              <w:snapToGrid w:val="0"/>
              <w:jc w:val="center"/>
            </w:pPr>
            <w:r>
              <w:rPr>
                <w:rFonts w:ascii="宋体" w:hAnsi="宋体" w:eastAsia="宋体"/>
                <w:sz w:val="16"/>
              </w:rPr>
              <w:t>工作资料</w:t>
            </w:r>
          </w:p>
        </w:tc>
        <w:tc>
          <w:tcPr>
            <w:tcW w:w="686" w:type="pct"/>
            <w:tcBorders>
              <w:top w:val="single" w:color="auto" w:sz="10" w:space="0"/>
              <w:left w:val="single" w:color="auto" w:sz="10" w:space="0"/>
              <w:bottom w:val="single" w:color="auto" w:sz="10" w:space="0"/>
              <w:right w:val="single" w:color="auto" w:sz="10" w:space="0"/>
              <w:insideV w:val="single" w:sz="10" w:space="0"/>
            </w:tcBorders>
            <w:vAlign w:val="center"/>
          </w:tcPr>
          <w:p w14:paraId="3753EF4E">
            <w:pPr>
              <w:snapToGrid w:val="0"/>
              <w:jc w:val="center"/>
            </w:pPr>
          </w:p>
        </w:tc>
      </w:tr>
      <w:tr w14:paraId="167585A3">
        <w:tblPrEx>
          <w:tblCellMar>
            <w:top w:w="40" w:type="dxa"/>
            <w:left w:w="64" w:type="dxa"/>
            <w:bottom w:w="40" w:type="dxa"/>
            <w:right w:w="64" w:type="dxa"/>
          </w:tblCellMar>
        </w:tblPrEx>
        <w:trPr>
          <w:trHeight w:val="0" w:hRule="atLeast"/>
          <w:jc w:val="center"/>
        </w:trPr>
        <w:tc>
          <w:tcPr>
            <w:tcW w:w="1255" w:type="pct"/>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CF2EAD">
            <w:pPr>
              <w:snapToGrid w:val="0"/>
              <w:jc w:val="center"/>
            </w:pPr>
            <w:r>
              <w:rPr>
                <w:rFonts w:ascii="宋体" w:hAnsi="宋体" w:eastAsia="宋体"/>
                <w:sz w:val="16"/>
              </w:rPr>
              <w:t>总分</w:t>
            </w:r>
          </w:p>
        </w:tc>
        <w:tc>
          <w:tcPr>
            <w:tcW w:w="251" w:type="pct"/>
            <w:tcBorders>
              <w:top w:val="single" w:color="auto" w:sz="10" w:space="0"/>
              <w:left w:val="single" w:color="auto" w:sz="10" w:space="0"/>
              <w:bottom w:val="single" w:color="auto" w:sz="10" w:space="0"/>
              <w:right w:val="single" w:color="auto" w:sz="10" w:space="0"/>
              <w:insideV w:val="single" w:sz="10" w:space="0"/>
            </w:tcBorders>
            <w:vAlign w:val="center"/>
          </w:tcPr>
          <w:p w14:paraId="0314676F">
            <w:pPr>
              <w:snapToGrid w:val="0"/>
              <w:jc w:val="center"/>
            </w:pPr>
            <w:r>
              <w:rPr>
                <w:rFonts w:ascii="宋体" w:hAnsi="宋体" w:eastAsia="宋体"/>
                <w:sz w:val="16"/>
              </w:rPr>
              <w:t>100</w:t>
            </w:r>
          </w:p>
        </w:tc>
        <w:tc>
          <w:tcPr>
            <w:tcW w:w="615" w:type="pct"/>
            <w:tcBorders>
              <w:top w:val="single" w:color="auto" w:sz="10" w:space="0"/>
              <w:left w:val="single" w:color="auto" w:sz="10" w:space="0"/>
              <w:bottom w:val="single" w:color="auto" w:sz="10" w:space="0"/>
              <w:right w:val="single" w:color="auto" w:sz="10" w:space="0"/>
              <w:insideV w:val="single" w:sz="10" w:space="0"/>
            </w:tcBorders>
          </w:tcPr>
          <w:p w14:paraId="7810A847">
            <w:pPr>
              <w:snapToGrid w:val="0"/>
            </w:pPr>
          </w:p>
        </w:tc>
        <w:tc>
          <w:tcPr>
            <w:tcW w:w="509" w:type="pct"/>
            <w:tcBorders>
              <w:top w:val="single" w:color="auto" w:sz="10" w:space="0"/>
              <w:left w:val="single" w:color="auto" w:sz="10" w:space="0"/>
              <w:bottom w:val="single" w:color="auto" w:sz="10" w:space="0"/>
              <w:right w:val="single" w:color="auto" w:sz="10" w:space="0"/>
              <w:insideV w:val="single" w:sz="10" w:space="0"/>
            </w:tcBorders>
          </w:tcPr>
          <w:p w14:paraId="57781618">
            <w:pPr>
              <w:snapToGrid w:val="0"/>
            </w:pPr>
          </w:p>
        </w:tc>
        <w:tc>
          <w:tcPr>
            <w:tcW w:w="454" w:type="pct"/>
            <w:tcBorders>
              <w:top w:val="single" w:color="auto" w:sz="10" w:space="0"/>
              <w:left w:val="single" w:color="auto" w:sz="10" w:space="0"/>
              <w:bottom w:val="single" w:color="auto" w:sz="10" w:space="0"/>
              <w:right w:val="single" w:color="auto" w:sz="10" w:space="0"/>
              <w:insideV w:val="single" w:sz="10" w:space="0"/>
            </w:tcBorders>
          </w:tcPr>
          <w:p w14:paraId="663A2464">
            <w:pPr>
              <w:snapToGrid w:val="0"/>
            </w:pPr>
          </w:p>
        </w:tc>
        <w:tc>
          <w:tcPr>
            <w:tcW w:w="240" w:type="pct"/>
            <w:tcBorders>
              <w:top w:val="single" w:color="auto" w:sz="10" w:space="0"/>
              <w:left w:val="single" w:color="auto" w:sz="10" w:space="0"/>
              <w:bottom w:val="single" w:color="auto" w:sz="10" w:space="0"/>
              <w:right w:val="single" w:color="auto" w:sz="10" w:space="0"/>
              <w:insideV w:val="single" w:sz="10" w:space="0"/>
            </w:tcBorders>
            <w:vAlign w:val="center"/>
          </w:tcPr>
          <w:p w14:paraId="0E71AF7A">
            <w:pPr>
              <w:snapToGrid w:val="0"/>
              <w:jc w:val="center"/>
            </w:pPr>
            <w:r>
              <w:rPr>
                <w:rFonts w:ascii="宋体" w:hAnsi="宋体" w:eastAsia="宋体"/>
                <w:sz w:val="16"/>
              </w:rPr>
              <w:t>100分</w:t>
            </w:r>
          </w:p>
        </w:tc>
        <w:tc>
          <w:tcPr>
            <w:tcW w:w="229" w:type="pct"/>
            <w:tcBorders>
              <w:top w:val="single" w:color="auto" w:sz="10" w:space="0"/>
              <w:left w:val="single" w:color="auto" w:sz="10" w:space="0"/>
              <w:bottom w:val="single" w:color="auto" w:sz="10" w:space="0"/>
              <w:right w:val="single" w:color="auto" w:sz="10" w:space="0"/>
              <w:insideV w:val="single" w:sz="10" w:space="0"/>
            </w:tcBorders>
          </w:tcPr>
          <w:p w14:paraId="126B6192">
            <w:pPr>
              <w:snapToGrid w:val="0"/>
            </w:pPr>
          </w:p>
        </w:tc>
        <w:tc>
          <w:tcPr>
            <w:tcW w:w="260" w:type="pct"/>
            <w:tcBorders>
              <w:top w:val="single" w:color="auto" w:sz="10" w:space="0"/>
              <w:left w:val="single" w:color="auto" w:sz="10" w:space="0"/>
              <w:bottom w:val="single" w:color="auto" w:sz="10" w:space="0"/>
              <w:right w:val="single" w:color="auto" w:sz="10" w:space="0"/>
              <w:insideV w:val="single" w:sz="10" w:space="0"/>
            </w:tcBorders>
          </w:tcPr>
          <w:p w14:paraId="63F21D7A">
            <w:pPr>
              <w:snapToGrid w:val="0"/>
            </w:pPr>
          </w:p>
        </w:tc>
        <w:tc>
          <w:tcPr>
            <w:tcW w:w="280" w:type="pct"/>
            <w:tcBorders>
              <w:top w:val="single" w:color="auto" w:sz="10" w:space="0"/>
              <w:left w:val="single" w:color="auto" w:sz="10" w:space="0"/>
              <w:bottom w:val="single" w:color="auto" w:sz="10" w:space="0"/>
              <w:right w:val="single" w:color="auto" w:sz="10" w:space="0"/>
              <w:insideV w:val="single" w:sz="10" w:space="0"/>
            </w:tcBorders>
          </w:tcPr>
          <w:p w14:paraId="4A5D9C26">
            <w:pPr>
              <w:snapToGrid w:val="0"/>
            </w:pPr>
          </w:p>
        </w:tc>
        <w:tc>
          <w:tcPr>
            <w:tcW w:w="216" w:type="pct"/>
            <w:tcBorders>
              <w:top w:val="single" w:color="auto" w:sz="10" w:space="0"/>
              <w:left w:val="single" w:color="auto" w:sz="10" w:space="0"/>
              <w:bottom w:val="single" w:color="auto" w:sz="10" w:space="0"/>
              <w:right w:val="single" w:color="auto" w:sz="10" w:space="0"/>
              <w:insideV w:val="single" w:sz="10" w:space="0"/>
            </w:tcBorders>
          </w:tcPr>
          <w:p w14:paraId="59E32192">
            <w:pPr>
              <w:snapToGrid w:val="0"/>
            </w:pPr>
          </w:p>
        </w:tc>
        <w:tc>
          <w:tcPr>
            <w:tcW w:w="686" w:type="pct"/>
            <w:tcBorders>
              <w:top w:val="single" w:color="auto" w:sz="10" w:space="0"/>
              <w:left w:val="single" w:color="auto" w:sz="10" w:space="0"/>
              <w:bottom w:val="single" w:color="auto" w:sz="10" w:space="0"/>
              <w:right w:val="single" w:color="auto" w:sz="10" w:space="0"/>
              <w:insideV w:val="single" w:sz="10" w:space="0"/>
            </w:tcBorders>
          </w:tcPr>
          <w:p w14:paraId="582F3320">
            <w:pPr>
              <w:snapToGrid w:val="0"/>
            </w:pPr>
          </w:p>
        </w:tc>
      </w:tr>
    </w:tbl>
    <w:p w14:paraId="5730CE13">
      <w:r>
        <w:br w:type="page"/>
      </w:r>
    </w:p>
    <w:p w14:paraId="487A51A4">
      <w:pPr>
        <w:spacing w:line="640" w:lineRule="exact"/>
        <w:ind w:firstLine="640"/>
        <w:jc w:val="both"/>
        <w:outlineLvl w:val="2"/>
      </w:pPr>
      <w:r>
        <w:rPr>
          <w:rFonts w:ascii="黑体" w:hAnsi="黑体" w:eastAsia="黑体"/>
          <w:sz w:val="32"/>
        </w:rPr>
        <w:t>十二、其他需说明的事项</w:t>
      </w:r>
    </w:p>
    <w:p w14:paraId="542AA69A">
      <w:pPr>
        <w:spacing w:line="580" w:lineRule="exact"/>
        <w:ind w:firstLine="640"/>
        <w:jc w:val="both"/>
      </w:pPr>
      <w:r>
        <w:rPr>
          <w:rFonts w:ascii="仿宋_GB2312" w:hAnsi="仿宋_GB2312" w:eastAsia="仿宋_GB2312"/>
          <w:b w:val="0"/>
          <w:sz w:val="32"/>
        </w:rPr>
        <w:t>本单位无其他需说明的事项。</w:t>
      </w:r>
    </w:p>
    <w:p w14:paraId="7F132270">
      <w:r>
        <w:br w:type="page"/>
      </w:r>
    </w:p>
    <w:p w14:paraId="163F55ED">
      <w:pPr>
        <w:spacing w:line="240" w:lineRule="auto"/>
        <w:jc w:val="center"/>
        <w:outlineLvl w:val="1"/>
      </w:pPr>
      <w:r>
        <w:rPr>
          <w:rFonts w:ascii="黑体" w:hAnsi="黑体" w:eastAsia="黑体"/>
          <w:sz w:val="32"/>
        </w:rPr>
        <w:t>第三部分 专业名词解释</w:t>
      </w:r>
    </w:p>
    <w:p w14:paraId="2098E9A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CC4EFD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18C2DE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63B49B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D990A6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34A643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231C9A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4ABF20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DDCD91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5D866E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0F5653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044809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FD11F2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9C91CD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3167617">
      <w:r>
        <w:br w:type="page"/>
      </w:r>
    </w:p>
    <w:p w14:paraId="4F80F459">
      <w:pPr>
        <w:spacing w:line="240" w:lineRule="auto"/>
        <w:jc w:val="center"/>
        <w:outlineLvl w:val="1"/>
      </w:pPr>
      <w:r>
        <w:rPr>
          <w:rFonts w:ascii="黑体" w:hAnsi="黑体" w:eastAsia="黑体"/>
          <w:sz w:val="32"/>
        </w:rPr>
        <w:t>第四部分 部门决算报表（见附表）</w:t>
      </w:r>
    </w:p>
    <w:p w14:paraId="45EB1FF3">
      <w:pPr>
        <w:spacing w:line="240" w:lineRule="auto"/>
        <w:ind w:firstLine="640"/>
        <w:jc w:val="both"/>
      </w:pPr>
      <w:r>
        <w:rPr>
          <w:rFonts w:ascii="仿宋_GB2312" w:hAnsi="仿宋_GB2312" w:eastAsia="仿宋_GB2312"/>
          <w:b w:val="0"/>
          <w:sz w:val="32"/>
        </w:rPr>
        <w:t>一、《收入支出决算总表》</w:t>
      </w:r>
    </w:p>
    <w:p w14:paraId="5EC5EA91">
      <w:pPr>
        <w:spacing w:line="240" w:lineRule="auto"/>
        <w:ind w:firstLine="640"/>
        <w:jc w:val="both"/>
      </w:pPr>
      <w:r>
        <w:rPr>
          <w:rFonts w:ascii="仿宋_GB2312" w:hAnsi="仿宋_GB2312" w:eastAsia="仿宋_GB2312"/>
          <w:b w:val="0"/>
          <w:sz w:val="32"/>
        </w:rPr>
        <w:t>二、《收入决算表》</w:t>
      </w:r>
    </w:p>
    <w:p w14:paraId="5084C749">
      <w:pPr>
        <w:spacing w:line="240" w:lineRule="auto"/>
        <w:ind w:firstLine="640"/>
        <w:jc w:val="both"/>
      </w:pPr>
      <w:r>
        <w:rPr>
          <w:rFonts w:ascii="仿宋_GB2312" w:hAnsi="仿宋_GB2312" w:eastAsia="仿宋_GB2312"/>
          <w:b w:val="0"/>
          <w:sz w:val="32"/>
        </w:rPr>
        <w:t>三、《支出决算表》</w:t>
      </w:r>
    </w:p>
    <w:p w14:paraId="555898E7">
      <w:pPr>
        <w:spacing w:line="240" w:lineRule="auto"/>
        <w:ind w:firstLine="640"/>
        <w:jc w:val="both"/>
      </w:pPr>
      <w:r>
        <w:rPr>
          <w:rFonts w:ascii="仿宋_GB2312" w:hAnsi="仿宋_GB2312" w:eastAsia="仿宋_GB2312"/>
          <w:b w:val="0"/>
          <w:sz w:val="32"/>
        </w:rPr>
        <w:t>四、《财政拨款收入支出决算总表》</w:t>
      </w:r>
    </w:p>
    <w:p w14:paraId="1F72C83D">
      <w:pPr>
        <w:spacing w:line="240" w:lineRule="auto"/>
        <w:ind w:firstLine="640"/>
        <w:jc w:val="both"/>
      </w:pPr>
      <w:r>
        <w:rPr>
          <w:rFonts w:ascii="仿宋_GB2312" w:hAnsi="仿宋_GB2312" w:eastAsia="仿宋_GB2312"/>
          <w:b w:val="0"/>
          <w:sz w:val="32"/>
        </w:rPr>
        <w:t>五、《一般公共预算财政拨款支出决算表》</w:t>
      </w:r>
    </w:p>
    <w:p w14:paraId="6BD6E847">
      <w:pPr>
        <w:spacing w:line="240" w:lineRule="auto"/>
        <w:ind w:firstLine="640"/>
        <w:jc w:val="both"/>
      </w:pPr>
      <w:r>
        <w:rPr>
          <w:rFonts w:ascii="仿宋_GB2312" w:hAnsi="仿宋_GB2312" w:eastAsia="仿宋_GB2312"/>
          <w:b w:val="0"/>
          <w:sz w:val="32"/>
        </w:rPr>
        <w:t>六、《一般公共预算财政拨款基本支出决算表》</w:t>
      </w:r>
    </w:p>
    <w:p w14:paraId="0547B9CA">
      <w:pPr>
        <w:spacing w:line="240" w:lineRule="auto"/>
        <w:ind w:firstLine="640"/>
        <w:jc w:val="both"/>
      </w:pPr>
      <w:r>
        <w:rPr>
          <w:rFonts w:ascii="仿宋_GB2312" w:hAnsi="仿宋_GB2312" w:eastAsia="仿宋_GB2312"/>
          <w:b w:val="0"/>
          <w:sz w:val="32"/>
        </w:rPr>
        <w:t>七、《政府性基金预算财政拨款收入支出决算表》</w:t>
      </w:r>
    </w:p>
    <w:p w14:paraId="005DD598">
      <w:pPr>
        <w:spacing w:line="240" w:lineRule="auto"/>
        <w:ind w:firstLine="640"/>
        <w:jc w:val="both"/>
      </w:pPr>
      <w:r>
        <w:rPr>
          <w:rFonts w:ascii="仿宋_GB2312" w:hAnsi="仿宋_GB2312" w:eastAsia="仿宋_GB2312"/>
          <w:b w:val="0"/>
          <w:sz w:val="32"/>
        </w:rPr>
        <w:t>八、《国有资本经营预算财政拨款收入支出决算表》</w:t>
      </w:r>
    </w:p>
    <w:p w14:paraId="6FCDD74C">
      <w:pPr>
        <w:spacing w:line="240" w:lineRule="auto"/>
        <w:ind w:firstLine="640"/>
        <w:jc w:val="both"/>
      </w:pPr>
      <w:r>
        <w:rPr>
          <w:rFonts w:ascii="仿宋_GB2312" w:hAnsi="仿宋_GB2312" w:eastAsia="仿宋_GB2312"/>
          <w:b w:val="0"/>
          <w:sz w:val="32"/>
        </w:rPr>
        <w:t>九、《财政拨款“三公”经费支出决算表》</w:t>
      </w:r>
    </w:p>
    <w:p w14:paraId="5466D8EB">
      <w:pPr>
        <w:spacing w:line="240" w:lineRule="auto"/>
        <w:ind w:firstLine="640"/>
        <w:jc w:val="both"/>
      </w:pPr>
    </w:p>
    <w:p w14:paraId="26777662">
      <w:pPr>
        <w:spacing w:line="240" w:lineRule="auto"/>
        <w:ind w:firstLine="640"/>
        <w:jc w:val="both"/>
      </w:pPr>
    </w:p>
    <w:p w14:paraId="6332DD82">
      <w:pPr>
        <w:spacing w:line="240" w:lineRule="auto"/>
        <w:ind w:firstLine="640"/>
        <w:jc w:val="both"/>
      </w:pPr>
    </w:p>
    <w:p w14:paraId="12F56845">
      <w:pPr>
        <w:spacing w:line="240" w:lineRule="auto"/>
        <w:ind w:firstLine="640"/>
        <w:jc w:val="both"/>
      </w:pPr>
    </w:p>
    <w:p w14:paraId="7C80096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9DCD86E-62C7-4D01-8F3F-958F9258100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3B9F3C0-17EB-46EA-969D-C8F922312135}"/>
  </w:font>
  <w:font w:name="仿宋_GB2312">
    <w:panose1 w:val="02010609030101010101"/>
    <w:charset w:val="86"/>
    <w:family w:val="auto"/>
    <w:pitch w:val="default"/>
    <w:sig w:usb0="00000001" w:usb1="080E0000" w:usb2="00000000" w:usb3="00000000" w:csb0="00040000" w:csb1="00000000"/>
    <w:embedRegular r:id="rId3" w:fontKey="{0935FFCE-5D51-49AD-9097-0BACF4C4A50A}"/>
  </w:font>
  <w:font w:name="楷体_GB2312">
    <w:panose1 w:val="02010609030101010101"/>
    <w:charset w:val="86"/>
    <w:family w:val="auto"/>
    <w:pitch w:val="default"/>
    <w:sig w:usb0="00000001" w:usb1="080E0000" w:usb2="00000000" w:usb3="00000000" w:csb0="00040000" w:csb1="00000000"/>
    <w:embedRegular r:id="rId4" w:fontKey="{41C63372-AECF-44F8-BA78-3618C69205EC}"/>
  </w:font>
  <w:font w:name="WPSEMBED2">
    <w:panose1 w:val="02000000000000000000"/>
    <w:charset w:val="86"/>
    <w:family w:val="auto"/>
    <w:pitch w:val="default"/>
    <w:sig w:usb0="A00002BF" w:usb1="38CF7CFA" w:usb2="00082016" w:usb3="00000000" w:csb0="00040001" w:csb1="0000000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2E6772"/>
    <w:rsid w:val="02F73D26"/>
    <w:rsid w:val="034D4FEF"/>
    <w:rsid w:val="043E5B56"/>
    <w:rsid w:val="06792773"/>
    <w:rsid w:val="06BF28EE"/>
    <w:rsid w:val="09A729D8"/>
    <w:rsid w:val="0A3C58E8"/>
    <w:rsid w:val="0A7B4867"/>
    <w:rsid w:val="0B8C3ECC"/>
    <w:rsid w:val="0C3613A3"/>
    <w:rsid w:val="0C7227A7"/>
    <w:rsid w:val="0DCA6EF7"/>
    <w:rsid w:val="0E4B1576"/>
    <w:rsid w:val="0EA04331"/>
    <w:rsid w:val="0F9811B3"/>
    <w:rsid w:val="11E15093"/>
    <w:rsid w:val="120E0809"/>
    <w:rsid w:val="14A21F50"/>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6455341"/>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14847F9"/>
    <w:rsid w:val="52F92565"/>
    <w:rsid w:val="543D17CB"/>
    <w:rsid w:val="55DA564E"/>
    <w:rsid w:val="56E07045"/>
    <w:rsid w:val="583059FA"/>
    <w:rsid w:val="587E6212"/>
    <w:rsid w:val="5AFC6609"/>
    <w:rsid w:val="5FA17648"/>
    <w:rsid w:val="5FD320BD"/>
    <w:rsid w:val="60DE4D57"/>
    <w:rsid w:val="613409CB"/>
    <w:rsid w:val="61A46A97"/>
    <w:rsid w:val="62127F1E"/>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5407</Words>
  <Characters>6092</Characters>
  <Lines>0</Lines>
  <Paragraphs>0</Paragraphs>
  <TotalTime>4</TotalTime>
  <ScaleCrop>false</ScaleCrop>
  <LinksUpToDate>false</LinksUpToDate>
  <CharactersWithSpaces>6100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2025-09-25T07:44:41Z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