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中共霍城县委员会机构编制委员会办公室2024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600E592">
      <w:r>
        <w:br w:type="page"/>
      </w:r>
    </w:p>
    <w:p w14:paraId="51DD8572">
      <w:pPr>
        <w:spacing w:line="640" w:lineRule="exact"/>
        <w:jc w:val="center"/>
        <w:outlineLvl w:val="1"/>
      </w:pPr>
      <w:r>
        <w:rPr>
          <w:rFonts w:ascii="黑体" w:hAnsi="黑体" w:eastAsia="黑体"/>
          <w:sz w:val="32"/>
        </w:rPr>
        <w:t>第一部分 单位概况</w:t>
      </w:r>
    </w:p>
    <w:p w14:paraId="109DFC4E">
      <w:pPr>
        <w:spacing w:line="640" w:lineRule="exact"/>
        <w:ind w:firstLine="640"/>
        <w:jc w:val="both"/>
        <w:outlineLvl w:val="2"/>
      </w:pPr>
      <w:r>
        <w:rPr>
          <w:rFonts w:ascii="黑体" w:hAnsi="黑体" w:eastAsia="黑体"/>
          <w:sz w:val="32"/>
        </w:rPr>
        <w:t>一、主要职能</w:t>
      </w:r>
    </w:p>
    <w:p w14:paraId="2921F05A">
      <w:pPr>
        <w:spacing w:line="580" w:lineRule="exact"/>
        <w:ind w:firstLine="640"/>
        <w:jc w:val="both"/>
      </w:pPr>
      <w:r>
        <w:rPr>
          <w:rFonts w:ascii="仿宋_GB2312" w:hAnsi="仿宋_GB2312" w:eastAsia="仿宋_GB2312"/>
          <w:sz w:val="32"/>
        </w:rPr>
        <w:t>中共霍城县委员会机构编制委员会办公室是霍城县机构编制委员会常设办事机构，受县委编委领导，承担县委编委日常工作，归口霍城县委组织部管理。贯彻落实党中央关于机构编制工作的方针政策、决策部署以及自治区党委、自治州党委和县委、县委编委工作要求，在履行职责过程中坚持和加强党对机构编制工作的集中统一领导。</w:t>
      </w:r>
    </w:p>
    <w:p w14:paraId="4739F051">
      <w:pPr>
        <w:spacing w:line="640" w:lineRule="exact"/>
        <w:ind w:firstLine="640"/>
        <w:jc w:val="both"/>
        <w:outlineLvl w:val="2"/>
      </w:pPr>
      <w:r>
        <w:rPr>
          <w:rFonts w:ascii="黑体" w:hAnsi="黑体" w:eastAsia="黑体"/>
          <w:sz w:val="32"/>
        </w:rPr>
        <w:t>二、机构设置及人员情况</w:t>
      </w:r>
    </w:p>
    <w:p w14:paraId="329FD657">
      <w:pPr>
        <w:spacing w:line="580" w:lineRule="exact"/>
        <w:ind w:firstLine="640"/>
        <w:jc w:val="both"/>
      </w:pPr>
      <w:r>
        <w:rPr>
          <w:rFonts w:ascii="仿宋_GB2312" w:hAnsi="仿宋_GB2312" w:eastAsia="仿宋_GB2312"/>
          <w:sz w:val="32"/>
        </w:rPr>
        <w:t>中共霍城县委员会机构编制委员会办公室2024年度，实有人数15人，其中：在职人员11人，增加0人；离休人员0人，增加0人；退休人员4人,增加0人。</w:t>
      </w:r>
    </w:p>
    <w:p w14:paraId="00E05292">
      <w:pPr>
        <w:spacing w:line="580" w:lineRule="exact"/>
        <w:ind w:firstLine="640"/>
        <w:jc w:val="both"/>
      </w:pPr>
      <w:r>
        <w:rPr>
          <w:rFonts w:ascii="仿宋_GB2312" w:hAnsi="仿宋_GB2312" w:eastAsia="仿宋_GB2312"/>
          <w:sz w:val="32"/>
        </w:rPr>
        <w:t>中共霍城县委员会机构编制委员会办公室无下属预算单位，下设4个科室，分别是：办公室、机构编制科、综合科、事业单位登记管理局。</w:t>
      </w:r>
    </w:p>
    <w:p w14:paraId="7B4C280F">
      <w:r>
        <w:br w:type="page"/>
      </w:r>
    </w:p>
    <w:p w14:paraId="0BCEE140">
      <w:pPr>
        <w:spacing w:line="240" w:lineRule="auto"/>
        <w:jc w:val="center"/>
        <w:outlineLvl w:val="1"/>
      </w:pPr>
      <w:r>
        <w:rPr>
          <w:rFonts w:ascii="黑体" w:hAnsi="黑体" w:eastAsia="黑体"/>
          <w:sz w:val="32"/>
        </w:rPr>
        <w:t>第二部分 部门决算情况说明</w:t>
      </w:r>
    </w:p>
    <w:p w14:paraId="6BAB66D5">
      <w:pPr>
        <w:spacing w:line="640" w:lineRule="exact"/>
        <w:ind w:firstLine="640"/>
        <w:jc w:val="both"/>
        <w:outlineLvl w:val="2"/>
      </w:pPr>
      <w:r>
        <w:rPr>
          <w:rFonts w:ascii="黑体" w:hAnsi="黑体" w:eastAsia="黑体"/>
          <w:sz w:val="32"/>
        </w:rPr>
        <w:t>一、收入支出决算总体情况说明</w:t>
      </w:r>
    </w:p>
    <w:p w14:paraId="65B295B1">
      <w:pPr>
        <w:spacing w:line="580" w:lineRule="exact"/>
        <w:ind w:firstLine="640"/>
        <w:jc w:val="both"/>
      </w:pPr>
      <w:r>
        <w:rPr>
          <w:rFonts w:ascii="仿宋_GB2312" w:hAnsi="仿宋_GB2312" w:eastAsia="仿宋_GB2312"/>
          <w:b/>
          <w:sz w:val="32"/>
        </w:rPr>
        <w:t>2024年度收入总计170.96万元，</w:t>
      </w:r>
      <w:r>
        <w:rPr>
          <w:rFonts w:ascii="仿宋_GB2312" w:hAnsi="仿宋_GB2312" w:eastAsia="仿宋_GB2312"/>
          <w:b w:val="0"/>
          <w:sz w:val="32"/>
        </w:rPr>
        <w:t>其中：本年收入合计170.96万元，使用非财政拨款结余（含专用结余）0.00万元，年初结转和结余0.00万元。</w:t>
      </w:r>
    </w:p>
    <w:p w14:paraId="534CAA65">
      <w:pPr>
        <w:spacing w:line="580" w:lineRule="exact"/>
        <w:ind w:firstLine="640"/>
        <w:jc w:val="both"/>
      </w:pPr>
      <w:r>
        <w:rPr>
          <w:rFonts w:ascii="仿宋_GB2312" w:hAnsi="仿宋_GB2312" w:eastAsia="仿宋_GB2312"/>
          <w:b/>
          <w:sz w:val="32"/>
        </w:rPr>
        <w:t>2024年度支出总计170.96万元，</w:t>
      </w:r>
      <w:r>
        <w:rPr>
          <w:rFonts w:ascii="仿宋_GB2312" w:hAnsi="仿宋_GB2312" w:eastAsia="仿宋_GB2312"/>
          <w:b w:val="0"/>
          <w:sz w:val="32"/>
        </w:rPr>
        <w:t>其中：本年支出合计170.96万元，结余分配0.00万元，年末结转和结余0.00万元。</w:t>
      </w:r>
    </w:p>
    <w:p w14:paraId="1555E144">
      <w:pPr>
        <w:spacing w:line="580" w:lineRule="exact"/>
        <w:ind w:firstLine="640"/>
        <w:jc w:val="both"/>
      </w:pPr>
      <w:r>
        <w:rPr>
          <w:rFonts w:ascii="仿宋_GB2312" w:hAnsi="仿宋_GB2312" w:eastAsia="仿宋_GB2312"/>
          <w:b w:val="0"/>
          <w:sz w:val="32"/>
        </w:rPr>
        <w:t>收入支出总体与上年相比，增加3.03万元，增长1.80%，主要原因是：本年在职人员工资调增，社保、公积金基数调增，人员经费增加。</w:t>
      </w:r>
    </w:p>
    <w:p w14:paraId="4A8DCC9F">
      <w:pPr>
        <w:spacing w:line="640" w:lineRule="exact"/>
        <w:ind w:firstLine="640"/>
        <w:jc w:val="both"/>
        <w:outlineLvl w:val="2"/>
      </w:pPr>
      <w:r>
        <w:rPr>
          <w:rFonts w:ascii="黑体" w:hAnsi="黑体" w:eastAsia="黑体"/>
          <w:sz w:val="32"/>
        </w:rPr>
        <w:t>二、收入决算情况说明</w:t>
      </w:r>
    </w:p>
    <w:p w14:paraId="7F2ABD68">
      <w:pPr>
        <w:spacing w:line="580" w:lineRule="exact"/>
        <w:ind w:firstLine="640"/>
        <w:jc w:val="both"/>
      </w:pPr>
      <w:r>
        <w:rPr>
          <w:rFonts w:ascii="仿宋_GB2312" w:hAnsi="仿宋_GB2312" w:eastAsia="仿宋_GB2312"/>
          <w:b/>
          <w:sz w:val="32"/>
        </w:rPr>
        <w:t>本年收入170.96万元，</w:t>
      </w:r>
      <w:r>
        <w:rPr>
          <w:rFonts w:ascii="仿宋_GB2312" w:hAnsi="仿宋_GB2312" w:eastAsia="仿宋_GB2312"/>
          <w:b w:val="0"/>
          <w:sz w:val="32"/>
        </w:rPr>
        <w:t>其中：财政拨款收入170.96万元，占100.00%；上级补助收入0.00万元，占0.00%；事业收入0.00万元，占0.00%；经营收入0.00万元，占0.00%；附属单位上缴收入0.00万元，占0.00%；其他收入0.00万元，占0.00%。</w:t>
      </w:r>
    </w:p>
    <w:p w14:paraId="05FFA549">
      <w:pPr>
        <w:spacing w:line="640" w:lineRule="exact"/>
        <w:ind w:firstLine="640"/>
        <w:jc w:val="both"/>
        <w:outlineLvl w:val="2"/>
      </w:pPr>
      <w:r>
        <w:rPr>
          <w:rFonts w:ascii="黑体" w:hAnsi="黑体" w:eastAsia="黑体"/>
          <w:sz w:val="32"/>
        </w:rPr>
        <w:t>三、支出决算情况说明</w:t>
      </w:r>
    </w:p>
    <w:p w14:paraId="3DF1EDD3">
      <w:pPr>
        <w:spacing w:line="580" w:lineRule="exact"/>
        <w:ind w:firstLine="640"/>
        <w:jc w:val="both"/>
      </w:pPr>
      <w:r>
        <w:rPr>
          <w:rFonts w:ascii="仿宋_GB2312" w:hAnsi="仿宋_GB2312" w:eastAsia="仿宋_GB2312"/>
          <w:b/>
          <w:sz w:val="32"/>
        </w:rPr>
        <w:t>本年支出170.96万元，</w:t>
      </w:r>
      <w:r>
        <w:rPr>
          <w:rFonts w:ascii="仿宋_GB2312" w:hAnsi="仿宋_GB2312" w:eastAsia="仿宋_GB2312"/>
          <w:b w:val="0"/>
          <w:sz w:val="32"/>
        </w:rPr>
        <w:t>其中：基本支出170.96万元，占100.00%；项目支出0.00万元，占0.00%；上缴上级支出0.00万元，占0.00%；经营支出0.00万元，占0.00%；对附属单位补助支出0.00万元，占0.00%。</w:t>
      </w:r>
    </w:p>
    <w:p w14:paraId="25A4AD1A">
      <w:pPr>
        <w:spacing w:line="640" w:lineRule="exact"/>
        <w:ind w:firstLine="640"/>
        <w:jc w:val="both"/>
        <w:outlineLvl w:val="2"/>
      </w:pPr>
      <w:r>
        <w:rPr>
          <w:rFonts w:ascii="黑体" w:hAnsi="黑体" w:eastAsia="黑体"/>
          <w:sz w:val="32"/>
        </w:rPr>
        <w:t>四、财政拨款收入支出决算总体情况说明</w:t>
      </w:r>
    </w:p>
    <w:p w14:paraId="31B9A104">
      <w:pPr>
        <w:spacing w:line="580" w:lineRule="exact"/>
        <w:ind w:firstLine="640"/>
        <w:jc w:val="both"/>
      </w:pPr>
      <w:r>
        <w:rPr>
          <w:rFonts w:ascii="仿宋_GB2312" w:hAnsi="仿宋_GB2312" w:eastAsia="仿宋_GB2312"/>
          <w:b/>
          <w:sz w:val="32"/>
        </w:rPr>
        <w:t>2024年度财政拨款收入总计170.96万元，</w:t>
      </w:r>
      <w:r>
        <w:rPr>
          <w:rFonts w:ascii="仿宋_GB2312" w:hAnsi="仿宋_GB2312" w:eastAsia="仿宋_GB2312"/>
          <w:b w:val="0"/>
          <w:sz w:val="32"/>
        </w:rPr>
        <w:t>其中：年初财政拨款结转和结余0.00万元，本年财政拨款收入170.96万元。</w:t>
      </w:r>
      <w:r>
        <w:rPr>
          <w:rFonts w:ascii="仿宋_GB2312" w:hAnsi="仿宋_GB2312" w:eastAsia="仿宋_GB2312"/>
          <w:b/>
          <w:sz w:val="32"/>
        </w:rPr>
        <w:t>财政拨款支出总计170.96万元，</w:t>
      </w:r>
      <w:r>
        <w:rPr>
          <w:rFonts w:ascii="仿宋_GB2312" w:hAnsi="仿宋_GB2312" w:eastAsia="仿宋_GB2312"/>
          <w:b w:val="0"/>
          <w:sz w:val="32"/>
        </w:rPr>
        <w:t>其中：年末财政拨款结转和结余0.00万元，本年财政拨款支出170.96万元。</w:t>
      </w:r>
    </w:p>
    <w:p w14:paraId="7807F49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增加3.03万元，增长1.80%，主要原因是：本年在职人员工资调增，社保、公积金基数调增，人员经费增加。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年初预算数174.48万元，决算数170.96万元，预决算差异率-2.02%，主要原因是：本年调出行政人员，新进事业人员，人员职级不同，基数不同，年中调减人员经费，导致预决算存在差异。</w:t>
      </w:r>
    </w:p>
    <w:p w14:paraId="7E6A303C">
      <w:pPr>
        <w:spacing w:line="640" w:lineRule="exact"/>
        <w:ind w:firstLine="640"/>
        <w:jc w:val="both"/>
        <w:outlineLvl w:val="2"/>
      </w:pPr>
      <w:r>
        <w:rPr>
          <w:rFonts w:ascii="黑体" w:hAnsi="黑体" w:eastAsia="黑体"/>
          <w:sz w:val="32"/>
        </w:rPr>
        <w:t>五、一般公共预算财政拨款支出决算情况说明</w:t>
      </w:r>
    </w:p>
    <w:p w14:paraId="57B68224">
      <w:pPr>
        <w:spacing w:line="640" w:lineRule="exact"/>
        <w:ind w:firstLine="640"/>
        <w:jc w:val="both"/>
        <w:outlineLvl w:val="3"/>
      </w:pPr>
      <w:r>
        <w:rPr>
          <w:rFonts w:ascii="楷体_GB2312" w:hAnsi="楷体_GB2312" w:eastAsia="楷体_GB2312"/>
          <w:b/>
          <w:sz w:val="32"/>
        </w:rPr>
        <w:t>（一）一般公共预算财政拨款支出决算总体情况</w:t>
      </w:r>
    </w:p>
    <w:p w14:paraId="3AD72B29">
      <w:pPr>
        <w:spacing w:line="580" w:lineRule="exact"/>
        <w:ind w:firstLine="640"/>
        <w:jc w:val="both"/>
      </w:pPr>
      <w:r>
        <w:rPr>
          <w:rFonts w:ascii="仿宋_GB2312" w:hAnsi="仿宋_GB2312" w:eastAsia="仿宋_GB2312"/>
          <w:b/>
          <w:sz w:val="32"/>
        </w:rPr>
        <w:t>2024年度一般公共预算财政拨款支出170.96万元，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增加3.03万元，增长1.80%，主要原因是：本年在职人员工资调增，社保、公积金基数调增，人员经费增加。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年初预算数174.48万元，决算数170.96万元，预决算差异率-2.02%，主要原因是：本年调出行政人员，新进事业人员，人员职级不同，基数不同，年中调减人员经费，导致预决算存在差异。</w:t>
      </w:r>
    </w:p>
    <w:p w14:paraId="463562B3">
      <w:pPr>
        <w:spacing w:line="640" w:lineRule="exact"/>
        <w:ind w:firstLine="640"/>
        <w:jc w:val="both"/>
        <w:outlineLvl w:val="3"/>
      </w:pPr>
      <w:r>
        <w:rPr>
          <w:rFonts w:ascii="楷体_GB2312" w:hAnsi="楷体_GB2312" w:eastAsia="楷体_GB2312"/>
          <w:b/>
          <w:sz w:val="32"/>
        </w:rPr>
        <w:t>（二）一般公共预算财政拨款支出决算结构情况</w:t>
      </w:r>
    </w:p>
    <w:p w14:paraId="4C14A01E">
      <w:pPr>
        <w:spacing w:line="580" w:lineRule="exact"/>
        <w:ind w:firstLine="640"/>
        <w:jc w:val="both"/>
      </w:pPr>
      <w:r>
        <w:rPr>
          <w:rFonts w:ascii="仿宋_GB2312" w:hAnsi="仿宋_GB2312" w:eastAsia="仿宋_GB2312"/>
          <w:b w:val="0"/>
          <w:sz w:val="32"/>
        </w:rPr>
        <w:t>1.一般公共服务支出(类)130.99万元,占76.62%。</w:t>
      </w:r>
    </w:p>
    <w:p w14:paraId="4C965BC6">
      <w:pPr>
        <w:spacing w:line="580" w:lineRule="exact"/>
        <w:ind w:firstLine="640"/>
        <w:jc w:val="both"/>
      </w:pPr>
      <w:r>
        <w:rPr>
          <w:rFonts w:ascii="仿宋_GB2312" w:hAnsi="仿宋_GB2312" w:eastAsia="仿宋_GB2312"/>
          <w:b w:val="0"/>
          <w:sz w:val="32"/>
        </w:rPr>
        <w:t>2.社会保障和就业支出(类)19.25万元,占11.26%。</w:t>
      </w:r>
    </w:p>
    <w:p w14:paraId="240D5756">
      <w:pPr>
        <w:spacing w:line="580" w:lineRule="exact"/>
        <w:ind w:firstLine="640"/>
        <w:jc w:val="both"/>
      </w:pPr>
      <w:r>
        <w:rPr>
          <w:rFonts w:ascii="仿宋_GB2312" w:hAnsi="仿宋_GB2312" w:eastAsia="仿宋_GB2312"/>
          <w:b w:val="0"/>
          <w:sz w:val="32"/>
        </w:rPr>
        <w:t>3.卫生健康支出(类)8.23万元,占4.81%。</w:t>
      </w:r>
    </w:p>
    <w:p w14:paraId="14EF471D">
      <w:pPr>
        <w:spacing w:line="580" w:lineRule="exact"/>
        <w:ind w:firstLine="640"/>
        <w:jc w:val="both"/>
      </w:pPr>
      <w:r>
        <w:rPr>
          <w:rFonts w:ascii="仿宋_GB2312" w:hAnsi="仿宋_GB2312" w:eastAsia="仿宋_GB2312"/>
          <w:b w:val="0"/>
          <w:sz w:val="32"/>
        </w:rPr>
        <w:t>4.住房保障支出(类)12.49万元,占7.31%。</w:t>
      </w:r>
    </w:p>
    <w:p w14:paraId="1E0F6E79">
      <w:pPr>
        <w:spacing w:line="640" w:lineRule="exact"/>
        <w:ind w:firstLine="640"/>
        <w:jc w:val="both"/>
        <w:outlineLvl w:val="3"/>
      </w:pPr>
      <w:r>
        <w:rPr>
          <w:rFonts w:ascii="楷体_GB2312" w:hAnsi="楷体_GB2312" w:eastAsia="楷体_GB2312"/>
          <w:b/>
          <w:sz w:val="32"/>
        </w:rPr>
        <w:t>（三）一般公共预算财政拨款支出决算具体情况</w:t>
      </w:r>
    </w:p>
    <w:p w14:paraId="3FA8122D">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1.一般公共服务支出(类)党委办公厅（室）及相关机构事务(款)行政运行(项):支出决算数为82.56万元，比上年决算减少8.77万元，下降9.60%,主要原因是：本年行政在职人员减少，相应人员经费较上年减少。</w:t>
      </w:r>
    </w:p>
    <w:p w14:paraId="2A61CD11">
      <w:pPr>
        <w:spacing w:line="580" w:lineRule="exact"/>
        <w:ind w:firstLine="640"/>
        <w:jc w:val="both"/>
      </w:pPr>
      <w:r>
        <w:rPr>
          <w:rFonts w:ascii="仿宋_GB2312" w:hAnsi="仿宋_GB2312" w:eastAsia="仿宋_GB2312"/>
          <w:b w:val="0"/>
          <w:sz w:val="32"/>
        </w:rPr>
        <w:t>2.一般公共服务支出(类)党委办公厅（室）及相关机构事务(款)事业运行(项):支出决算数为48.43万元，比上年决算增加10.74万元，增长28.50%,主要原因是：本年新增事业在职人员，人员经费增加，导致经费较上年有所增加。</w:t>
      </w:r>
    </w:p>
    <w:p w14:paraId="692D9A63">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3.社会保障和就业支出(类)行政事业单位养老支出(款)行政单位离退休(项):支出决算数为3.11万元，比上年决算增加2.18万元，增长234.41%,主要原因是：本年增加退休人员基础绩效奖，退休费支出增加。</w:t>
      </w:r>
    </w:p>
    <w:p w14:paraId="004C7308">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16.14万元，比上年决算增加0.92万元，增长6.04%,主要原因是：本年在职人员工资基数调增，养老缴费基数上涨，相应支出增加。</w:t>
      </w:r>
    </w:p>
    <w:p w14:paraId="6111EB38">
      <w:pPr>
        <w:spacing w:line="580" w:lineRule="exact"/>
        <w:ind w:firstLine="640"/>
        <w:jc w:val="both"/>
      </w:pPr>
      <w:r>
        <w:rPr>
          <w:rFonts w:ascii="仿宋_GB2312" w:hAnsi="仿宋_GB2312" w:eastAsia="仿宋_GB2312"/>
          <w:b w:val="0"/>
          <w:sz w:val="32"/>
        </w:rPr>
        <w:t>5.卫生健康支出(类)行政事业单位医疗(款)行政单位医疗(项):支出决算数为5.48万元，比上年决算减少2.14万元，下降28.08%,主要原因是：本年行政人员减少，导致行政单位医疗较上年减少。</w:t>
      </w:r>
    </w:p>
    <w:p w14:paraId="45AED7D6">
      <w:pPr>
        <w:spacing w:line="580" w:lineRule="exact"/>
        <w:ind w:firstLine="640"/>
        <w:jc w:val="both"/>
      </w:pPr>
      <w:r>
        <w:rPr>
          <w:rFonts w:ascii="仿宋_GB2312" w:hAnsi="仿宋_GB2312" w:eastAsia="仿宋_GB2312"/>
          <w:b w:val="0"/>
          <w:sz w:val="32"/>
        </w:rPr>
        <w:t>6.卫生健康支出(类)行政事业单位医疗(款)事业单位医疗(项):支出决算数为2.68万元，比上年决算增加0.51万元，增长23.50%,主要原因是：本年在职人员工资基数调增，医疗缴费基数上涨，相应支出增加。</w:t>
      </w:r>
    </w:p>
    <w:p w14:paraId="050DD049">
      <w:pPr>
        <w:spacing w:line="580" w:lineRule="exact"/>
        <w:ind w:firstLine="640"/>
        <w:jc w:val="both"/>
      </w:pPr>
      <w:r>
        <w:rPr>
          <w:rFonts w:ascii="仿宋_GB2312" w:hAnsi="仿宋_GB2312" w:eastAsia="仿宋_GB2312"/>
          <w:b w:val="0"/>
          <w:sz w:val="32"/>
        </w:rPr>
        <w:t>7.卫生健康支出(类)行政事业单位医疗(款)公务员医疗补助(项):支出决算数为0.06万元，比上年决算减少0.27万元，下降81.82%,主要原因是：本年调出行政人员，新进事业人员，人员职级不同，基数不同，导致公务员医疗补助较上年减少。</w:t>
      </w:r>
    </w:p>
    <w:p w14:paraId="4DCDCC3D">
      <w:pPr>
        <w:spacing w:line="580" w:lineRule="exact"/>
        <w:ind w:firstLine="640"/>
        <w:jc w:val="both"/>
      </w:pPr>
      <w:r>
        <w:rPr>
          <w:rFonts w:ascii="仿宋_GB2312" w:hAnsi="仿宋_GB2312" w:eastAsia="仿宋_GB2312"/>
          <w:b w:val="0"/>
          <w:sz w:val="32"/>
        </w:rPr>
        <w:t>8.住房保障支出(类)住房改革支出(款)住房公积金(项):支出决算数为12.49万元，比上年决算减少0.14万元，下降1.11%,主要原因是：本年调出行政人员，新进事业人员，人员职级不同，基数不同，导致住房公积金缴费较上年减少。</w:t>
      </w:r>
    </w:p>
    <w:p w14:paraId="0DEBB6EF">
      <w:pPr>
        <w:spacing w:line="640" w:lineRule="exact"/>
        <w:ind w:firstLine="640"/>
        <w:jc w:val="both"/>
        <w:outlineLvl w:val="2"/>
      </w:pPr>
      <w:r>
        <w:rPr>
          <w:rFonts w:ascii="黑体" w:hAnsi="黑体" w:eastAsia="黑体"/>
          <w:sz w:val="32"/>
        </w:rPr>
        <w:t>六、一般公共预算财政拨款基本支出决算情况说明</w:t>
      </w:r>
    </w:p>
    <w:p w14:paraId="0850F375">
      <w:pPr>
        <w:spacing w:line="580" w:lineRule="exact"/>
        <w:ind w:firstLine="640"/>
        <w:jc w:val="both"/>
      </w:pPr>
      <w:r>
        <w:rPr>
          <w:rFonts w:ascii="仿宋_GB2312" w:hAnsi="仿宋_GB2312" w:eastAsia="仿宋_GB2312"/>
          <w:b w:val="0"/>
          <w:sz w:val="32"/>
        </w:rPr>
        <w:t>2024年度一般公共预算财政拨款基本支出170.96万元，其中：</w:t>
      </w:r>
      <w:r>
        <w:rPr>
          <w:rFonts w:ascii="仿宋_GB2312" w:hAnsi="仿宋_GB2312" w:eastAsia="仿宋_GB2312"/>
          <w:b/>
          <w:sz w:val="32"/>
        </w:rPr>
        <w:t>人员经费159.78万元，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包括：基本工资、津贴补贴、奖金、绩效工资、机关事业单位基本养老保险缴费、职工基本医疗保险缴费、公务员医疗补助缴费、其他社会保障缴费、住房公积金、退休费、奖励金。</w:t>
      </w:r>
    </w:p>
    <w:p w14:paraId="29A35518">
      <w:pPr>
        <w:spacing w:line="580" w:lineRule="exact"/>
        <w:ind w:firstLine="640"/>
        <w:jc w:val="both"/>
      </w:pPr>
      <w:r>
        <w:rPr>
          <w:rFonts w:ascii="仿宋_GB2312" w:hAnsi="仿宋_GB2312" w:eastAsia="仿宋_GB2312"/>
          <w:b/>
          <w:sz w:val="32"/>
        </w:rPr>
        <w:t>公用经费11.18万元，</w:t>
      </w:r>
      <w:r>
        <w:rPr>
          <w:rFonts w:ascii="仿宋_GB2312" w:hAnsi="仿宋_GB2312" w:eastAsia="仿宋_GB2312"/>
          <w:b w:val="0"/>
          <w:sz w:val="32"/>
        </w:rPr>
        <w:t>包括：办公费、邮电费、劳务费、工会经费、公务用车运行维护费。</w:t>
      </w:r>
    </w:p>
    <w:p w14:paraId="7609B1A9">
      <w:pPr>
        <w:spacing w:line="640" w:lineRule="exact"/>
        <w:ind w:firstLine="640"/>
        <w:jc w:val="both"/>
        <w:outlineLvl w:val="2"/>
      </w:pPr>
      <w:r>
        <w:rPr>
          <w:rFonts w:ascii="黑体" w:hAnsi="黑体" w:eastAsia="黑体"/>
          <w:sz w:val="32"/>
        </w:rPr>
        <w:t>七、政府性基金预算财政拨款收入支出决算情况说明</w:t>
      </w:r>
    </w:p>
    <w:p w14:paraId="4D74051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94BC95E">
      <w:pPr>
        <w:spacing w:line="640" w:lineRule="exact"/>
        <w:ind w:firstLine="640"/>
        <w:jc w:val="both"/>
        <w:outlineLvl w:val="2"/>
      </w:pPr>
      <w:r>
        <w:rPr>
          <w:rFonts w:ascii="黑体" w:hAnsi="黑体" w:eastAsia="黑体"/>
          <w:sz w:val="32"/>
        </w:rPr>
        <w:t>八、国有资本经营预算财政拨款收入支出决算情况说明</w:t>
      </w:r>
    </w:p>
    <w:p w14:paraId="247939A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C97C024">
      <w:pPr>
        <w:spacing w:line="640" w:lineRule="exact"/>
        <w:ind w:firstLine="640"/>
        <w:jc w:val="both"/>
        <w:outlineLvl w:val="2"/>
      </w:pPr>
      <w:r>
        <w:rPr>
          <w:rFonts w:ascii="黑体" w:hAnsi="黑体" w:eastAsia="黑体"/>
          <w:sz w:val="32"/>
        </w:rPr>
        <w:t>九、财政拨款“三公”经费支出决算情况说明</w:t>
      </w:r>
    </w:p>
    <w:p w14:paraId="53CAA0EF">
      <w:pPr>
        <w:spacing w:line="580" w:lineRule="exact"/>
        <w:ind w:firstLine="640"/>
        <w:jc w:val="both"/>
      </w:pPr>
      <w:r>
        <w:rPr>
          <w:rFonts w:ascii="仿宋_GB2312" w:hAnsi="仿宋_GB2312" w:eastAsia="仿宋_GB2312"/>
          <w:b/>
          <w:sz w:val="32"/>
        </w:rPr>
        <w:t>2024年度财政拨款“三公”经费支出0.56万元，</w:t>
      </w:r>
      <w:r>
        <w:rPr>
          <w:rFonts w:ascii="仿宋_GB2312" w:hAnsi="仿宋_GB2312" w:eastAsia="仿宋_GB2312"/>
          <w:b w:val="0"/>
          <w:sz w:val="32"/>
        </w:rPr>
        <w:t>比上年增加0.06万元，增长12.00%，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0.56万元，占100.00%，比上年增加0.06万元，增长12.00%，主要原因是：本年因业务需求，用车次数增加，燃油费增加，导致公务用车运行维护费较上年增加。公务接待费支出0.00万元，占0.00%，比上年增加0.00万元，增长0.00%，主要原因是：2023年与2024年均未安排公务接待费支出。</w:t>
      </w:r>
    </w:p>
    <w:p w14:paraId="5C0B983C">
      <w:pPr>
        <w:spacing w:line="580" w:lineRule="exact"/>
        <w:ind w:firstLine="640"/>
        <w:jc w:val="both"/>
      </w:pPr>
      <w:r>
        <w:rPr>
          <w:rFonts w:ascii="仿宋_GB2312" w:hAnsi="仿宋_GB2312" w:eastAsia="仿宋_GB2312"/>
          <w:b/>
          <w:sz w:val="32"/>
        </w:rPr>
        <w:t>具体情况如下：</w:t>
      </w:r>
    </w:p>
    <w:p w14:paraId="091479B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AB80FBA">
      <w:pPr>
        <w:spacing w:line="580" w:lineRule="exact"/>
        <w:ind w:firstLine="640"/>
        <w:jc w:val="both"/>
      </w:pPr>
      <w:r>
        <w:rPr>
          <w:rFonts w:ascii="仿宋_GB2312" w:hAnsi="仿宋_GB2312" w:eastAsia="仿宋_GB2312"/>
          <w:b w:val="0"/>
          <w:sz w:val="32"/>
        </w:rPr>
        <w:t>公务用车购置及运行维护费0.56万元，其中：公务用车购置费0.00万元，公务用车运行维护费0.56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14:paraId="6DC3323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416E6B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0.56万元，决算数0.56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0.56万元，决算数0.56万元，预决算差异率0.00%，主要原因是：严格按照预算执行，预决算无差异。公务接待费全年预算数0.00万元，决算数0.00万元，预决算差异率0.00%，主要原因是：本单位无公务接待费。</w:t>
      </w:r>
    </w:p>
    <w:p w14:paraId="3B1AAF67">
      <w:pPr>
        <w:spacing w:line="640" w:lineRule="exact"/>
        <w:ind w:firstLine="640"/>
        <w:jc w:val="both"/>
        <w:outlineLvl w:val="2"/>
      </w:pPr>
      <w:r>
        <w:rPr>
          <w:rFonts w:ascii="黑体" w:hAnsi="黑体" w:eastAsia="黑体"/>
          <w:sz w:val="32"/>
        </w:rPr>
        <w:t>十、其他重要事项的情况说明</w:t>
      </w:r>
    </w:p>
    <w:p w14:paraId="3342BE34">
      <w:pPr>
        <w:spacing w:line="640" w:lineRule="exact"/>
        <w:ind w:firstLine="640"/>
        <w:jc w:val="both"/>
        <w:outlineLvl w:val="3"/>
      </w:pPr>
      <w:r>
        <w:rPr>
          <w:rFonts w:ascii="楷体_GB2312" w:hAnsi="楷体_GB2312" w:eastAsia="楷体_GB2312"/>
          <w:b/>
          <w:sz w:val="32"/>
        </w:rPr>
        <w:t>（一）机关运行经费及公用经费支出情况</w:t>
      </w:r>
    </w:p>
    <w:p w14:paraId="0738FF6D">
      <w:pPr>
        <w:spacing w:line="580" w:lineRule="exact"/>
        <w:ind w:firstLine="640"/>
        <w:jc w:val="both"/>
      </w:pPr>
      <w:r>
        <w:rPr>
          <w:rFonts w:ascii="仿宋_GB2312" w:hAnsi="仿宋_GB2312" w:eastAsia="仿宋_GB2312"/>
          <w:b w:val="0"/>
          <w:sz w:val="32"/>
        </w:rPr>
        <w:t>2024年度中共霍城县委员会机构编制委员会办公室（行政单位和参照公务员法管理事业单位）机关运行经费支出11.18万元，比上年增加6.32万元，增长130.04%，主要原因是：本年增加乡镇履职清单工作经费，导致公用经费增加。</w:t>
      </w:r>
    </w:p>
    <w:p w14:paraId="34C3E78D">
      <w:pPr>
        <w:spacing w:line="640" w:lineRule="exact"/>
        <w:ind w:firstLine="640"/>
        <w:jc w:val="both"/>
        <w:outlineLvl w:val="3"/>
      </w:pPr>
      <w:r>
        <w:rPr>
          <w:rFonts w:ascii="楷体_GB2312" w:hAnsi="楷体_GB2312" w:eastAsia="楷体_GB2312"/>
          <w:b/>
          <w:sz w:val="32"/>
        </w:rPr>
        <w:t>（二）政府采购情况</w:t>
      </w:r>
    </w:p>
    <w:p w14:paraId="4C0BA868">
      <w:pPr>
        <w:spacing w:line="580" w:lineRule="exact"/>
        <w:ind w:firstLine="640"/>
        <w:jc w:val="both"/>
      </w:pPr>
      <w:r>
        <w:rPr>
          <w:rFonts w:ascii="仿宋_GB2312" w:hAnsi="仿宋_GB2312" w:eastAsia="仿宋_GB2312"/>
          <w:b w:val="0"/>
          <w:sz w:val="32"/>
        </w:rPr>
        <w:t>2024年度政府采购支出总额1.56万元，其中：政府采购货物支出1.56万元、政府采购工程支出0.00万元、政府采购服务支出0.00万元。</w:t>
      </w:r>
    </w:p>
    <w:p w14:paraId="5EBD45D8">
      <w:pPr>
        <w:spacing w:line="580" w:lineRule="exact"/>
        <w:ind w:firstLine="640"/>
        <w:jc w:val="both"/>
      </w:pPr>
      <w:r>
        <w:rPr>
          <w:rFonts w:ascii="仿宋_GB2312" w:hAnsi="仿宋_GB2312" w:eastAsia="仿宋_GB2312"/>
          <w:b w:val="0"/>
          <w:sz w:val="32"/>
        </w:rPr>
        <w:t>授予中小企业合同金额1.56万元，占政府采购支出总额的100.00%，其中：授予小微企业合同金额1.56万元，占政府采购支出总额的100.00%。</w:t>
      </w:r>
    </w:p>
    <w:p w14:paraId="6FEB22EB">
      <w:pPr>
        <w:spacing w:line="640" w:lineRule="exact"/>
        <w:ind w:firstLine="640"/>
        <w:jc w:val="both"/>
        <w:outlineLvl w:val="3"/>
      </w:pPr>
      <w:r>
        <w:rPr>
          <w:rFonts w:ascii="楷体_GB2312" w:hAnsi="楷体_GB2312" w:eastAsia="楷体_GB2312"/>
          <w:b/>
          <w:sz w:val="32"/>
        </w:rPr>
        <w:t>（三）国有资产占用情况说明</w:t>
      </w:r>
    </w:p>
    <w:p w14:paraId="6F4011B3">
      <w:pPr>
        <w:spacing w:line="580" w:lineRule="exact"/>
        <w:ind w:firstLine="640"/>
        <w:jc w:val="both"/>
      </w:pPr>
      <w:r>
        <w:rPr>
          <w:rFonts w:ascii="仿宋_GB2312" w:hAnsi="仿宋_GB2312" w:eastAsia="仿宋_GB2312"/>
          <w:b w:val="0"/>
          <w:sz w:val="32"/>
        </w:rPr>
        <w:t>截至2024年12月31日，房屋0.00平方米，价值0.00万元。车辆1辆，价值14.18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22240F46">
      <w:pPr>
        <w:spacing w:line="640" w:lineRule="exact"/>
        <w:ind w:firstLine="640"/>
        <w:jc w:val="both"/>
        <w:outlineLvl w:val="2"/>
      </w:pPr>
      <w:r>
        <w:rPr>
          <w:rFonts w:ascii="黑体" w:hAnsi="黑体" w:eastAsia="黑体"/>
          <w:sz w:val="32"/>
        </w:rPr>
        <w:t>十一、预算绩效的情况说明</w:t>
      </w:r>
    </w:p>
    <w:p w14:paraId="25ACE31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170.96万元，实际执行总额170.96万元；预算绩效评价项目0个，全年预算数0.00万元，全年执行数0.00万元。预算绩效管理取得的成效：一是增强管理制度健全性；二是资金使用合规性和安全性；三是预决算信息公开性。发现的问题及原因：一是未实现全面预算的信息化管理，对各项资金使用的规范性和使用结果的有效性分析不够。二是内部管理制度还不完善，内部管理流程不清晰。三是财政支出绩效管理工作还有待进一步提高，在平时工作中对绩效工作重视不够。下一步改进措施：一是提高认识，把预算绩效管理与日常工作融为一体。二是健全财务管理体系，完善机关内控机制。三是加强队伍建设。加强业务培训，提升业务素质，提高业务水平。具体附整体支出绩效自评表。</w:t>
      </w:r>
    </w:p>
    <w:p w14:paraId="643DECA9">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54EEFAF">
        <w:tc>
          <w:tcPr>
            <w:tcW w:w="8840" w:type="dxa"/>
            <w:gridSpan w:val="8"/>
            <w:vAlign w:val="center"/>
          </w:tcPr>
          <w:p w14:paraId="28EB28D7">
            <w:pPr>
              <w:jc w:val="center"/>
            </w:pPr>
            <w:r>
              <w:rPr>
                <w:rFonts w:ascii="宋体" w:hAnsi="宋体" w:eastAsia="宋体"/>
                <w:sz w:val="24"/>
              </w:rPr>
              <w:t>单位整体支出绩效自评表</w:t>
            </w:r>
          </w:p>
        </w:tc>
      </w:tr>
      <w:tr w14:paraId="14B817E2">
        <w:tblPrEx>
          <w:tblCellMar>
            <w:top w:w="0" w:type="dxa"/>
            <w:left w:w="108" w:type="dxa"/>
            <w:bottom w:w="0" w:type="dxa"/>
            <w:right w:w="108" w:type="dxa"/>
          </w:tblCellMar>
        </w:tblPrEx>
        <w:tc>
          <w:tcPr>
            <w:tcW w:w="8840" w:type="dxa"/>
            <w:gridSpan w:val="8"/>
            <w:vAlign w:val="center"/>
          </w:tcPr>
          <w:p w14:paraId="7DA94F33">
            <w:pPr>
              <w:jc w:val="center"/>
            </w:pPr>
            <w:r>
              <w:rPr>
                <w:rFonts w:ascii="宋体" w:hAnsi="宋体" w:eastAsia="宋体"/>
                <w:sz w:val="24"/>
              </w:rPr>
              <w:t>（2024年度）</w:t>
            </w:r>
          </w:p>
        </w:tc>
      </w:tr>
      <w:tr w14:paraId="33FB117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735012">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63DD63">
            <w:pPr>
              <w:jc w:val="center"/>
            </w:pPr>
            <w:r>
              <w:rPr>
                <w:rFonts w:ascii="宋体" w:hAnsi="宋体" w:eastAsia="宋体"/>
                <w:sz w:val="16"/>
              </w:rPr>
              <w:t>中共霍城县委员会机构编制委员会办公室</w:t>
            </w:r>
          </w:p>
        </w:tc>
      </w:tr>
      <w:tr w14:paraId="3416C39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ABCE2B">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7C4DB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37783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0F6B6">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17A8AC">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18287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6BEDB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BCEA78">
            <w:pPr>
              <w:jc w:val="center"/>
            </w:pPr>
            <w:r>
              <w:rPr>
                <w:rFonts w:ascii="宋体" w:hAnsi="宋体" w:eastAsia="宋体"/>
                <w:sz w:val="16"/>
              </w:rPr>
              <w:t>得分</w:t>
            </w:r>
          </w:p>
        </w:tc>
      </w:tr>
      <w:tr w14:paraId="4C339AA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5A9F1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B2679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910877">
            <w:pPr>
              <w:jc w:val="center"/>
            </w:pPr>
            <w:r>
              <w:rPr>
                <w:rFonts w:ascii="宋体" w:hAnsi="宋体" w:eastAsia="宋体"/>
                <w:sz w:val="16"/>
              </w:rPr>
              <w:t>174.47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D43D68">
            <w:pPr>
              <w:jc w:val="center"/>
            </w:pPr>
            <w:r>
              <w:rPr>
                <w:rFonts w:ascii="宋体" w:hAnsi="宋体" w:eastAsia="宋体"/>
                <w:sz w:val="16"/>
              </w:rPr>
              <w:t>170.96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23735B">
            <w:pPr>
              <w:jc w:val="center"/>
            </w:pPr>
            <w:r>
              <w:rPr>
                <w:rFonts w:ascii="宋体" w:hAnsi="宋体" w:eastAsia="宋体"/>
                <w:sz w:val="16"/>
              </w:rPr>
              <w:t>170.96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69CA0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AA90F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160DF8">
            <w:pPr>
              <w:jc w:val="center"/>
            </w:pPr>
            <w:r>
              <w:rPr>
                <w:rFonts w:ascii="宋体" w:hAnsi="宋体" w:eastAsia="宋体"/>
                <w:sz w:val="16"/>
              </w:rPr>
              <w:t>10</w:t>
            </w:r>
          </w:p>
        </w:tc>
      </w:tr>
      <w:tr w14:paraId="73BAD06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FCB78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DED0C5">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8B4BD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7E047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9278B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CD43F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9567D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F90A2F">
            <w:pPr>
              <w:jc w:val="center"/>
            </w:pPr>
            <w:r>
              <w:rPr>
                <w:rFonts w:ascii="宋体" w:hAnsi="宋体" w:eastAsia="宋体"/>
                <w:sz w:val="16"/>
              </w:rPr>
              <w:t>-</w:t>
            </w:r>
          </w:p>
        </w:tc>
      </w:tr>
      <w:tr w14:paraId="0EA0ECC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3B3B8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D50818">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881F14">
            <w:pPr>
              <w:jc w:val="center"/>
            </w:pPr>
            <w:r>
              <w:rPr>
                <w:rFonts w:ascii="宋体" w:hAnsi="宋体" w:eastAsia="宋体"/>
                <w:sz w:val="16"/>
              </w:rPr>
              <w:t>174.47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DDD4C4">
            <w:pPr>
              <w:jc w:val="center"/>
            </w:pPr>
            <w:r>
              <w:rPr>
                <w:rFonts w:ascii="宋体" w:hAnsi="宋体" w:eastAsia="宋体"/>
                <w:sz w:val="16"/>
              </w:rPr>
              <w:t>170.96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11E30D">
            <w:pPr>
              <w:jc w:val="center"/>
            </w:pPr>
            <w:r>
              <w:rPr>
                <w:rFonts w:ascii="宋体" w:hAnsi="宋体" w:eastAsia="宋体"/>
                <w:sz w:val="16"/>
              </w:rPr>
              <w:t>170.96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4E0B9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AEDD8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2A13CC">
            <w:pPr>
              <w:jc w:val="center"/>
            </w:pPr>
            <w:r>
              <w:rPr>
                <w:rFonts w:ascii="宋体" w:hAnsi="宋体" w:eastAsia="宋体"/>
                <w:sz w:val="16"/>
              </w:rPr>
              <w:t>-</w:t>
            </w:r>
          </w:p>
        </w:tc>
      </w:tr>
      <w:tr w14:paraId="1082773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37815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DA33CD">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007C6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E6088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B0B51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88E95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E3E4F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AF0D52">
            <w:pPr>
              <w:jc w:val="center"/>
            </w:pPr>
            <w:r>
              <w:rPr>
                <w:rFonts w:ascii="宋体" w:hAnsi="宋体" w:eastAsia="宋体"/>
                <w:sz w:val="16"/>
              </w:rPr>
              <w:t>-</w:t>
            </w:r>
          </w:p>
        </w:tc>
      </w:tr>
      <w:tr w14:paraId="3F66E0A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F75B1">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F4C82C">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6A56C75">
            <w:pPr>
              <w:jc w:val="center"/>
            </w:pPr>
            <w:r>
              <w:rPr>
                <w:rFonts w:ascii="宋体" w:hAnsi="宋体" w:eastAsia="宋体"/>
                <w:sz w:val="16"/>
              </w:rPr>
              <w:t>实际完成情况</w:t>
            </w:r>
          </w:p>
        </w:tc>
      </w:tr>
      <w:tr w14:paraId="605C047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D31E6A"/>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83093F">
            <w:pPr>
              <w:jc w:val="both"/>
            </w:pPr>
            <w:r>
              <w:rPr>
                <w:rFonts w:ascii="宋体" w:hAnsi="宋体" w:eastAsia="宋体"/>
                <w:sz w:val="16"/>
              </w:rPr>
              <w:t>以习近平新时代中国特色社会主义思想为指导，全面学习宣传贯彻党的二十大、第三次中央新疆工作座谈会精神，贯彻落实</w:t>
            </w:r>
            <w:bookmarkStart w:id="0" w:name="_GoBack"/>
            <w:r>
              <w:rPr>
                <w:rFonts w:hint="eastAsia" w:ascii="宋体" w:hAnsi="宋体"/>
                <w:sz w:val="16"/>
                <w:lang w:eastAsia="zh-CN"/>
              </w:rPr>
              <w:t>自治区</w:t>
            </w:r>
            <w:bookmarkEnd w:id="0"/>
            <w:r>
              <w:rPr>
                <w:rFonts w:ascii="宋体" w:hAnsi="宋体" w:eastAsia="宋体"/>
                <w:sz w:val="16"/>
              </w:rPr>
              <w:t>党委十届三次、四次、五次、六次全会精神，完整准确贯彻新时代党的治疆方略，牢牢扭住社会稳定和长治久安总目标，紧紧围绕自治区、自治州党委决策部署和县委工作要求，统筹推进规范完善机构职能体系、深化机构改革、优化机构编制资源配置和机构编制法治建设，为建设“两优一高”新霍城提供坚强体制机制和机构编制保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3D64057">
            <w:pPr>
              <w:jc w:val="both"/>
            </w:pPr>
            <w:r>
              <w:rPr>
                <w:rFonts w:ascii="宋体" w:hAnsi="宋体" w:eastAsia="宋体"/>
                <w:sz w:val="16"/>
              </w:rPr>
              <w:t>1.提高政治站位，圆满完成机构改革任务。2.建强基层体系，推进乡镇机构改革。一是制定乡镇“三定”规定。3.坚持协同高效，统筹推进重点领域改革。一是深化公安机关机构编制管理改革。4.深化事业单位改革，提升事业单位登记管理水平。一是有序推进事业单位改革。5.聚焦关键重点，优化机构编制资源配置。一是加强编制管理。</w:t>
            </w:r>
          </w:p>
        </w:tc>
      </w:tr>
      <w:tr w14:paraId="5FD55E0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894451">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D98671">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4F72A4">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AB2D42">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958A1C">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60E3E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B54DE1">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50651C">
            <w:pPr>
              <w:jc w:val="center"/>
            </w:pPr>
            <w:r>
              <w:rPr>
                <w:rFonts w:ascii="宋体" w:hAnsi="宋体" w:eastAsia="宋体"/>
                <w:sz w:val="16"/>
              </w:rPr>
              <w:t>得分</w:t>
            </w:r>
          </w:p>
        </w:tc>
      </w:tr>
      <w:tr w14:paraId="035824A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F93239">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0E97B7">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BDAB32">
            <w:pPr>
              <w:jc w:val="center"/>
            </w:pPr>
            <w:r>
              <w:rPr>
                <w:rFonts w:ascii="宋体" w:hAnsi="宋体" w:eastAsia="宋体"/>
                <w:sz w:val="16"/>
              </w:rPr>
              <w:t>办理人员编制手续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51DD17">
            <w:pPr>
              <w:jc w:val="center"/>
            </w:pPr>
            <w:r>
              <w:rPr>
                <w:rFonts w:ascii="宋体" w:hAnsi="宋体" w:eastAsia="宋体"/>
                <w:sz w:val="16"/>
              </w:rPr>
              <w:t>&gt;=450件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D10A86">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DDFDFC">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3AE972">
            <w:pPr>
              <w:jc w:val="center"/>
            </w:pPr>
            <w:r>
              <w:rPr>
                <w:rFonts w:ascii="宋体" w:hAnsi="宋体" w:eastAsia="宋体"/>
                <w:sz w:val="16"/>
              </w:rPr>
              <w:t>550件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83D3F1">
            <w:pPr>
              <w:jc w:val="center"/>
            </w:pPr>
            <w:r>
              <w:rPr>
                <w:rFonts w:ascii="宋体" w:hAnsi="宋体" w:eastAsia="宋体"/>
                <w:sz w:val="16"/>
              </w:rPr>
              <w:t>18</w:t>
            </w:r>
          </w:p>
        </w:tc>
      </w:tr>
      <w:tr w14:paraId="1D7374D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B828F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6762F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202DF1">
            <w:pPr>
              <w:jc w:val="center"/>
            </w:pPr>
            <w:r>
              <w:rPr>
                <w:rFonts w:ascii="宋体" w:hAnsi="宋体" w:eastAsia="宋体"/>
                <w:sz w:val="16"/>
              </w:rPr>
              <w:t>机构编制年度审核单位数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F93E92">
            <w:pPr>
              <w:jc w:val="center"/>
            </w:pPr>
            <w:r>
              <w:rPr>
                <w:rFonts w:ascii="宋体" w:hAnsi="宋体" w:eastAsia="宋体"/>
                <w:sz w:val="16"/>
              </w:rPr>
              <w:t>&gt;=50家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E7A612">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73161C">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6767D">
            <w:pPr>
              <w:jc w:val="center"/>
            </w:pPr>
            <w:r>
              <w:rPr>
                <w:rFonts w:ascii="宋体" w:hAnsi="宋体" w:eastAsia="宋体"/>
                <w:sz w:val="16"/>
              </w:rPr>
              <w:t>50家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C0A4C2">
            <w:pPr>
              <w:jc w:val="center"/>
            </w:pPr>
            <w:r>
              <w:rPr>
                <w:rFonts w:ascii="宋体" w:hAnsi="宋体" w:eastAsia="宋体"/>
                <w:sz w:val="16"/>
              </w:rPr>
              <w:t>18</w:t>
            </w:r>
          </w:p>
        </w:tc>
      </w:tr>
      <w:tr w14:paraId="16EEE8C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7F402B"/>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755808">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060656">
            <w:pPr>
              <w:jc w:val="center"/>
            </w:pPr>
            <w:r>
              <w:rPr>
                <w:rFonts w:ascii="宋体" w:hAnsi="宋体" w:eastAsia="宋体"/>
                <w:sz w:val="16"/>
              </w:rPr>
              <w:t>完成事业单位法人年度报告公示合格率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B4660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227575">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4FCCB6">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2F897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EA51E4">
            <w:pPr>
              <w:jc w:val="center"/>
            </w:pPr>
            <w:r>
              <w:rPr>
                <w:rFonts w:ascii="宋体" w:hAnsi="宋体" w:eastAsia="宋体"/>
                <w:sz w:val="16"/>
              </w:rPr>
              <w:t>18</w:t>
            </w:r>
          </w:p>
        </w:tc>
      </w:tr>
      <w:tr w14:paraId="0AD7B20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B3195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41BB6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C01D16">
            <w:pPr>
              <w:jc w:val="center"/>
            </w:pPr>
            <w:r>
              <w:rPr>
                <w:rFonts w:ascii="宋体" w:hAnsi="宋体" w:eastAsia="宋体"/>
                <w:sz w:val="16"/>
              </w:rPr>
              <w:t>扎实推进党政机构改革、事业单位改革完成率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31382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973FE8">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67BB73">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77AAE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CE7A09">
            <w:pPr>
              <w:jc w:val="center"/>
            </w:pPr>
            <w:r>
              <w:rPr>
                <w:rFonts w:ascii="宋体" w:hAnsi="宋体" w:eastAsia="宋体"/>
                <w:sz w:val="16"/>
              </w:rPr>
              <w:t>18</w:t>
            </w:r>
          </w:p>
        </w:tc>
      </w:tr>
      <w:tr w14:paraId="21307CB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555DA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84B31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4BDD27">
            <w:pPr>
              <w:jc w:val="center"/>
            </w:pPr>
            <w:r>
              <w:rPr>
                <w:rFonts w:ascii="宋体" w:hAnsi="宋体" w:eastAsia="宋体"/>
                <w:sz w:val="16"/>
              </w:rPr>
              <w:t>深化综合行政执法体制改革完成率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2C7CA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C451C2">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996260">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384F5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9F5835">
            <w:pPr>
              <w:jc w:val="center"/>
            </w:pPr>
            <w:r>
              <w:rPr>
                <w:rFonts w:ascii="宋体" w:hAnsi="宋体" w:eastAsia="宋体"/>
                <w:sz w:val="16"/>
              </w:rPr>
              <w:t>18</w:t>
            </w:r>
          </w:p>
        </w:tc>
      </w:tr>
    </w:tbl>
    <w:p w14:paraId="7A20623F">
      <w:r>
        <w:br w:type="page"/>
      </w:r>
    </w:p>
    <w:p w14:paraId="1BB47415">
      <w:pPr>
        <w:spacing w:line="640" w:lineRule="exact"/>
        <w:ind w:firstLine="640"/>
        <w:jc w:val="both"/>
        <w:outlineLvl w:val="2"/>
      </w:pPr>
      <w:r>
        <w:rPr>
          <w:rFonts w:ascii="黑体" w:hAnsi="黑体" w:eastAsia="黑体"/>
          <w:sz w:val="32"/>
        </w:rPr>
        <w:t>十二、其他需说明的事项</w:t>
      </w:r>
    </w:p>
    <w:p w14:paraId="4444118A">
      <w:pPr>
        <w:spacing w:line="580" w:lineRule="exact"/>
        <w:ind w:firstLine="640"/>
        <w:jc w:val="both"/>
      </w:pPr>
      <w:r>
        <w:rPr>
          <w:rFonts w:ascii="仿宋_GB2312" w:hAnsi="仿宋_GB2312" w:eastAsia="仿宋_GB2312"/>
          <w:b w:val="0"/>
          <w:sz w:val="32"/>
        </w:rPr>
        <w:t>本单位无其他需说明的事项。</w:t>
      </w:r>
    </w:p>
    <w:p w14:paraId="60B379E6">
      <w:r>
        <w:br w:type="page"/>
      </w:r>
    </w:p>
    <w:p w14:paraId="2C6E0C33">
      <w:pPr>
        <w:spacing w:line="240" w:lineRule="auto"/>
        <w:jc w:val="center"/>
        <w:outlineLvl w:val="1"/>
      </w:pPr>
      <w:r>
        <w:rPr>
          <w:rFonts w:ascii="黑体" w:hAnsi="黑体" w:eastAsia="黑体"/>
          <w:sz w:val="32"/>
        </w:rPr>
        <w:t>第三部分 专业名词解释</w:t>
      </w:r>
    </w:p>
    <w:p w14:paraId="7B5FF68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F226E1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B0D84F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18D5BC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8B7FC9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70BC68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7AB07F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6DD3A9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93AA04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2FEBDF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E13C0F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49C7AD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A51792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A72282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688BDE8">
      <w:r>
        <w:br w:type="page"/>
      </w:r>
    </w:p>
    <w:p w14:paraId="7E51C5A7">
      <w:pPr>
        <w:spacing w:line="240" w:lineRule="auto"/>
        <w:jc w:val="center"/>
        <w:outlineLvl w:val="1"/>
      </w:pPr>
      <w:r>
        <w:rPr>
          <w:rFonts w:ascii="黑体" w:hAnsi="黑体" w:eastAsia="黑体"/>
          <w:sz w:val="32"/>
        </w:rPr>
        <w:t>第四部分 部门决算报表（见附表）</w:t>
      </w:r>
    </w:p>
    <w:p w14:paraId="5CBF0340">
      <w:pPr>
        <w:spacing w:line="240" w:lineRule="auto"/>
        <w:ind w:firstLine="640"/>
        <w:jc w:val="both"/>
      </w:pPr>
      <w:r>
        <w:rPr>
          <w:rFonts w:ascii="仿宋_GB2312" w:hAnsi="仿宋_GB2312" w:eastAsia="仿宋_GB2312"/>
          <w:b w:val="0"/>
          <w:sz w:val="32"/>
        </w:rPr>
        <w:t>一、《收入支出决算总表》</w:t>
      </w:r>
    </w:p>
    <w:p w14:paraId="6EED4DD2">
      <w:pPr>
        <w:spacing w:line="240" w:lineRule="auto"/>
        <w:ind w:firstLine="640"/>
        <w:jc w:val="both"/>
      </w:pPr>
      <w:r>
        <w:rPr>
          <w:rFonts w:ascii="仿宋_GB2312" w:hAnsi="仿宋_GB2312" w:eastAsia="仿宋_GB2312"/>
          <w:b w:val="0"/>
          <w:sz w:val="32"/>
        </w:rPr>
        <w:t>二、《收入决算表》</w:t>
      </w:r>
    </w:p>
    <w:p w14:paraId="6D1C99B3">
      <w:pPr>
        <w:spacing w:line="240" w:lineRule="auto"/>
        <w:ind w:firstLine="640"/>
        <w:jc w:val="both"/>
      </w:pPr>
      <w:r>
        <w:rPr>
          <w:rFonts w:ascii="仿宋_GB2312" w:hAnsi="仿宋_GB2312" w:eastAsia="仿宋_GB2312"/>
          <w:b w:val="0"/>
          <w:sz w:val="32"/>
        </w:rPr>
        <w:t>三、《支出决算表》</w:t>
      </w:r>
    </w:p>
    <w:p w14:paraId="28318C29">
      <w:pPr>
        <w:spacing w:line="240" w:lineRule="auto"/>
        <w:ind w:firstLine="640"/>
        <w:jc w:val="both"/>
      </w:pPr>
      <w:r>
        <w:rPr>
          <w:rFonts w:ascii="仿宋_GB2312" w:hAnsi="仿宋_GB2312" w:eastAsia="仿宋_GB2312"/>
          <w:b w:val="0"/>
          <w:sz w:val="32"/>
        </w:rPr>
        <w:t>四、《财政拨款收入支出决算总表》</w:t>
      </w:r>
    </w:p>
    <w:p w14:paraId="11017E1A">
      <w:pPr>
        <w:spacing w:line="240" w:lineRule="auto"/>
        <w:ind w:firstLine="640"/>
        <w:jc w:val="both"/>
      </w:pPr>
      <w:r>
        <w:rPr>
          <w:rFonts w:ascii="仿宋_GB2312" w:hAnsi="仿宋_GB2312" w:eastAsia="仿宋_GB2312"/>
          <w:b w:val="0"/>
          <w:sz w:val="32"/>
        </w:rPr>
        <w:t>五、《一般公共预算财政拨款支出决算表》</w:t>
      </w:r>
    </w:p>
    <w:p w14:paraId="0FCBC8A4">
      <w:pPr>
        <w:spacing w:line="240" w:lineRule="auto"/>
        <w:ind w:firstLine="640"/>
        <w:jc w:val="both"/>
      </w:pPr>
      <w:r>
        <w:rPr>
          <w:rFonts w:ascii="仿宋_GB2312" w:hAnsi="仿宋_GB2312" w:eastAsia="仿宋_GB2312"/>
          <w:b w:val="0"/>
          <w:sz w:val="32"/>
        </w:rPr>
        <w:t>六、《一般公共预算财政拨款基本支出决算表》</w:t>
      </w:r>
    </w:p>
    <w:p w14:paraId="424933BA">
      <w:pPr>
        <w:spacing w:line="240" w:lineRule="auto"/>
        <w:ind w:firstLine="640"/>
        <w:jc w:val="both"/>
      </w:pPr>
      <w:r>
        <w:rPr>
          <w:rFonts w:ascii="仿宋_GB2312" w:hAnsi="仿宋_GB2312" w:eastAsia="仿宋_GB2312"/>
          <w:b w:val="0"/>
          <w:sz w:val="32"/>
        </w:rPr>
        <w:t>七、《政府性基金预算财政拨款收入支出决算表》</w:t>
      </w:r>
    </w:p>
    <w:p w14:paraId="3AB85C46">
      <w:pPr>
        <w:spacing w:line="240" w:lineRule="auto"/>
        <w:ind w:firstLine="640"/>
        <w:jc w:val="both"/>
      </w:pPr>
      <w:r>
        <w:rPr>
          <w:rFonts w:ascii="仿宋_GB2312" w:hAnsi="仿宋_GB2312" w:eastAsia="仿宋_GB2312"/>
          <w:b w:val="0"/>
          <w:sz w:val="32"/>
        </w:rPr>
        <w:t>八、《国有资本经营预算财政拨款收入支出决算表》</w:t>
      </w:r>
    </w:p>
    <w:p w14:paraId="01AEA132">
      <w:pPr>
        <w:spacing w:line="240" w:lineRule="auto"/>
        <w:ind w:firstLine="640"/>
        <w:jc w:val="both"/>
      </w:pPr>
      <w:r>
        <w:rPr>
          <w:rFonts w:ascii="仿宋_GB2312" w:hAnsi="仿宋_GB2312" w:eastAsia="仿宋_GB2312"/>
          <w:b w:val="0"/>
          <w:sz w:val="32"/>
        </w:rPr>
        <w:t>九、《财政拨款“三公”经费支出决算表》</w:t>
      </w:r>
    </w:p>
    <w:p w14:paraId="42F7502E">
      <w:pPr>
        <w:spacing w:line="240" w:lineRule="auto"/>
        <w:ind w:firstLine="640"/>
        <w:jc w:val="both"/>
      </w:pPr>
    </w:p>
    <w:p w14:paraId="68B0462D">
      <w:pPr>
        <w:spacing w:line="240" w:lineRule="auto"/>
        <w:ind w:firstLine="640"/>
        <w:jc w:val="both"/>
      </w:pPr>
    </w:p>
    <w:p w14:paraId="582DC572">
      <w:pPr>
        <w:spacing w:line="240" w:lineRule="auto"/>
        <w:ind w:firstLine="640"/>
        <w:jc w:val="both"/>
      </w:pPr>
    </w:p>
    <w:p w14:paraId="56BEBCF7">
      <w:pPr>
        <w:spacing w:line="240" w:lineRule="auto"/>
        <w:ind w:firstLine="640"/>
        <w:jc w:val="both"/>
      </w:pPr>
    </w:p>
    <w:p w14:paraId="73CD8A8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45B19D9-6ECA-47DA-AC5D-471E6C5FF5C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E01114D-0ECB-47AA-B45B-8544003B11D2}"/>
  </w:font>
  <w:font w:name="仿宋_GB2312">
    <w:altName w:val="仿宋"/>
    <w:panose1 w:val="02010609030101010101"/>
    <w:charset w:val="86"/>
    <w:family w:val="modern"/>
    <w:pitch w:val="default"/>
    <w:sig w:usb0="00000000" w:usb1="00000000" w:usb2="00000000" w:usb3="00000000" w:csb0="00040000" w:csb1="00000000"/>
    <w:embedRegular r:id="rId3" w:fontKey="{E88D54D9-8A4A-4F64-B53F-C9FDC89F3F10}"/>
  </w:font>
  <w:font w:name="楷体_GB2312">
    <w:altName w:val="楷体"/>
    <w:panose1 w:val="00000000000000000000"/>
    <w:charset w:val="00"/>
    <w:family w:val="auto"/>
    <w:pitch w:val="default"/>
    <w:sig w:usb0="00000000" w:usb1="00000000" w:usb2="00000000" w:usb3="00000000" w:csb0="00000000" w:csb1="00000000"/>
    <w:embedRegular r:id="rId4" w:fontKey="{4E3D8DA6-A31D-4ABF-94CE-D7DE6BB1C3F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6C174C8"/>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4458</Words>
  <Characters>5091</Characters>
  <Lines>0</Lines>
  <Paragraphs>0</Paragraphs>
  <TotalTime>0</TotalTime>
  <ScaleCrop>false</ScaleCrop>
  <LinksUpToDate>false</LinksUpToDate>
  <CharactersWithSpaces>5099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2025-09-25T02:36:12Z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