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宋体" w:cs="Arial"/>
          <w:b/>
          <w:bCs/>
          <w:sz w:val="48"/>
          <w:szCs w:val="48"/>
        </w:rPr>
      </w:pPr>
      <w:bookmarkStart w:id="21" w:name="_GoBack"/>
      <w:bookmarkEnd w:id="21"/>
    </w:p>
    <w:p>
      <w:pPr>
        <w:jc w:val="center"/>
        <w:rPr>
          <w:rFonts w:ascii="宋体" w:hAnsi="宋体" w:eastAsia="宋体" w:cs="Arial"/>
          <w:b/>
          <w:bCs/>
          <w:sz w:val="48"/>
          <w:szCs w:val="48"/>
        </w:rPr>
      </w:pPr>
    </w:p>
    <w:p>
      <w:pPr>
        <w:jc w:val="center"/>
        <w:rPr>
          <w:rFonts w:ascii="宋体" w:hAnsi="宋体" w:eastAsia="宋体" w:cs="Arial"/>
          <w:b/>
          <w:bCs/>
          <w:sz w:val="48"/>
          <w:szCs w:val="48"/>
        </w:rPr>
      </w:pPr>
    </w:p>
    <w:p>
      <w:pPr>
        <w:jc w:val="center"/>
        <w:rPr>
          <w:rFonts w:ascii="宋体" w:hAnsi="宋体" w:eastAsia="宋体" w:cs="Arial"/>
          <w:b/>
          <w:bCs/>
          <w:sz w:val="52"/>
          <w:szCs w:val="52"/>
        </w:rPr>
      </w:pPr>
      <w:r>
        <w:rPr>
          <w:rFonts w:hint="eastAsia" w:ascii="宋体" w:hAnsi="宋体" w:eastAsia="宋体" w:cs="Arial"/>
          <w:b/>
          <w:bCs/>
          <w:sz w:val="52"/>
          <w:szCs w:val="52"/>
        </w:rPr>
        <w:t>项目支出绩效评价报告</w:t>
      </w:r>
    </w:p>
    <w:p>
      <w:pPr>
        <w:jc w:val="center"/>
        <w:rPr>
          <w:rFonts w:ascii="宋体" w:hAnsi="宋体" w:eastAsia="宋体" w:cs="Arial"/>
          <w:b/>
          <w:bCs/>
          <w:sz w:val="48"/>
          <w:szCs w:val="48"/>
        </w:rPr>
      </w:pPr>
    </w:p>
    <w:p>
      <w:pPr>
        <w:widowControl/>
        <w:spacing w:beforeAutospacing="0" w:afterAutospacing="0" w:line="560" w:lineRule="exact"/>
        <w:jc w:val="center"/>
        <w:rPr>
          <w:rFonts w:ascii="仿宋_GB2312" w:hAnsi="仿宋_GB2312" w:cs="仿宋_GB2312"/>
          <w:b/>
          <w:kern w:val="0"/>
          <w:sz w:val="50"/>
          <w:szCs w:val="50"/>
          <w:lang w:bidi="en-US"/>
        </w:rPr>
      </w:pPr>
      <w:r>
        <w:rPr>
          <w:rFonts w:hint="eastAsia" w:ascii="方正小标宋简体" w:hAnsi="方正小标宋简体" w:eastAsia="方正小标宋简体" w:cs="方正小标宋简体"/>
          <w:color w:val="000000"/>
          <w:kern w:val="0"/>
          <w:sz w:val="36"/>
          <w:szCs w:val="36"/>
        </w:rPr>
        <w:t>（2</w:t>
      </w:r>
      <w:r>
        <w:rPr>
          <w:rFonts w:ascii="方正小标宋简体" w:hAnsi="方正小标宋简体" w:eastAsia="方正小标宋简体" w:cs="方正小标宋简体"/>
          <w:color w:val="000000"/>
          <w:kern w:val="0"/>
          <w:sz w:val="36"/>
          <w:szCs w:val="36"/>
        </w:rPr>
        <w:t>02</w:t>
      </w:r>
      <w:r>
        <w:rPr>
          <w:rFonts w:hint="eastAsia" w:ascii="方正小标宋简体" w:hAnsi="方正小标宋简体" w:eastAsia="方正小标宋简体" w:cs="方正小标宋简体"/>
          <w:color w:val="000000"/>
          <w:kern w:val="0"/>
          <w:sz w:val="36"/>
          <w:szCs w:val="36"/>
          <w:lang w:val="en-US" w:eastAsia="zh-CN"/>
        </w:rPr>
        <w:t>2</w:t>
      </w:r>
      <w:r>
        <w:rPr>
          <w:rFonts w:hint="eastAsia" w:ascii="方正小标宋简体" w:hAnsi="方正小标宋简体" w:eastAsia="方正小标宋简体" w:cs="方正小标宋简体"/>
          <w:color w:val="000000"/>
          <w:kern w:val="0"/>
          <w:sz w:val="36"/>
          <w:szCs w:val="36"/>
        </w:rPr>
        <w:t>年度）</w:t>
      </w:r>
    </w:p>
    <w:p>
      <w:pPr>
        <w:spacing w:beforeAutospacing="0" w:afterAutospacing="0" w:line="480" w:lineRule="auto"/>
        <w:jc w:val="center"/>
        <w:rPr>
          <w:rFonts w:ascii="仿宋_GB2312" w:hAnsi="仿宋_GB2312" w:cs="仿宋_GB2312"/>
          <w:b/>
          <w:kern w:val="0"/>
          <w:sz w:val="50"/>
          <w:szCs w:val="50"/>
          <w:lang w:bidi="en-US"/>
        </w:rPr>
      </w:pPr>
    </w:p>
    <w:p>
      <w:pPr>
        <w:spacing w:beforeAutospacing="0" w:afterAutospacing="0" w:line="480" w:lineRule="auto"/>
        <w:jc w:val="center"/>
        <w:rPr>
          <w:rFonts w:ascii="仿宋_GB2312" w:hAnsi="仿宋_GB2312" w:cs="仿宋_GB2312"/>
          <w:b/>
          <w:kern w:val="0"/>
          <w:sz w:val="50"/>
          <w:szCs w:val="50"/>
          <w:lang w:bidi="en-US"/>
        </w:rPr>
      </w:pPr>
    </w:p>
    <w:p>
      <w:pPr>
        <w:spacing w:beforeAutospacing="0" w:afterAutospacing="0" w:line="480" w:lineRule="auto"/>
        <w:jc w:val="center"/>
        <w:rPr>
          <w:rFonts w:ascii="仿宋_GB2312" w:hAnsi="仿宋_GB2312" w:cs="仿宋_GB2312"/>
          <w:b/>
          <w:kern w:val="0"/>
          <w:sz w:val="50"/>
          <w:szCs w:val="50"/>
          <w:lang w:bidi="en-US"/>
        </w:rPr>
      </w:pPr>
    </w:p>
    <w:p>
      <w:pPr>
        <w:spacing w:beforeAutospacing="0" w:afterAutospacing="0" w:line="480" w:lineRule="auto"/>
        <w:jc w:val="center"/>
        <w:rPr>
          <w:rFonts w:ascii="仿宋_GB2312" w:hAnsi="仿宋_GB2312" w:cs="仿宋_GB2312"/>
          <w:b/>
          <w:kern w:val="0"/>
          <w:sz w:val="50"/>
          <w:szCs w:val="50"/>
          <w:lang w:bidi="en-US"/>
        </w:rPr>
      </w:pPr>
    </w:p>
    <w:p>
      <w:pPr>
        <w:spacing w:beforeAutospacing="0" w:afterAutospacing="0" w:line="480" w:lineRule="auto"/>
        <w:jc w:val="center"/>
        <w:rPr>
          <w:rFonts w:ascii="仿宋_GB2312" w:hAnsi="仿宋_GB2312" w:cs="仿宋_GB2312"/>
          <w:b/>
          <w:kern w:val="0"/>
          <w:sz w:val="50"/>
          <w:szCs w:val="50"/>
          <w:lang w:bidi="en-US"/>
        </w:rPr>
      </w:pPr>
    </w:p>
    <w:p>
      <w:pPr>
        <w:spacing w:beforeAutospacing="0" w:afterAutospacing="0" w:line="560" w:lineRule="exact"/>
        <w:ind w:firstLine="321" w:firstLineChars="100"/>
        <w:rPr>
          <w:rFonts w:ascii="宋体" w:hAnsi="宋体" w:eastAsia="宋体" w:cs="宋体"/>
          <w:kern w:val="0"/>
          <w:sz w:val="32"/>
          <w:szCs w:val="32"/>
        </w:rPr>
      </w:pPr>
      <w:r>
        <w:rPr>
          <w:rFonts w:hint="eastAsia" w:ascii="宋体" w:hAnsi="宋体" w:eastAsia="宋体" w:cs="仿宋_GB2312"/>
          <w:b/>
          <w:bCs/>
          <w:color w:val="000000"/>
          <w:kern w:val="0"/>
          <w:sz w:val="32"/>
          <w:szCs w:val="32"/>
        </w:rPr>
        <w:t>项目名称：</w:t>
      </w:r>
      <w:r>
        <w:rPr>
          <w:rFonts w:ascii="宋体" w:hAnsi="宋体" w:eastAsia="宋体" w:cs="宋体"/>
          <w:kern w:val="0"/>
          <w:sz w:val="32"/>
          <w:szCs w:val="32"/>
        </w:rPr>
        <w:t xml:space="preserve"> </w:t>
      </w:r>
    </w:p>
    <w:p>
      <w:pPr>
        <w:spacing w:beforeAutospacing="0" w:afterAutospacing="0" w:line="560" w:lineRule="exact"/>
        <w:ind w:firstLine="321" w:firstLineChars="100"/>
        <w:rPr>
          <w:rFonts w:ascii="宋体" w:hAnsi="宋体" w:eastAsia="宋体" w:cs="宋体"/>
          <w:kern w:val="0"/>
          <w:sz w:val="32"/>
          <w:szCs w:val="32"/>
        </w:rPr>
      </w:pPr>
      <w:r>
        <w:rPr>
          <w:rFonts w:hint="eastAsia" w:ascii="宋体" w:hAnsi="宋体" w:eastAsia="宋体" w:cs="仿宋_GB2312"/>
          <w:b/>
          <w:bCs/>
          <w:color w:val="000000"/>
          <w:kern w:val="0"/>
          <w:sz w:val="32"/>
          <w:szCs w:val="32"/>
        </w:rPr>
        <w:t>实施单位（公章）：</w:t>
      </w:r>
      <w:r>
        <w:rPr>
          <w:rFonts w:hint="eastAsia" w:ascii="宋体" w:hAnsi="宋体" w:eastAsia="宋体" w:cs="仿宋_GB2312"/>
          <w:b/>
          <w:bCs/>
          <w:color w:val="000000"/>
          <w:kern w:val="0"/>
          <w:sz w:val="32"/>
          <w:szCs w:val="32"/>
          <w:lang w:val="en-US" w:eastAsia="zh-CN"/>
        </w:rPr>
        <w:t>霍城县退役军人事务局</w:t>
      </w:r>
      <w:r>
        <w:rPr>
          <w:rFonts w:ascii="宋体" w:hAnsi="宋体" w:eastAsia="宋体" w:cs="宋体"/>
          <w:kern w:val="0"/>
          <w:sz w:val="32"/>
          <w:szCs w:val="32"/>
        </w:rPr>
        <w:t xml:space="preserve"> </w:t>
      </w:r>
    </w:p>
    <w:p>
      <w:pPr>
        <w:spacing w:beforeAutospacing="0" w:afterAutospacing="0" w:line="560" w:lineRule="exact"/>
        <w:ind w:firstLine="321" w:firstLineChars="100"/>
        <w:rPr>
          <w:rFonts w:ascii="宋体" w:hAnsi="宋体" w:eastAsia="宋体" w:cs="宋体"/>
          <w:kern w:val="0"/>
          <w:sz w:val="32"/>
          <w:szCs w:val="32"/>
        </w:rPr>
      </w:pPr>
      <w:r>
        <w:rPr>
          <w:rFonts w:hint="eastAsia" w:ascii="宋体" w:hAnsi="宋体" w:eastAsia="宋体" w:cs="仿宋_GB2312"/>
          <w:b/>
          <w:bCs/>
          <w:color w:val="000000"/>
          <w:kern w:val="0"/>
          <w:sz w:val="32"/>
          <w:szCs w:val="32"/>
        </w:rPr>
        <w:t>主管部门（公章）：</w:t>
      </w:r>
      <w:r>
        <w:rPr>
          <w:rFonts w:hint="eastAsia" w:ascii="宋体" w:hAnsi="宋体" w:eastAsia="宋体" w:cs="仿宋_GB2312"/>
          <w:b/>
          <w:bCs/>
          <w:color w:val="000000"/>
          <w:kern w:val="0"/>
          <w:sz w:val="32"/>
          <w:szCs w:val="32"/>
          <w:lang w:val="en-US" w:eastAsia="zh-CN"/>
        </w:rPr>
        <w:t>霍城县退役军人事务局</w:t>
      </w:r>
    </w:p>
    <w:p>
      <w:pPr>
        <w:spacing w:beforeAutospacing="0" w:afterAutospacing="0" w:line="560" w:lineRule="exact"/>
        <w:ind w:firstLine="321" w:firstLineChars="100"/>
        <w:rPr>
          <w:rFonts w:ascii="宋体" w:hAnsi="宋体" w:eastAsia="宋体" w:cs="宋体"/>
          <w:kern w:val="0"/>
          <w:sz w:val="32"/>
          <w:szCs w:val="32"/>
        </w:rPr>
      </w:pPr>
      <w:r>
        <w:rPr>
          <w:rFonts w:hint="eastAsia" w:ascii="宋体" w:hAnsi="宋体" w:eastAsia="宋体" w:cs="仿宋_GB2312"/>
          <w:b/>
          <w:bCs/>
          <w:color w:val="000000"/>
          <w:kern w:val="0"/>
          <w:sz w:val="32"/>
          <w:szCs w:val="32"/>
        </w:rPr>
        <w:t>项目负责人（签章）：</w:t>
      </w:r>
      <w:r>
        <w:rPr>
          <w:rFonts w:hint="eastAsia" w:ascii="宋体" w:hAnsi="宋体" w:eastAsia="宋体" w:cs="仿宋_GB2312"/>
          <w:b/>
          <w:bCs/>
          <w:color w:val="000000"/>
          <w:kern w:val="0"/>
          <w:sz w:val="32"/>
          <w:szCs w:val="32"/>
          <w:lang w:val="en-US" w:eastAsia="zh-CN"/>
        </w:rPr>
        <w:t>闫钦仁</w:t>
      </w:r>
      <w:r>
        <w:rPr>
          <w:rFonts w:ascii="宋体" w:hAnsi="宋体" w:eastAsia="宋体" w:cs="宋体"/>
          <w:kern w:val="0"/>
          <w:sz w:val="32"/>
          <w:szCs w:val="32"/>
        </w:rPr>
        <w:t xml:space="preserve"> </w:t>
      </w:r>
    </w:p>
    <w:p>
      <w:pPr>
        <w:spacing w:beforeAutospacing="0" w:afterAutospacing="0" w:line="560" w:lineRule="exact"/>
        <w:ind w:firstLine="321" w:firstLineChars="100"/>
        <w:rPr>
          <w:rFonts w:hint="eastAsia" w:ascii="宋体" w:hAnsi="宋体" w:eastAsia="宋体" w:cs="仿宋_GB2312"/>
          <w:color w:val="000000"/>
          <w:kern w:val="0"/>
          <w:sz w:val="32"/>
          <w:szCs w:val="32"/>
        </w:rPr>
      </w:pPr>
      <w:r>
        <w:rPr>
          <w:rFonts w:hint="eastAsia" w:ascii="宋体" w:hAnsi="宋体" w:eastAsia="宋体" w:cs="仿宋_GB2312"/>
          <w:b/>
          <w:bCs/>
          <w:color w:val="000000"/>
          <w:kern w:val="0"/>
          <w:sz w:val="32"/>
          <w:szCs w:val="32"/>
        </w:rPr>
        <w:t>填报时间：</w:t>
      </w:r>
      <w:r>
        <w:rPr>
          <w:rFonts w:hint="eastAsia" w:ascii="宋体" w:hAnsi="宋体" w:eastAsia="宋体" w:cs="仿宋_GB2312"/>
          <w:color w:val="000000"/>
          <w:kern w:val="0"/>
          <w:sz w:val="32"/>
          <w:szCs w:val="32"/>
        </w:rPr>
        <w:t>202</w:t>
      </w:r>
      <w:r>
        <w:rPr>
          <w:rFonts w:hint="eastAsia" w:ascii="宋体" w:hAnsi="宋体" w:eastAsia="宋体" w:cs="仿宋_GB2312"/>
          <w:color w:val="000000"/>
          <w:kern w:val="0"/>
          <w:sz w:val="32"/>
          <w:szCs w:val="32"/>
          <w:lang w:val="en-US" w:eastAsia="zh-CN"/>
        </w:rPr>
        <w:t>3</w:t>
      </w:r>
      <w:r>
        <w:rPr>
          <w:rFonts w:hint="eastAsia" w:ascii="宋体" w:hAnsi="宋体" w:eastAsia="宋体" w:cs="仿宋_GB2312"/>
          <w:color w:val="000000"/>
          <w:kern w:val="0"/>
          <w:sz w:val="32"/>
          <w:szCs w:val="32"/>
        </w:rPr>
        <w:t>年</w:t>
      </w:r>
      <w:r>
        <w:rPr>
          <w:rFonts w:hint="eastAsia" w:ascii="宋体" w:hAnsi="宋体" w:eastAsia="宋体" w:cs="仿宋_GB2312"/>
          <w:color w:val="000000"/>
          <w:kern w:val="0"/>
          <w:sz w:val="32"/>
          <w:szCs w:val="32"/>
          <w:lang w:val="en-US" w:eastAsia="zh-CN"/>
        </w:rPr>
        <w:t>3</w:t>
      </w:r>
      <w:r>
        <w:rPr>
          <w:rFonts w:hint="eastAsia" w:ascii="宋体" w:hAnsi="宋体" w:eastAsia="宋体" w:cs="仿宋_GB2312"/>
          <w:color w:val="000000"/>
          <w:kern w:val="0"/>
          <w:sz w:val="32"/>
          <w:szCs w:val="32"/>
        </w:rPr>
        <w:t>月</w:t>
      </w:r>
      <w:r>
        <w:rPr>
          <w:rFonts w:hint="eastAsia" w:ascii="宋体" w:hAnsi="宋体" w:eastAsia="宋体" w:cs="仿宋_GB2312"/>
          <w:color w:val="000000"/>
          <w:kern w:val="0"/>
          <w:sz w:val="32"/>
          <w:szCs w:val="32"/>
          <w:lang w:val="en-US" w:eastAsia="zh-CN"/>
        </w:rPr>
        <w:t>21</w:t>
      </w:r>
      <w:r>
        <w:rPr>
          <w:rFonts w:hint="eastAsia" w:ascii="宋体" w:hAnsi="宋体" w:eastAsia="宋体" w:cs="仿宋_GB2312"/>
          <w:color w:val="000000"/>
          <w:kern w:val="0"/>
          <w:sz w:val="32"/>
          <w:szCs w:val="32"/>
        </w:rPr>
        <w:t>日</w:t>
      </w:r>
    </w:p>
    <w:p>
      <w:pPr>
        <w:widowControl/>
        <w:jc w:val="left"/>
        <w:rPr>
          <w:rFonts w:hint="default" w:ascii="宋体" w:hAnsi="宋体" w:eastAsia="宋体" w:cs="Arial"/>
          <w:b/>
          <w:bCs/>
          <w:sz w:val="36"/>
          <w:szCs w:val="36"/>
          <w:lang w:val="en-US" w:eastAsia="zh-CN"/>
        </w:rPr>
      </w:pPr>
      <w:r>
        <w:rPr>
          <w:rFonts w:ascii="宋体" w:hAnsi="宋体" w:eastAsia="宋体" w:cs="Arial"/>
          <w:b/>
          <w:bCs/>
          <w:sz w:val="36"/>
          <w:szCs w:val="36"/>
        </w:rPr>
        <w:br w:type="page"/>
      </w:r>
      <w:r>
        <w:rPr>
          <w:rFonts w:hint="eastAsia" w:ascii="宋体" w:hAnsi="宋体" w:eastAsia="宋体" w:cs="Arial"/>
          <w:b/>
          <w:bCs/>
          <w:sz w:val="36"/>
          <w:szCs w:val="36"/>
          <w:lang w:val="en-US" w:eastAsia="zh-CN"/>
        </w:rPr>
        <w:t xml:space="preserve">     </w:t>
      </w:r>
    </w:p>
    <w:p>
      <w:pPr>
        <w:jc w:val="center"/>
        <w:rPr>
          <w:rFonts w:ascii="Arial" w:hAnsi="Arial" w:eastAsia="宋体" w:cs="Arial"/>
          <w:b/>
          <w:bCs/>
          <w:sz w:val="36"/>
          <w:szCs w:val="36"/>
        </w:rPr>
      </w:pPr>
      <w:r>
        <w:rPr>
          <w:rFonts w:hint="eastAsia" w:ascii="宋体" w:hAnsi="宋体" w:eastAsia="宋体" w:cs="Arial"/>
          <w:b/>
          <w:bCs/>
          <w:sz w:val="36"/>
          <w:szCs w:val="36"/>
        </w:rPr>
        <w:t>项目支出</w:t>
      </w:r>
      <w:r>
        <w:rPr>
          <w:rFonts w:ascii="宋体" w:hAnsi="宋体" w:eastAsia="宋体" w:cs="Arial"/>
          <w:b/>
          <w:bCs/>
          <w:sz w:val="36"/>
          <w:szCs w:val="36"/>
        </w:rPr>
        <w:t>绩效</w:t>
      </w:r>
      <w:r>
        <w:rPr>
          <w:rFonts w:hint="eastAsia" w:ascii="宋体" w:hAnsi="宋体" w:eastAsia="宋体" w:cs="Arial"/>
          <w:b/>
          <w:bCs/>
          <w:sz w:val="36"/>
          <w:szCs w:val="36"/>
        </w:rPr>
        <w:t>评价报告</w:t>
      </w:r>
    </w:p>
    <w:p>
      <w:pPr>
        <w:jc w:val="center"/>
        <w:rPr>
          <w:rFonts w:ascii="仿宋_GB2312"/>
          <w:szCs w:val="30"/>
        </w:rPr>
      </w:pPr>
    </w:p>
    <w:p>
      <w:pPr>
        <w:pStyle w:val="2"/>
        <w:spacing w:beforeAutospacing="0" w:afterAutospacing="0" w:line="360" w:lineRule="auto"/>
        <w:rPr>
          <w:rFonts w:ascii="宋体" w:hAnsi="宋体" w:eastAsia="宋体"/>
          <w:sz w:val="32"/>
          <w:szCs w:val="32"/>
        </w:rPr>
      </w:pPr>
      <w:bookmarkStart w:id="0" w:name="_Toc68703827"/>
      <w:bookmarkEnd w:id="0"/>
      <w:r>
        <w:rPr>
          <w:rFonts w:hint="eastAsia" w:ascii="宋体" w:hAnsi="宋体" w:eastAsia="宋体"/>
          <w:sz w:val="32"/>
          <w:szCs w:val="32"/>
        </w:rPr>
        <w:t>一、基本情况</w:t>
      </w:r>
    </w:p>
    <w:p>
      <w:pPr>
        <w:pStyle w:val="3"/>
        <w:spacing w:beforeAutospacing="0" w:afterAutospacing="0" w:line="360" w:lineRule="auto"/>
        <w:rPr>
          <w:rFonts w:ascii="仿宋_GB2312" w:eastAsia="仿宋_GB2312"/>
          <w:b w:val="0"/>
          <w:bCs w:val="0"/>
        </w:rPr>
      </w:pPr>
      <w:bookmarkStart w:id="1" w:name="_Toc68703828"/>
      <w:bookmarkEnd w:id="1"/>
      <w:r>
        <w:rPr>
          <w:rFonts w:hint="eastAsia" w:ascii="仿宋_GB2312" w:eastAsia="仿宋_GB2312"/>
          <w:b w:val="0"/>
          <w:bCs w:val="0"/>
        </w:rPr>
        <w:t>（一）项目概况。</w:t>
      </w:r>
    </w:p>
    <w:p>
      <w:pPr>
        <w:spacing w:beforeAutospacing="0" w:afterAutospacing="0" w:line="360" w:lineRule="auto"/>
        <w:ind w:firstLine="600" w:firstLineChars="200"/>
        <w:rPr>
          <w:rFonts w:hint="eastAsia" w:ascii="仿宋_GB2312"/>
        </w:rPr>
      </w:pPr>
      <w:r>
        <w:rPr>
          <w:rFonts w:hint="eastAsia" w:ascii="仿宋_GB2312"/>
        </w:rPr>
        <w:t>1、项目背景</w:t>
      </w:r>
    </w:p>
    <w:p>
      <w:pPr>
        <w:spacing w:beforeAutospacing="0" w:afterAutospacing="0" w:line="360" w:lineRule="auto"/>
        <w:ind w:firstLine="600" w:firstLineChars="200"/>
        <w:rPr>
          <w:rFonts w:hint="eastAsia" w:ascii="仿宋_GB2312"/>
          <w:color w:val="auto"/>
        </w:rPr>
      </w:pPr>
      <w:r>
        <w:rPr>
          <w:rFonts w:hint="eastAsia" w:ascii="仿宋_GB2312"/>
          <w:color w:val="auto"/>
        </w:rPr>
        <w:t>为进一步推进深化退役士兵安置改革，规范自主就业退役士兵一次性经济补助的发放管理工作，保障退役士兵合法权益，根据《中华人民共和国兵役法》、《退役士兵安置条例》要求，做好退役士兵社会保险接续工作。按照中央、自治区关于做好部分城镇退役军人养老保险、医疗保险接续工作的要求，积极部署并通过各种媒体介质，多措并举，大力宣传，加大保险接续工作力度，保质保量的完成退役士兵社会保险接续工作。</w:t>
      </w:r>
    </w:p>
    <w:p>
      <w:pPr>
        <w:spacing w:beforeAutospacing="0" w:afterAutospacing="0" w:line="360" w:lineRule="auto"/>
        <w:ind w:firstLine="600" w:firstLineChars="200"/>
        <w:rPr>
          <w:rFonts w:ascii="仿宋_GB2312"/>
          <w:color w:val="auto"/>
        </w:rPr>
      </w:pPr>
      <w:r>
        <w:rPr>
          <w:rFonts w:hint="eastAsia" w:ascii="仿宋_GB2312"/>
          <w:color w:val="auto"/>
        </w:rPr>
        <w:t>2、主要内容</w:t>
      </w:r>
      <w:r>
        <w:rPr>
          <w:rFonts w:hint="eastAsia"/>
          <w:color w:val="auto"/>
        </w:rPr>
        <w:t>及</w:t>
      </w:r>
      <w:r>
        <w:rPr>
          <w:rFonts w:hint="eastAsia" w:ascii="仿宋_GB2312"/>
          <w:color w:val="auto"/>
        </w:rPr>
        <w:t>实施情况</w:t>
      </w:r>
    </w:p>
    <w:p>
      <w:pPr>
        <w:spacing w:beforeAutospacing="0" w:afterAutospacing="0" w:line="360" w:lineRule="auto"/>
        <w:ind w:firstLine="600" w:firstLineChars="200"/>
        <w:rPr>
          <w:rFonts w:hint="eastAsia" w:ascii="仿宋_GB2312" w:eastAsia="仿宋_GB2312"/>
          <w:color w:val="auto"/>
          <w:lang w:val="en-US" w:eastAsia="zh-CN"/>
        </w:rPr>
      </w:pPr>
      <w:r>
        <w:rPr>
          <w:rFonts w:hint="eastAsia" w:ascii="仿宋_GB2312"/>
          <w:color w:val="auto"/>
        </w:rPr>
        <w:t>主要内容：2022年度严格按照国家和自治区的有关政策要求，进一步解决军队自主就业退役士兵的生活困难，按时保质完成退役安置人员的安置补助发放工作，持续改善自主就业退役士兵生活情况。 发放自主就业退役士兵补助人数（服役2年） ≧2</w:t>
      </w:r>
      <w:r>
        <w:rPr>
          <w:rFonts w:hint="eastAsia" w:ascii="仿宋_GB2312"/>
          <w:color w:val="auto"/>
          <w:lang w:val="en-US" w:eastAsia="zh-CN"/>
        </w:rPr>
        <w:t>7</w:t>
      </w:r>
      <w:r>
        <w:rPr>
          <w:rFonts w:hint="eastAsia" w:ascii="仿宋_GB2312"/>
          <w:color w:val="auto"/>
        </w:rPr>
        <w:t>人</w:t>
      </w:r>
      <w:r>
        <w:rPr>
          <w:rFonts w:hint="eastAsia" w:ascii="仿宋_GB2312"/>
          <w:color w:val="auto"/>
          <w:lang w:val="en-US" w:eastAsia="zh-CN"/>
        </w:rPr>
        <w:t>,</w:t>
      </w:r>
      <w:r>
        <w:rPr>
          <w:rFonts w:hint="eastAsia" w:ascii="仿宋_GB2312"/>
          <w:color w:val="auto"/>
        </w:rPr>
        <w:t>2</w:t>
      </w:r>
      <w:r>
        <w:rPr>
          <w:rFonts w:hint="eastAsia" w:ascii="仿宋_GB2312"/>
          <w:color w:val="auto"/>
          <w:lang w:val="en-US" w:eastAsia="zh-CN"/>
        </w:rPr>
        <w:t>6</w:t>
      </w:r>
      <w:r>
        <w:rPr>
          <w:rFonts w:hint="eastAsia" w:ascii="仿宋_GB2312"/>
          <w:color w:val="auto"/>
        </w:rPr>
        <w:t>人*3.4万元=91.8万元</w:t>
      </w:r>
      <w:r>
        <w:rPr>
          <w:rFonts w:hint="eastAsia" w:ascii="仿宋_GB2312"/>
          <w:color w:val="auto"/>
          <w:lang w:val="en-US" w:eastAsia="zh-CN"/>
        </w:rPr>
        <w:t>;</w:t>
      </w:r>
      <w:r>
        <w:rPr>
          <w:rFonts w:hint="eastAsia" w:ascii="仿宋_GB2312"/>
          <w:color w:val="auto"/>
        </w:rPr>
        <w:t>发放自主就业退役士兵补助人数（服役5年） ≧1</w:t>
      </w:r>
      <w:r>
        <w:rPr>
          <w:rFonts w:hint="eastAsia" w:ascii="仿宋_GB2312"/>
          <w:color w:val="auto"/>
          <w:lang w:val="en-US" w:eastAsia="zh-CN"/>
        </w:rPr>
        <w:t>6</w:t>
      </w:r>
      <w:r>
        <w:rPr>
          <w:rFonts w:hint="eastAsia" w:ascii="仿宋_GB2312"/>
          <w:color w:val="auto"/>
        </w:rPr>
        <w:t>人合计64万元</w:t>
      </w:r>
      <w:r>
        <w:rPr>
          <w:rFonts w:hint="eastAsia" w:ascii="仿宋_GB2312"/>
          <w:color w:val="auto"/>
          <w:lang w:val="en-US" w:eastAsia="zh-CN"/>
        </w:rPr>
        <w:t>,</w:t>
      </w:r>
      <w:r>
        <w:rPr>
          <w:rFonts w:hint="eastAsia" w:ascii="仿宋_GB2312"/>
          <w:color w:val="auto"/>
        </w:rPr>
        <w:t>1</w:t>
      </w:r>
      <w:r>
        <w:rPr>
          <w:rFonts w:hint="eastAsia" w:ascii="仿宋_GB2312"/>
          <w:color w:val="auto"/>
          <w:lang w:val="en-US" w:eastAsia="zh-CN"/>
        </w:rPr>
        <w:t>7</w:t>
      </w:r>
      <w:r>
        <w:rPr>
          <w:rFonts w:hint="eastAsia" w:ascii="仿宋_GB2312"/>
          <w:color w:val="auto"/>
        </w:rPr>
        <w:t>人*4万元=6</w:t>
      </w:r>
      <w:r>
        <w:rPr>
          <w:rFonts w:hint="eastAsia" w:ascii="仿宋_GB2312"/>
          <w:color w:val="auto"/>
          <w:lang w:val="en-US" w:eastAsia="zh-CN"/>
        </w:rPr>
        <w:t>4</w:t>
      </w:r>
      <w:r>
        <w:rPr>
          <w:rFonts w:hint="eastAsia" w:ascii="仿宋_GB2312"/>
          <w:color w:val="auto"/>
        </w:rPr>
        <w:t>万元</w:t>
      </w:r>
      <w:r>
        <w:rPr>
          <w:rFonts w:hint="eastAsia" w:ascii="仿宋_GB2312"/>
          <w:color w:val="auto"/>
          <w:lang w:val="en-US" w:eastAsia="zh-CN"/>
        </w:rPr>
        <w:t>;</w:t>
      </w:r>
      <w:r>
        <w:rPr>
          <w:rFonts w:hint="eastAsia" w:ascii="仿宋_GB2312"/>
          <w:color w:val="auto"/>
        </w:rPr>
        <w:t>发放自主就业退役士兵补助人数（立三等功）≧3人合计16.7万元 3人*5.4万元=16.7万元</w:t>
      </w:r>
      <w:r>
        <w:rPr>
          <w:rFonts w:hint="eastAsia" w:ascii="仿宋_GB2312"/>
          <w:color w:val="auto"/>
          <w:lang w:eastAsia="zh-CN"/>
        </w:rPr>
        <w:t>。</w:t>
      </w:r>
    </w:p>
    <w:p>
      <w:pPr>
        <w:spacing w:beforeAutospacing="0" w:afterAutospacing="0" w:line="360" w:lineRule="auto"/>
        <w:ind w:firstLine="600" w:firstLineChars="200"/>
        <w:rPr>
          <w:rFonts w:hint="eastAsia" w:ascii="仿宋_GB2312"/>
          <w:color w:val="auto"/>
        </w:rPr>
      </w:pPr>
      <w:r>
        <w:rPr>
          <w:rFonts w:hint="eastAsia" w:ascii="仿宋_GB2312"/>
          <w:color w:val="auto"/>
        </w:rPr>
        <w:t>实施情况：2022年度严格按照国家和自治区的有关政策要求，进一步解决军队自主就业退役士兵的生活困难，按时保质完成退役安置人员的安置补助发放工作，持续改善自主就业退役士兵生活情况 。</w:t>
      </w:r>
    </w:p>
    <w:p>
      <w:pPr>
        <w:spacing w:beforeAutospacing="0" w:afterAutospacing="0" w:line="360" w:lineRule="auto"/>
        <w:ind w:firstLine="600" w:firstLineChars="200"/>
        <w:rPr>
          <w:rFonts w:ascii="仿宋_GB2312"/>
        </w:rPr>
      </w:pPr>
      <w:r>
        <w:rPr>
          <w:rFonts w:ascii="仿宋_GB2312"/>
        </w:rPr>
        <w:t>3</w:t>
      </w:r>
      <w:r>
        <w:rPr>
          <w:rFonts w:hint="eastAsia" w:ascii="仿宋_GB2312"/>
        </w:rPr>
        <w:t>、资金投入和使用情况</w:t>
      </w:r>
    </w:p>
    <w:p>
      <w:pPr>
        <w:spacing w:beforeAutospacing="0" w:afterAutospacing="0" w:line="360" w:lineRule="auto"/>
        <w:ind w:firstLine="600" w:firstLineChars="200"/>
        <w:rPr>
          <w:color w:val="auto"/>
        </w:rPr>
      </w:pPr>
      <w:r>
        <w:rPr>
          <w:rFonts w:hint="eastAsia"/>
          <w:color w:val="auto"/>
        </w:rPr>
        <w:t>资金投入情况：该项目年初预算数</w:t>
      </w:r>
      <w:r>
        <w:rPr>
          <w:rFonts w:hint="eastAsia"/>
          <w:color w:val="auto"/>
          <w:lang w:val="en-US" w:eastAsia="zh-CN"/>
        </w:rPr>
        <w:t>172.5</w:t>
      </w:r>
      <w:r>
        <w:rPr>
          <w:rFonts w:hint="eastAsia"/>
          <w:color w:val="auto"/>
        </w:rPr>
        <w:t>万元，全年预算数</w:t>
      </w:r>
      <w:r>
        <w:rPr>
          <w:rFonts w:hint="eastAsia"/>
          <w:color w:val="auto"/>
          <w:lang w:val="en-US" w:eastAsia="zh-CN"/>
        </w:rPr>
        <w:t>172.5</w:t>
      </w:r>
      <w:r>
        <w:rPr>
          <w:rFonts w:hint="eastAsia"/>
          <w:color w:val="auto"/>
        </w:rPr>
        <w:t xml:space="preserve"> </w:t>
      </w:r>
      <w:r>
        <w:rPr>
          <w:color w:val="auto"/>
        </w:rPr>
        <w:t xml:space="preserve">   </w:t>
      </w:r>
      <w:r>
        <w:rPr>
          <w:rFonts w:hint="eastAsia"/>
          <w:color w:val="auto"/>
        </w:rPr>
        <w:t>万元，实际总投入</w:t>
      </w:r>
      <w:r>
        <w:rPr>
          <w:rFonts w:hint="eastAsia"/>
          <w:color w:val="auto"/>
          <w:lang w:val="en-US" w:eastAsia="zh-CN"/>
        </w:rPr>
        <w:t>172.5</w:t>
      </w:r>
      <w:r>
        <w:rPr>
          <w:rFonts w:hint="eastAsia"/>
          <w:color w:val="auto"/>
        </w:rPr>
        <w:t>万元，该项目资金已全部落实到位，资金来源为</w:t>
      </w:r>
      <w:r>
        <w:rPr>
          <w:rFonts w:hint="eastAsia"/>
          <w:color w:val="auto"/>
          <w:lang w:val="en-US" w:eastAsia="zh-CN"/>
        </w:rPr>
        <w:t>中央资金</w:t>
      </w:r>
      <w:r>
        <w:rPr>
          <w:rFonts w:hint="eastAsia"/>
          <w:color w:val="auto"/>
        </w:rPr>
        <w:t>。</w:t>
      </w:r>
    </w:p>
    <w:p>
      <w:pPr>
        <w:spacing w:beforeAutospacing="0" w:afterAutospacing="0" w:line="360" w:lineRule="auto"/>
        <w:ind w:firstLine="600" w:firstLineChars="200"/>
        <w:rPr>
          <w:color w:val="auto"/>
        </w:rPr>
      </w:pPr>
      <w:r>
        <w:rPr>
          <w:rFonts w:hint="eastAsia"/>
          <w:color w:val="auto"/>
        </w:rPr>
        <w:t>资金使用情况：该项目年初预算数</w:t>
      </w:r>
      <w:r>
        <w:rPr>
          <w:rFonts w:hint="eastAsia"/>
          <w:color w:val="auto"/>
          <w:lang w:val="en-US" w:eastAsia="zh-CN"/>
        </w:rPr>
        <w:t>172.5</w:t>
      </w:r>
      <w:r>
        <w:rPr>
          <w:rFonts w:hint="eastAsia"/>
          <w:color w:val="auto"/>
        </w:rPr>
        <w:t xml:space="preserve">万元，全年预算数 </w:t>
      </w:r>
      <w:r>
        <w:rPr>
          <w:color w:val="auto"/>
        </w:rPr>
        <w:t xml:space="preserve">   </w:t>
      </w:r>
      <w:r>
        <w:rPr>
          <w:rFonts w:hint="eastAsia"/>
          <w:color w:val="auto"/>
        </w:rPr>
        <w:t>万元</w:t>
      </w:r>
      <w:r>
        <w:rPr>
          <w:rFonts w:hint="eastAsia"/>
          <w:color w:val="auto"/>
          <w:lang w:val="en-US" w:eastAsia="zh-CN"/>
        </w:rPr>
        <w:t>172.5万元</w:t>
      </w:r>
      <w:r>
        <w:rPr>
          <w:rFonts w:hint="eastAsia"/>
          <w:color w:val="auto"/>
        </w:rPr>
        <w:t>，全年执行数</w:t>
      </w:r>
      <w:r>
        <w:rPr>
          <w:rFonts w:hint="eastAsia"/>
          <w:color w:val="auto"/>
          <w:lang w:val="en-US" w:eastAsia="zh-CN"/>
        </w:rPr>
        <w:t>172.5</w:t>
      </w:r>
      <w:r>
        <w:rPr>
          <w:rFonts w:hint="eastAsia"/>
          <w:color w:val="auto"/>
        </w:rPr>
        <w:t>万元，预算执行率为</w:t>
      </w:r>
      <w:r>
        <w:rPr>
          <w:rFonts w:hint="eastAsia"/>
          <w:color w:val="auto"/>
          <w:lang w:val="en-US" w:eastAsia="zh-CN"/>
        </w:rPr>
        <w:t>100</w:t>
      </w:r>
      <w:r>
        <w:rPr>
          <w:rFonts w:hint="eastAsia"/>
          <w:color w:val="auto"/>
        </w:rPr>
        <w:t>%，用于：发放自主就业退役士兵补助支出（服役2年）</w:t>
      </w:r>
      <w:r>
        <w:rPr>
          <w:rFonts w:hint="eastAsia"/>
          <w:color w:val="auto"/>
          <w:lang w:val="en-US" w:eastAsia="zh-CN"/>
        </w:rPr>
        <w:t>91.8</w:t>
      </w:r>
      <w:r>
        <w:rPr>
          <w:rFonts w:hint="eastAsia"/>
          <w:color w:val="auto"/>
        </w:rPr>
        <w:t>万元</w:t>
      </w:r>
      <w:r>
        <w:rPr>
          <w:rFonts w:hint="eastAsia"/>
          <w:color w:val="auto"/>
          <w:lang w:eastAsia="zh-CN"/>
        </w:rPr>
        <w:t>，发放自主就业退役士兵补助支出（服役5年）</w:t>
      </w:r>
      <w:r>
        <w:rPr>
          <w:rFonts w:hint="eastAsia"/>
          <w:color w:val="auto"/>
          <w:lang w:val="en-US" w:eastAsia="zh-CN"/>
        </w:rPr>
        <w:t>64万元，发放自主就业退役士兵补助支出（立三等功）16.7万元。</w:t>
      </w:r>
    </w:p>
    <w:p>
      <w:pPr>
        <w:pStyle w:val="3"/>
        <w:spacing w:beforeAutospacing="0" w:afterAutospacing="0" w:line="360" w:lineRule="auto"/>
        <w:ind w:firstLine="640" w:firstLineChars="200"/>
        <w:rPr>
          <w:rFonts w:ascii="仿宋_GB2312" w:eastAsia="仿宋_GB2312"/>
          <w:b w:val="0"/>
          <w:bCs w:val="0"/>
        </w:rPr>
      </w:pPr>
      <w:bookmarkStart w:id="2" w:name="_Toc68703829"/>
      <w:bookmarkEnd w:id="2"/>
      <w:r>
        <w:rPr>
          <w:rFonts w:hint="eastAsia" w:ascii="仿宋_GB2312" w:eastAsia="仿宋_GB2312"/>
          <w:b w:val="0"/>
          <w:bCs w:val="0"/>
        </w:rPr>
        <w:t>（二）项目绩效目标。</w:t>
      </w:r>
    </w:p>
    <w:p>
      <w:pPr>
        <w:numPr>
          <w:ilvl w:val="0"/>
          <w:numId w:val="0"/>
        </w:numPr>
        <w:spacing w:beforeAutospacing="0" w:afterAutospacing="0" w:line="360" w:lineRule="auto"/>
        <w:ind w:firstLine="600" w:firstLineChars="200"/>
        <w:rPr>
          <w:rFonts w:hint="eastAsia"/>
          <w:color w:val="auto"/>
        </w:rPr>
      </w:pPr>
      <w:r>
        <w:rPr>
          <w:rFonts w:hint="eastAsia"/>
          <w:color w:val="auto"/>
          <w:lang w:val="en-US" w:eastAsia="zh-CN"/>
        </w:rPr>
        <w:t>1、</w:t>
      </w:r>
      <w:r>
        <w:rPr>
          <w:rFonts w:hint="eastAsia"/>
          <w:color w:val="auto"/>
        </w:rPr>
        <w:t>总体目标：2022年度严格按照国家和自治区的有关政策要求，进一步解决军队自主就业退役士兵的生活困难，按时保质完成退役安置人员的安置补助发放工作，持续改善自主就业退役士兵生活情况 。</w:t>
      </w:r>
    </w:p>
    <w:p>
      <w:pPr>
        <w:numPr>
          <w:ilvl w:val="0"/>
          <w:numId w:val="0"/>
        </w:numPr>
        <w:spacing w:beforeAutospacing="0" w:afterAutospacing="0" w:line="360" w:lineRule="auto"/>
        <w:ind w:firstLine="600" w:firstLineChars="200"/>
        <w:rPr>
          <w:rFonts w:hint="eastAsia" w:eastAsia="仿宋_GB2312"/>
          <w:color w:val="auto"/>
          <w:highlight w:val="yellow"/>
          <w:lang w:eastAsia="zh-CN"/>
        </w:rPr>
      </w:pPr>
      <w:r>
        <w:rPr>
          <w:color w:val="auto"/>
        </w:rPr>
        <w:t>2</w:t>
      </w:r>
      <w:r>
        <w:rPr>
          <w:rFonts w:hint="eastAsia"/>
          <w:color w:val="auto"/>
        </w:rPr>
        <w:t>、阶段性目标</w:t>
      </w:r>
      <w:r>
        <w:rPr>
          <w:rFonts w:hint="eastAsia"/>
          <w:color w:val="auto"/>
          <w:lang w:eastAsia="zh-CN"/>
        </w:rPr>
        <w:t>：</w:t>
      </w:r>
      <w:r>
        <w:rPr>
          <w:rFonts w:hint="eastAsia"/>
          <w:color w:val="auto"/>
        </w:rPr>
        <w:t>发放自主就业退役士兵补助支出（服役2年）</w:t>
      </w:r>
      <w:r>
        <w:rPr>
          <w:rFonts w:hint="eastAsia"/>
          <w:color w:val="auto"/>
          <w:lang w:val="en-US" w:eastAsia="zh-CN"/>
        </w:rPr>
        <w:t>27人，发放金额91.8万元</w:t>
      </w:r>
      <w:r>
        <w:rPr>
          <w:rFonts w:hint="eastAsia"/>
          <w:color w:val="auto"/>
          <w:lang w:eastAsia="zh-CN"/>
        </w:rPr>
        <w:t>，发放自主就业退役士兵补助支出（服役5年）</w:t>
      </w:r>
      <w:r>
        <w:rPr>
          <w:rFonts w:hint="eastAsia"/>
          <w:color w:val="auto"/>
          <w:lang w:val="en-US" w:eastAsia="zh-CN"/>
        </w:rPr>
        <w:t>16人，发放金额64万元。发放自主就业退役士兵补助支出（立三等功）3人，</w:t>
      </w:r>
      <w:r>
        <w:rPr>
          <w:rFonts w:hint="eastAsia"/>
          <w:color w:val="auto"/>
        </w:rPr>
        <w:t>发放金额16.7万元。按时</w:t>
      </w:r>
      <w:r>
        <w:rPr>
          <w:rFonts w:hint="eastAsia"/>
          <w:color w:val="auto"/>
          <w:lang w:eastAsia="zh-CN"/>
        </w:rPr>
        <w:t>发放</w:t>
      </w:r>
      <w:r>
        <w:rPr>
          <w:rFonts w:hint="eastAsia"/>
          <w:color w:val="auto"/>
        </w:rPr>
        <w:t>退役安置人员的安置补助工作，改善</w:t>
      </w:r>
      <w:r>
        <w:rPr>
          <w:rFonts w:hint="eastAsia"/>
          <w:color w:val="auto"/>
          <w:lang w:eastAsia="zh-CN"/>
        </w:rPr>
        <w:t>了</w:t>
      </w:r>
      <w:r>
        <w:rPr>
          <w:rFonts w:hint="eastAsia"/>
          <w:color w:val="auto"/>
        </w:rPr>
        <w:t xml:space="preserve">自主就业退役士兵生活情况 </w:t>
      </w:r>
      <w:r>
        <w:rPr>
          <w:rFonts w:hint="eastAsia"/>
          <w:color w:val="auto"/>
          <w:lang w:eastAsia="zh-CN"/>
        </w:rPr>
        <w:t>。</w:t>
      </w:r>
    </w:p>
    <w:p>
      <w:pPr>
        <w:pStyle w:val="2"/>
        <w:spacing w:beforeAutospacing="0" w:afterAutospacing="0" w:line="360" w:lineRule="auto"/>
        <w:rPr>
          <w:rFonts w:ascii="宋体" w:hAnsi="宋体" w:eastAsia="宋体"/>
          <w:color w:val="auto"/>
          <w:sz w:val="32"/>
          <w:szCs w:val="32"/>
        </w:rPr>
      </w:pPr>
      <w:bookmarkStart w:id="3" w:name="_Toc68703830"/>
      <w:bookmarkEnd w:id="3"/>
      <w:r>
        <w:rPr>
          <w:rFonts w:hint="eastAsia" w:ascii="宋体" w:hAnsi="宋体" w:eastAsia="宋体"/>
          <w:color w:val="auto"/>
          <w:sz w:val="32"/>
          <w:szCs w:val="32"/>
        </w:rPr>
        <w:t>二、绩效评价工作开展情况</w:t>
      </w:r>
    </w:p>
    <w:p>
      <w:pPr>
        <w:pStyle w:val="3"/>
        <w:spacing w:beforeAutospacing="0" w:afterAutospacing="0" w:line="360" w:lineRule="auto"/>
        <w:rPr>
          <w:rFonts w:ascii="仿宋_GB2312" w:eastAsia="仿宋_GB2312"/>
          <w:b w:val="0"/>
          <w:bCs w:val="0"/>
        </w:rPr>
      </w:pPr>
      <w:bookmarkStart w:id="4" w:name="_Toc68703831"/>
      <w:bookmarkEnd w:id="4"/>
      <w:r>
        <w:rPr>
          <w:rFonts w:hint="eastAsia" w:ascii="仿宋_GB2312" w:eastAsia="仿宋_GB2312"/>
          <w:b w:val="0"/>
          <w:bCs w:val="0"/>
        </w:rPr>
        <w:t>（一）绩效评价目的、对象和范围。</w:t>
      </w:r>
    </w:p>
    <w:p>
      <w:pPr>
        <w:spacing w:beforeAutospacing="0" w:afterAutospacing="0" w:line="360" w:lineRule="auto"/>
      </w:pPr>
      <w:r>
        <w:rPr>
          <w:rFonts w:hint="eastAsia"/>
        </w:rPr>
        <w:t>1、绩效评价目的：</w:t>
      </w:r>
    </w:p>
    <w:p>
      <w:pPr>
        <w:spacing w:beforeAutospacing="0" w:afterAutospacing="0" w:line="360" w:lineRule="auto"/>
        <w:ind w:firstLine="640" w:firstLineChars="200"/>
        <w:jc w:val="left"/>
        <w:rPr>
          <w:rFonts w:ascii="仿宋_GB2312"/>
          <w:bCs/>
          <w:color w:val="auto"/>
          <w:sz w:val="32"/>
          <w:szCs w:val="32"/>
        </w:rPr>
      </w:pPr>
      <w:r>
        <w:rPr>
          <w:rFonts w:hint="eastAsia" w:ascii="仿宋_GB2312"/>
          <w:bCs/>
          <w:color w:val="auto"/>
          <w:sz w:val="32"/>
          <w:szCs w:val="32"/>
        </w:rPr>
        <w:t>通过绩效评价，客观地评判项目的管理绩效，了解和掌握退役安置补助项目经费的具体情况，评价该项目资金安排的科学性、合理性、规范性和资金的使用成效，及时总结项目管理经验，完善项目管理办法，提高项目管理水平和资金使用效益。促使我局根据绩效评价中发现的问题，认真加以整改，及时调整和完善单位的工作计划和绩效目标并加强项目管理，提高管理水平，同时为项目后续资金投入、分配和管理提供决策依据。</w:t>
      </w:r>
    </w:p>
    <w:p>
      <w:pPr>
        <w:spacing w:beforeAutospacing="0" w:afterAutospacing="0" w:line="360" w:lineRule="auto"/>
        <w:ind w:firstLine="600" w:firstLineChars="200"/>
        <w:jc w:val="left"/>
      </w:pPr>
      <w:r>
        <w:rPr>
          <w:rFonts w:hint="eastAsia"/>
        </w:rPr>
        <w:t>2、绩效评价对象：</w:t>
      </w:r>
    </w:p>
    <w:p>
      <w:pPr>
        <w:spacing w:beforeAutospacing="0" w:afterAutospacing="0" w:line="360" w:lineRule="auto"/>
        <w:ind w:firstLine="600" w:firstLineChars="200"/>
        <w:rPr>
          <w:rFonts w:hint="eastAsia"/>
          <w:color w:val="auto"/>
        </w:rPr>
      </w:pPr>
      <w:r>
        <w:rPr>
          <w:rFonts w:hint="eastAsia"/>
          <w:color w:val="auto"/>
        </w:rPr>
        <w:t>退役安置补助项目</w:t>
      </w:r>
    </w:p>
    <w:p>
      <w:pPr>
        <w:spacing w:beforeAutospacing="0" w:afterAutospacing="0" w:line="360" w:lineRule="auto"/>
        <w:ind w:firstLine="600" w:firstLineChars="200"/>
        <w:rPr>
          <w:color w:val="auto"/>
        </w:rPr>
      </w:pPr>
      <w:r>
        <w:rPr>
          <w:rFonts w:hint="eastAsia"/>
          <w:color w:val="auto"/>
        </w:rPr>
        <w:t>3、绩效评价范围：</w:t>
      </w:r>
    </w:p>
    <w:p>
      <w:pPr>
        <w:spacing w:beforeAutospacing="0" w:afterAutospacing="0" w:line="360" w:lineRule="auto"/>
        <w:ind w:firstLine="600" w:firstLineChars="200"/>
        <w:rPr>
          <w:color w:val="auto"/>
        </w:rPr>
      </w:pPr>
      <w:r>
        <w:rPr>
          <w:rFonts w:hint="eastAsia"/>
          <w:color w:val="auto"/>
        </w:rPr>
        <w:t>本次评价从项目决策（包括绩效目标、决策过程）、项目管理（包括项目资金、项目实施）、项目产出（包括项目产出数量、产出质量、产出时效和产出成本）项目效益四个维度进行退役安置补助项目（可填项目名称）评价，评价核心为专项资金的支出完成情况和效果。</w:t>
      </w:r>
    </w:p>
    <w:p>
      <w:pPr>
        <w:spacing w:beforeAutospacing="0" w:afterAutospacing="0" w:line="360" w:lineRule="auto"/>
      </w:pPr>
    </w:p>
    <w:p>
      <w:pPr>
        <w:pStyle w:val="3"/>
        <w:spacing w:beforeAutospacing="0" w:afterAutospacing="0" w:line="360" w:lineRule="auto"/>
        <w:rPr>
          <w:rFonts w:ascii="仿宋_GB2312" w:eastAsia="仿宋_GB2312"/>
          <w:b w:val="0"/>
          <w:bCs w:val="0"/>
        </w:rPr>
      </w:pPr>
      <w:bookmarkStart w:id="5" w:name="_Toc68703832"/>
      <w:bookmarkEnd w:id="5"/>
      <w:r>
        <w:rPr>
          <w:rFonts w:hint="eastAsia" w:ascii="仿宋_GB2312" w:eastAsia="仿宋_GB2312"/>
          <w:b w:val="0"/>
          <w:bCs w:val="0"/>
        </w:rPr>
        <w:t>（二）绩效评价原则、评价指标体系、评价方法、评价标准等。</w:t>
      </w:r>
    </w:p>
    <w:p>
      <w:pPr>
        <w:spacing w:beforeAutospacing="0" w:afterAutospacing="0" w:line="360" w:lineRule="auto"/>
      </w:pPr>
      <w:r>
        <w:rPr>
          <w:rFonts w:hint="eastAsia"/>
        </w:rPr>
        <w:t>1、绩效评价原则</w:t>
      </w:r>
    </w:p>
    <w:p>
      <w:pPr>
        <w:spacing w:beforeAutospacing="0" w:afterAutospacing="0" w:line="600" w:lineRule="exact"/>
        <w:ind w:firstLine="640"/>
        <w:rPr>
          <w:rFonts w:ascii="仿宋_GB2312"/>
          <w:bCs/>
          <w:color w:val="auto"/>
          <w:sz w:val="32"/>
          <w:szCs w:val="32"/>
        </w:rPr>
      </w:pPr>
      <w:r>
        <w:rPr>
          <w:rFonts w:hint="eastAsia" w:ascii="仿宋_GB2312"/>
          <w:bCs/>
          <w:color w:val="auto"/>
          <w:sz w:val="32"/>
          <w:szCs w:val="32"/>
        </w:rPr>
        <w:t>（一）科学公正。本次项目支出绩效评价运用科学合理的方法，按照规范的程序，对项目绩效进行客观、公正的反映。</w:t>
      </w:r>
    </w:p>
    <w:p>
      <w:pPr>
        <w:spacing w:beforeAutospacing="0" w:afterAutospacing="0" w:line="600" w:lineRule="exact"/>
        <w:ind w:firstLine="640"/>
        <w:rPr>
          <w:rFonts w:ascii="仿宋_GB2312"/>
          <w:bCs/>
          <w:color w:val="auto"/>
          <w:sz w:val="32"/>
          <w:szCs w:val="32"/>
        </w:rPr>
      </w:pPr>
      <w:r>
        <w:rPr>
          <w:rFonts w:hint="eastAsia" w:ascii="仿宋_GB2312"/>
          <w:bCs/>
          <w:color w:val="auto"/>
          <w:sz w:val="32"/>
          <w:szCs w:val="32"/>
        </w:rPr>
        <w:t>（二）统筹兼顾。本次项目支出绩效评价由本单位自主实施，即“谁支出、谁自评”。</w:t>
      </w:r>
    </w:p>
    <w:p>
      <w:pPr>
        <w:spacing w:beforeAutospacing="0" w:afterAutospacing="0" w:line="600" w:lineRule="exact"/>
        <w:ind w:firstLine="640"/>
        <w:rPr>
          <w:rFonts w:ascii="仿宋_GB2312"/>
          <w:bCs/>
          <w:color w:val="auto"/>
          <w:sz w:val="32"/>
          <w:szCs w:val="32"/>
        </w:rPr>
      </w:pPr>
      <w:r>
        <w:rPr>
          <w:rFonts w:hint="eastAsia" w:ascii="仿宋_GB2312"/>
          <w:bCs/>
          <w:color w:val="auto"/>
          <w:sz w:val="32"/>
          <w:szCs w:val="32"/>
        </w:rPr>
        <w:t>（三）激励约束。本次项目支出绩效评价结果与预算安排、政策调整、改进管理实质性挂钩，体现奖优罚劣和激励相容导向，有效要安排、低效要压减、无效要问责。</w:t>
      </w:r>
    </w:p>
    <w:p>
      <w:pPr>
        <w:spacing w:beforeAutospacing="0" w:afterAutospacing="0" w:line="600" w:lineRule="exact"/>
        <w:ind w:firstLine="640"/>
        <w:rPr>
          <w:rFonts w:ascii="仿宋_GB2312"/>
          <w:bCs/>
          <w:color w:val="FF0000"/>
          <w:sz w:val="32"/>
          <w:szCs w:val="32"/>
        </w:rPr>
      </w:pPr>
      <w:r>
        <w:rPr>
          <w:rFonts w:hint="eastAsia" w:ascii="仿宋_GB2312"/>
          <w:bCs/>
          <w:color w:val="auto"/>
          <w:sz w:val="32"/>
          <w:szCs w:val="32"/>
        </w:rPr>
        <w:t>（四）公开透明。本次项目支出绩效评价结果已依法依规公开在</w:t>
      </w:r>
      <w:r>
        <w:rPr>
          <w:rFonts w:hint="eastAsia" w:ascii="仿宋_GB2312"/>
          <w:bCs/>
          <w:color w:val="auto"/>
          <w:sz w:val="32"/>
          <w:szCs w:val="32"/>
          <w:lang w:val="en-US" w:eastAsia="zh-CN"/>
        </w:rPr>
        <w:t>霍城县政府</w:t>
      </w:r>
      <w:r>
        <w:rPr>
          <w:rFonts w:hint="eastAsia" w:ascii="仿宋_GB2312"/>
          <w:bCs/>
          <w:color w:val="auto"/>
          <w:sz w:val="32"/>
          <w:szCs w:val="32"/>
        </w:rPr>
        <w:t>网站上，并自觉接受社会监督。</w:t>
      </w:r>
    </w:p>
    <w:p>
      <w:pPr>
        <w:spacing w:beforeAutospacing="0" w:afterAutospacing="0" w:line="360" w:lineRule="auto"/>
      </w:pPr>
    </w:p>
    <w:p>
      <w:pPr>
        <w:spacing w:beforeAutospacing="0" w:afterAutospacing="0" w:line="360" w:lineRule="auto"/>
      </w:pPr>
      <w:r>
        <w:rPr>
          <w:rFonts w:hint="eastAsia"/>
        </w:rPr>
        <w:t>2、评价指标体系（附表说明）</w:t>
      </w:r>
    </w:p>
    <w:p>
      <w:pPr>
        <w:spacing w:beforeAutospacing="0" w:afterAutospacing="0" w:line="360" w:lineRule="auto"/>
      </w:pPr>
      <w:r>
        <w:rPr>
          <w:rFonts w:hint="eastAsia"/>
        </w:rPr>
        <w:t>3、评价方法</w:t>
      </w:r>
    </w:p>
    <w:p>
      <w:pPr>
        <w:spacing w:beforeAutospacing="0" w:afterAutospacing="0" w:line="360" w:lineRule="auto"/>
        <w:ind w:firstLine="640" w:firstLineChars="200"/>
        <w:rPr>
          <w:bCs/>
          <w:color w:val="FF0000"/>
          <w:sz w:val="32"/>
          <w:szCs w:val="32"/>
        </w:rPr>
      </w:pPr>
      <w:r>
        <w:rPr>
          <w:rFonts w:hint="eastAsia"/>
          <w:bCs/>
          <w:color w:val="auto"/>
          <w:sz w:val="32"/>
          <w:szCs w:val="32"/>
        </w:rPr>
        <w:t>本次项目支出绩效自评采用因素分析法方法，原因是：是指综合分析影响绩效目标实现、实施效果的内外部因素的方法。</w:t>
      </w:r>
    </w:p>
    <w:p>
      <w:pPr>
        <w:spacing w:beforeAutospacing="0" w:afterAutospacing="0" w:line="360" w:lineRule="auto"/>
      </w:pPr>
      <w:r>
        <w:rPr>
          <w:rFonts w:hint="eastAsia"/>
        </w:rPr>
        <w:t>4、评价标准</w:t>
      </w:r>
    </w:p>
    <w:p>
      <w:pPr>
        <w:spacing w:beforeAutospacing="0" w:afterAutospacing="0" w:line="360" w:lineRule="auto"/>
        <w:ind w:firstLine="640" w:firstLineChars="200"/>
        <w:rPr>
          <w:bCs/>
          <w:color w:val="auto"/>
          <w:sz w:val="32"/>
          <w:szCs w:val="32"/>
          <w:highlight w:val="yellow"/>
        </w:rPr>
      </w:pPr>
      <w:r>
        <w:rPr>
          <w:rFonts w:hint="eastAsia"/>
          <w:bCs/>
          <w:color w:val="auto"/>
          <w:sz w:val="32"/>
          <w:szCs w:val="32"/>
        </w:rPr>
        <w:t>本次项目支出绩效自评采用计划标准，原因是：指以预先制定的目标、计划、预算、定额等作为评价标准。</w:t>
      </w:r>
    </w:p>
    <w:p>
      <w:pPr>
        <w:pStyle w:val="3"/>
        <w:spacing w:beforeAutospacing="0" w:afterAutospacing="0" w:line="360" w:lineRule="auto"/>
        <w:rPr>
          <w:rFonts w:ascii="仿宋_GB2312" w:eastAsia="仿宋_GB2312"/>
          <w:b w:val="0"/>
          <w:bCs w:val="0"/>
        </w:rPr>
      </w:pPr>
      <w:bookmarkStart w:id="6" w:name="_Toc68703833"/>
      <w:bookmarkEnd w:id="6"/>
      <w:r>
        <w:rPr>
          <w:rFonts w:hint="eastAsia" w:ascii="仿宋_GB2312" w:eastAsia="仿宋_GB2312"/>
          <w:b w:val="0"/>
          <w:bCs w:val="0"/>
        </w:rPr>
        <w:t>（三）绩效评价工作过程。</w:t>
      </w:r>
    </w:p>
    <w:p>
      <w:pPr>
        <w:spacing w:beforeAutospacing="0" w:afterAutospacing="0" w:line="360" w:lineRule="auto"/>
      </w:pPr>
      <w:r>
        <w:rPr>
          <w:rFonts w:hint="eastAsia"/>
        </w:rPr>
        <w:t>1、前期准备：</w:t>
      </w:r>
    </w:p>
    <w:p>
      <w:pPr>
        <w:spacing w:beforeAutospacing="0" w:afterAutospacing="0" w:line="360" w:lineRule="auto"/>
        <w:ind w:firstLine="600" w:firstLineChars="200"/>
        <w:rPr>
          <w:color w:val="auto"/>
        </w:rPr>
      </w:pPr>
      <w:r>
        <w:rPr>
          <w:rFonts w:hint="eastAsia"/>
          <w:color w:val="auto"/>
        </w:rPr>
        <w:t>2</w:t>
      </w:r>
      <w:r>
        <w:rPr>
          <w:color w:val="auto"/>
        </w:rPr>
        <w:t>02</w:t>
      </w:r>
      <w:r>
        <w:rPr>
          <w:rFonts w:hint="eastAsia"/>
          <w:color w:val="auto"/>
          <w:lang w:val="en-US" w:eastAsia="zh-CN"/>
        </w:rPr>
        <w:t>3</w:t>
      </w:r>
      <w:r>
        <w:rPr>
          <w:rFonts w:hint="eastAsia"/>
          <w:color w:val="auto"/>
        </w:rPr>
        <w:t>年</w:t>
      </w:r>
      <w:r>
        <w:rPr>
          <w:rFonts w:hint="eastAsia"/>
          <w:color w:val="auto"/>
          <w:lang w:val="en-US" w:eastAsia="zh-CN"/>
        </w:rPr>
        <w:t>3</w:t>
      </w:r>
      <w:r>
        <w:rPr>
          <w:rFonts w:hint="eastAsia"/>
          <w:color w:val="auto"/>
        </w:rPr>
        <w:t>月</w:t>
      </w:r>
      <w:r>
        <w:rPr>
          <w:rFonts w:hint="eastAsia"/>
          <w:color w:val="auto"/>
          <w:lang w:val="en-US" w:eastAsia="zh-CN"/>
        </w:rPr>
        <w:t>1</w:t>
      </w:r>
      <w:r>
        <w:rPr>
          <w:rFonts w:hint="eastAsia"/>
          <w:color w:val="auto"/>
        </w:rPr>
        <w:t>日，</w:t>
      </w:r>
      <w:r>
        <w:rPr>
          <w:rFonts w:hint="eastAsia" w:ascii="仿宋_GB2312"/>
          <w:color w:val="auto"/>
          <w:lang w:val="zh-CN"/>
        </w:rPr>
        <w:t>开始前期准备工作，评价组通过前期调研</w:t>
      </w:r>
      <w:r>
        <w:rPr>
          <w:rFonts w:hint="eastAsia"/>
          <w:color w:val="auto"/>
        </w:rPr>
        <w:t>确定绩效评价对象和范围，</w:t>
      </w:r>
      <w:r>
        <w:rPr>
          <w:rFonts w:hint="eastAsia" w:ascii="仿宋_GB2312"/>
          <w:color w:val="auto"/>
          <w:lang w:val="zh-CN"/>
        </w:rPr>
        <w:t>确定了评价的目的、方法以及评价的原则，根据项目的内容和特征制定了评价指标体系及评价标准以及评价实施方案，修正并确定所需资料清单，最终确定</w:t>
      </w:r>
      <w:r>
        <w:rPr>
          <w:rFonts w:hint="eastAsia"/>
          <w:color w:val="auto"/>
        </w:rPr>
        <w:t>绩效评价工作方案；</w:t>
      </w:r>
    </w:p>
    <w:p>
      <w:pPr>
        <w:spacing w:beforeAutospacing="0" w:afterAutospacing="0" w:line="360" w:lineRule="auto"/>
        <w:rPr>
          <w:color w:val="auto"/>
        </w:rPr>
      </w:pPr>
      <w:r>
        <w:rPr>
          <w:color w:val="auto"/>
        </w:rPr>
        <w:t>2</w:t>
      </w:r>
      <w:r>
        <w:rPr>
          <w:rFonts w:hint="eastAsia"/>
          <w:color w:val="auto"/>
        </w:rPr>
        <w:t>、组织实施：</w:t>
      </w:r>
    </w:p>
    <w:p>
      <w:pPr>
        <w:spacing w:beforeAutospacing="0" w:afterAutospacing="0" w:line="360" w:lineRule="auto"/>
        <w:ind w:firstLine="600" w:firstLineChars="200"/>
        <w:rPr>
          <w:color w:val="auto"/>
        </w:rPr>
      </w:pPr>
      <w:r>
        <w:rPr>
          <w:rFonts w:hint="eastAsia"/>
          <w:color w:val="auto"/>
        </w:rPr>
        <w:t>2</w:t>
      </w:r>
      <w:r>
        <w:rPr>
          <w:color w:val="auto"/>
        </w:rPr>
        <w:t>02</w:t>
      </w:r>
      <w:r>
        <w:rPr>
          <w:rFonts w:hint="eastAsia"/>
          <w:color w:val="auto"/>
          <w:lang w:val="en-US" w:eastAsia="zh-CN"/>
        </w:rPr>
        <w:t>3</w:t>
      </w:r>
      <w:r>
        <w:rPr>
          <w:rFonts w:hint="eastAsia"/>
          <w:color w:val="auto"/>
        </w:rPr>
        <w:t>年</w:t>
      </w:r>
      <w:r>
        <w:rPr>
          <w:rFonts w:hint="eastAsia"/>
          <w:color w:val="auto"/>
          <w:lang w:val="en-US" w:eastAsia="zh-CN"/>
        </w:rPr>
        <w:t>3</w:t>
      </w:r>
      <w:r>
        <w:rPr>
          <w:rFonts w:hint="eastAsia"/>
          <w:color w:val="auto"/>
        </w:rPr>
        <w:t>月</w:t>
      </w:r>
      <w:r>
        <w:rPr>
          <w:rFonts w:hint="eastAsia"/>
          <w:color w:val="auto"/>
          <w:lang w:val="en-US" w:eastAsia="zh-CN"/>
        </w:rPr>
        <w:t>5</w:t>
      </w:r>
      <w:r>
        <w:rPr>
          <w:rFonts w:hint="eastAsia"/>
          <w:color w:val="auto"/>
        </w:rPr>
        <w:t>日-</w:t>
      </w:r>
      <w:r>
        <w:rPr>
          <w:rFonts w:hint="eastAsia"/>
          <w:color w:val="auto"/>
          <w:lang w:val="en-US" w:eastAsia="zh-CN"/>
        </w:rPr>
        <w:t>3</w:t>
      </w:r>
      <w:r>
        <w:rPr>
          <w:rFonts w:hint="eastAsia"/>
          <w:color w:val="auto"/>
        </w:rPr>
        <w:t>月</w:t>
      </w:r>
      <w:r>
        <w:rPr>
          <w:rFonts w:hint="eastAsia"/>
          <w:color w:val="auto"/>
          <w:lang w:val="en-US" w:eastAsia="zh-CN"/>
        </w:rPr>
        <w:t>10</w:t>
      </w:r>
      <w:r>
        <w:rPr>
          <w:rFonts w:hint="eastAsia"/>
          <w:color w:val="auto"/>
        </w:rPr>
        <w:t>日，</w:t>
      </w:r>
      <w:r>
        <w:rPr>
          <w:rFonts w:hint="eastAsia" w:ascii="仿宋_GB2312"/>
          <w:color w:val="auto"/>
        </w:rPr>
        <w:t>评价工作进入实施阶段，评价组</w:t>
      </w:r>
      <w:r>
        <w:rPr>
          <w:rFonts w:hint="eastAsia"/>
          <w:color w:val="auto"/>
        </w:rPr>
        <w:t>收集绩效评价相关数据资料，进行现场调研、座谈；并</w:t>
      </w:r>
      <w:r>
        <w:rPr>
          <w:rFonts w:hint="eastAsia" w:ascii="仿宋_GB2312"/>
          <w:color w:val="auto"/>
        </w:rPr>
        <w:t>与项目实施负责人沟通，了解资金的内容、操作流程、管理机制、资金使用方向等情况</w:t>
      </w:r>
      <w:r>
        <w:rPr>
          <w:rFonts w:hint="eastAsia"/>
          <w:color w:val="auto"/>
        </w:rPr>
        <w:t>，</w:t>
      </w:r>
      <w:r>
        <w:rPr>
          <w:color w:val="auto"/>
        </w:rPr>
        <w:t>分析</w:t>
      </w:r>
      <w:r>
        <w:rPr>
          <w:rFonts w:hint="eastAsia"/>
          <w:color w:val="auto"/>
        </w:rPr>
        <w:t>形成初步结论。</w:t>
      </w:r>
      <w:r>
        <w:rPr>
          <w:color w:val="auto"/>
        </w:rPr>
        <w:t xml:space="preserve"> </w:t>
      </w:r>
    </w:p>
    <w:p>
      <w:pPr>
        <w:spacing w:beforeAutospacing="0" w:afterAutospacing="0" w:line="360" w:lineRule="auto"/>
        <w:rPr>
          <w:color w:val="auto"/>
        </w:rPr>
      </w:pPr>
      <w:r>
        <w:rPr>
          <w:rFonts w:hint="eastAsia"/>
          <w:color w:val="auto"/>
        </w:rPr>
        <w:t>3、分析评价：</w:t>
      </w:r>
    </w:p>
    <w:p>
      <w:pPr>
        <w:spacing w:beforeAutospacing="0" w:afterAutospacing="0" w:line="360" w:lineRule="auto"/>
        <w:ind w:firstLine="600" w:firstLineChars="200"/>
        <w:rPr>
          <w:rFonts w:ascii="仿宋_GB2312"/>
          <w:color w:val="auto"/>
        </w:rPr>
      </w:pPr>
      <w:r>
        <w:rPr>
          <w:rFonts w:hint="eastAsia"/>
          <w:color w:val="auto"/>
        </w:rPr>
        <w:t>202</w:t>
      </w:r>
      <w:r>
        <w:rPr>
          <w:rFonts w:hint="eastAsia"/>
          <w:color w:val="auto"/>
          <w:lang w:val="en-US" w:eastAsia="zh-CN"/>
        </w:rPr>
        <w:t>3</w:t>
      </w:r>
      <w:r>
        <w:rPr>
          <w:rFonts w:hint="eastAsia"/>
          <w:color w:val="auto"/>
        </w:rPr>
        <w:t>年</w:t>
      </w:r>
      <w:r>
        <w:rPr>
          <w:rFonts w:hint="eastAsia"/>
          <w:color w:val="auto"/>
          <w:lang w:val="en-US" w:eastAsia="zh-CN"/>
        </w:rPr>
        <w:t>3</w:t>
      </w:r>
      <w:r>
        <w:rPr>
          <w:rFonts w:hint="eastAsia"/>
          <w:color w:val="auto"/>
        </w:rPr>
        <w:t>月</w:t>
      </w:r>
      <w:r>
        <w:rPr>
          <w:rFonts w:hint="eastAsia"/>
          <w:color w:val="auto"/>
          <w:lang w:val="en-US" w:eastAsia="zh-CN"/>
        </w:rPr>
        <w:t>15</w:t>
      </w:r>
      <w:r>
        <w:rPr>
          <w:rFonts w:hint="eastAsia"/>
          <w:color w:val="auto"/>
        </w:rPr>
        <w:t>日-</w:t>
      </w:r>
      <w:r>
        <w:rPr>
          <w:rFonts w:hint="eastAsia"/>
          <w:color w:val="auto"/>
          <w:lang w:val="en-US" w:eastAsia="zh-CN"/>
        </w:rPr>
        <w:t>3</w:t>
      </w:r>
      <w:r>
        <w:rPr>
          <w:rFonts w:hint="eastAsia"/>
          <w:color w:val="auto"/>
        </w:rPr>
        <w:t>月</w:t>
      </w:r>
      <w:r>
        <w:rPr>
          <w:rFonts w:hint="eastAsia"/>
          <w:color w:val="auto"/>
          <w:lang w:val="en-US" w:eastAsia="zh-CN"/>
        </w:rPr>
        <w:t>28</w:t>
      </w:r>
      <w:r>
        <w:rPr>
          <w:rFonts w:hint="eastAsia"/>
          <w:color w:val="auto"/>
        </w:rPr>
        <w:t>日，评价组按照绩效评价的原则和规范，对取得的资料进行审查核实，对采集的数据进行分析，按照绩效评价指标评分表逐项进行打分、分析，汇总各方评价结果，综合分析并形成评价结论。</w:t>
      </w:r>
    </w:p>
    <w:p>
      <w:pPr>
        <w:pStyle w:val="2"/>
        <w:spacing w:beforeAutospacing="0" w:afterAutospacing="0" w:line="360" w:lineRule="auto"/>
        <w:rPr>
          <w:rFonts w:ascii="宋体" w:hAnsi="宋体" w:eastAsia="宋体"/>
          <w:sz w:val="32"/>
          <w:szCs w:val="32"/>
        </w:rPr>
      </w:pPr>
      <w:bookmarkStart w:id="7" w:name="_Toc68703834"/>
      <w:bookmarkEnd w:id="7"/>
      <w:r>
        <w:rPr>
          <w:rFonts w:hint="eastAsia" w:ascii="宋体" w:hAnsi="宋体" w:eastAsia="宋体"/>
          <w:sz w:val="32"/>
          <w:szCs w:val="32"/>
        </w:rPr>
        <w:t>三、综合评价情况及评价结论</w:t>
      </w:r>
    </w:p>
    <w:p>
      <w:pPr>
        <w:pStyle w:val="3"/>
        <w:spacing w:beforeAutospacing="0" w:afterAutospacing="0" w:line="360" w:lineRule="auto"/>
        <w:rPr>
          <w:rFonts w:ascii="仿宋_GB2312" w:eastAsia="仿宋_GB2312"/>
          <w:b w:val="0"/>
          <w:bCs w:val="0"/>
        </w:rPr>
      </w:pPr>
      <w:bookmarkStart w:id="8" w:name="_Toc68703835"/>
      <w:bookmarkEnd w:id="8"/>
      <w:r>
        <w:rPr>
          <w:rFonts w:hint="eastAsia" w:ascii="仿宋_GB2312" w:eastAsia="仿宋_GB2312"/>
          <w:b w:val="0"/>
          <w:bCs w:val="0"/>
        </w:rPr>
        <w:t>（一）综合评价情况</w:t>
      </w:r>
    </w:p>
    <w:p>
      <w:pPr>
        <w:spacing w:beforeAutospacing="0" w:afterAutospacing="0" w:line="360" w:lineRule="auto"/>
        <w:ind w:firstLine="600" w:firstLineChars="200"/>
        <w:rPr>
          <w:color w:val="auto"/>
        </w:rPr>
      </w:pPr>
      <w:r>
        <w:rPr>
          <w:rFonts w:hint="eastAsia"/>
          <w:color w:val="auto"/>
        </w:rPr>
        <w:t>本项目严格按照</w:t>
      </w:r>
      <w:r>
        <w:rPr>
          <w:rFonts w:hint="eastAsia" w:ascii="仿宋_GB2312"/>
          <w:bCs/>
          <w:color w:val="auto"/>
          <w:kern w:val="0"/>
          <w:sz w:val="32"/>
          <w:szCs w:val="32"/>
        </w:rPr>
        <w:t>科学公正、统筹兼顾、激励约束、公开透明的</w:t>
      </w:r>
      <w:r>
        <w:rPr>
          <w:rFonts w:hint="eastAsia"/>
          <w:color w:val="auto"/>
        </w:rPr>
        <w:t>绩效评价原则，</w:t>
      </w:r>
      <w:r>
        <w:rPr>
          <w:rFonts w:hint="eastAsia"/>
          <w:color w:val="auto"/>
          <w:lang w:val="en-US" w:eastAsia="zh-CN"/>
        </w:rPr>
        <w:t>采用因素法</w:t>
      </w:r>
      <w:r>
        <w:rPr>
          <w:rFonts w:hint="eastAsia"/>
          <w:color w:val="auto"/>
        </w:rPr>
        <w:t>，坚</w:t>
      </w:r>
      <w:r>
        <w:rPr>
          <w:rFonts w:hint="eastAsia"/>
          <w:color w:val="auto"/>
          <w:lang w:val="en-US" w:eastAsia="zh-CN"/>
        </w:rPr>
        <w:t>持计划标准</w:t>
      </w:r>
      <w:r>
        <w:rPr>
          <w:rFonts w:hint="eastAsia"/>
          <w:color w:val="auto"/>
        </w:rPr>
        <w:t>对本项目的立项、项绩效目标、资金投入、资金管理、组织实施、产出数量、产出质量、产出时效、产出成本、项目效益进行了综合评价。</w:t>
      </w:r>
    </w:p>
    <w:p>
      <w:pPr>
        <w:pStyle w:val="3"/>
        <w:spacing w:beforeAutospacing="0" w:afterAutospacing="0" w:line="360" w:lineRule="auto"/>
        <w:rPr>
          <w:rFonts w:ascii="仿宋_GB2312" w:eastAsia="仿宋_GB2312"/>
          <w:b w:val="0"/>
          <w:bCs w:val="0"/>
        </w:rPr>
      </w:pPr>
      <w:bookmarkStart w:id="9" w:name="_Toc68703836"/>
      <w:bookmarkEnd w:id="9"/>
      <w:r>
        <w:rPr>
          <w:rFonts w:hint="eastAsia" w:ascii="仿宋_GB2312" w:eastAsia="仿宋_GB2312"/>
          <w:b w:val="0"/>
          <w:bCs w:val="0"/>
        </w:rPr>
        <w:t>（二）评价结论</w:t>
      </w:r>
    </w:p>
    <w:p>
      <w:pPr>
        <w:spacing w:beforeAutospacing="0" w:afterAutospacing="0" w:line="360" w:lineRule="auto"/>
        <w:ind w:firstLine="600" w:firstLineChars="200"/>
        <w:rPr>
          <w:color w:val="auto"/>
        </w:rPr>
      </w:pPr>
      <w:r>
        <w:rPr>
          <w:rFonts w:hint="eastAsia"/>
          <w:color w:val="auto"/>
        </w:rPr>
        <w:t>本项目的项目决策、项目过程、项目产出、项目效益均达到了预期要求，最终得分为</w:t>
      </w:r>
      <w:r>
        <w:rPr>
          <w:rFonts w:hint="eastAsia"/>
          <w:color w:val="auto"/>
          <w:lang w:val="en-US" w:eastAsia="zh-CN"/>
        </w:rPr>
        <w:t>99.74</w:t>
      </w:r>
      <w:r>
        <w:rPr>
          <w:rFonts w:hint="eastAsia"/>
          <w:color w:val="auto"/>
        </w:rPr>
        <w:t>分，</w:t>
      </w:r>
      <w:r>
        <w:rPr>
          <w:rFonts w:hint="eastAsia"/>
          <w:color w:val="auto"/>
          <w:lang w:eastAsia="zh-CN"/>
        </w:rPr>
        <w:t>评价等级为“优”</w:t>
      </w:r>
      <w:r>
        <w:rPr>
          <w:rFonts w:hint="eastAsia"/>
          <w:color w:val="auto"/>
        </w:rPr>
        <w:t>项目达成年度指标。</w:t>
      </w:r>
    </w:p>
    <w:p>
      <w:pPr>
        <w:spacing w:beforeAutospacing="0" w:afterAutospacing="0" w:line="360" w:lineRule="auto"/>
        <w:ind w:firstLine="600" w:firstLineChars="200"/>
        <w:rPr>
          <w:color w:val="auto"/>
        </w:rPr>
      </w:pPr>
    </w:p>
    <w:p>
      <w:pPr>
        <w:pStyle w:val="2"/>
        <w:spacing w:beforeAutospacing="0" w:afterAutospacing="0" w:line="360" w:lineRule="auto"/>
        <w:rPr>
          <w:rFonts w:ascii="宋体" w:hAnsi="宋体" w:eastAsia="宋体"/>
          <w:sz w:val="32"/>
          <w:szCs w:val="32"/>
        </w:rPr>
      </w:pPr>
      <w:bookmarkStart w:id="10" w:name="_Toc68703837"/>
      <w:bookmarkEnd w:id="10"/>
      <w:r>
        <w:rPr>
          <w:rFonts w:hint="eastAsia" w:ascii="宋体" w:hAnsi="宋体" w:eastAsia="宋体"/>
          <w:sz w:val="32"/>
          <w:szCs w:val="32"/>
        </w:rPr>
        <w:t>四、绩效评价指标分析</w:t>
      </w:r>
    </w:p>
    <w:p>
      <w:pPr>
        <w:pStyle w:val="3"/>
        <w:spacing w:beforeAutospacing="0" w:afterAutospacing="0" w:line="360" w:lineRule="auto"/>
        <w:rPr>
          <w:rFonts w:ascii="仿宋_GB2312" w:eastAsia="仿宋_GB2312"/>
          <w:b w:val="0"/>
          <w:bCs w:val="0"/>
        </w:rPr>
      </w:pPr>
      <w:bookmarkStart w:id="11" w:name="_Toc68703838"/>
      <w:bookmarkEnd w:id="11"/>
      <w:r>
        <w:rPr>
          <w:rFonts w:hint="eastAsia" w:ascii="仿宋_GB2312" w:eastAsia="仿宋_GB2312"/>
          <w:b w:val="0"/>
          <w:bCs w:val="0"/>
        </w:rPr>
        <w:t>（一）项目决策情况。</w:t>
      </w:r>
    </w:p>
    <w:p>
      <w:pPr>
        <w:spacing w:beforeAutospacing="0" w:afterAutospacing="0" w:line="360" w:lineRule="auto"/>
        <w:rPr>
          <w:color w:val="auto"/>
        </w:rPr>
      </w:pPr>
      <w:r>
        <w:rPr>
          <w:rFonts w:hint="eastAsia"/>
          <w:color w:val="auto"/>
        </w:rPr>
        <w:t>1、立项依据充分性</w:t>
      </w:r>
    </w:p>
    <w:p>
      <w:pPr>
        <w:spacing w:beforeAutospacing="0" w:afterAutospacing="0" w:line="360" w:lineRule="auto"/>
        <w:ind w:firstLine="600" w:firstLineChars="200"/>
        <w:rPr>
          <w:color w:val="auto"/>
        </w:rPr>
      </w:pPr>
      <w:r>
        <w:rPr>
          <w:rFonts w:hint="eastAsia"/>
          <w:color w:val="auto"/>
        </w:rPr>
        <w:t>项目立项依据《新疆维吾尔自治区自主就业退役士兵一次性经济补助发放管理办法》；项目立项符合行业发展规划和政策要求</w:t>
      </w:r>
      <w:r>
        <w:rPr>
          <w:rFonts w:hint="eastAsia"/>
          <w:color w:val="auto"/>
          <w:lang w:eastAsia="zh-CN"/>
        </w:rPr>
        <w:t>；</w:t>
      </w:r>
      <w:r>
        <w:rPr>
          <w:rFonts w:hint="eastAsia"/>
          <w:color w:val="auto"/>
        </w:rPr>
        <w:t>项目立项与部门职责范围相符，属于部门履职所需；项目属于公共财政支持范围，符合中央、地方事权支出责任划分原则；项目</w:t>
      </w:r>
      <w:r>
        <w:rPr>
          <w:rFonts w:hint="eastAsia"/>
          <w:color w:val="auto"/>
          <w:lang w:eastAsia="zh-CN"/>
        </w:rPr>
        <w:t>不</w:t>
      </w:r>
      <w:r>
        <w:rPr>
          <w:rFonts w:hint="eastAsia"/>
          <w:color w:val="auto"/>
        </w:rPr>
        <w:t>与相关部门同类项目或部门内部相关项目重复。</w:t>
      </w:r>
    </w:p>
    <w:p>
      <w:pPr>
        <w:spacing w:beforeAutospacing="0" w:afterAutospacing="0" w:line="360" w:lineRule="auto"/>
        <w:rPr>
          <w:color w:val="auto"/>
        </w:rPr>
      </w:pPr>
      <w:r>
        <w:rPr>
          <w:rFonts w:hint="eastAsia"/>
          <w:color w:val="auto"/>
        </w:rPr>
        <w:t>2、立项程序规范性</w:t>
      </w:r>
    </w:p>
    <w:p>
      <w:pPr>
        <w:spacing w:beforeAutospacing="0" w:afterAutospacing="0" w:line="360" w:lineRule="auto"/>
        <w:ind w:firstLine="600" w:firstLineChars="200"/>
        <w:rPr>
          <w:color w:val="auto"/>
        </w:rPr>
      </w:pPr>
      <w:r>
        <w:rPr>
          <w:rFonts w:hint="eastAsia"/>
          <w:color w:val="auto"/>
        </w:rPr>
        <w:t>项目按照规定的程序申请设立；审批文件、材料符合相关要求；事前已经过必要的可行性研究、专家论证、风险评估、绩效评估、集体决策。</w:t>
      </w:r>
    </w:p>
    <w:p>
      <w:pPr>
        <w:spacing w:beforeAutospacing="0" w:afterAutospacing="0" w:line="360" w:lineRule="auto"/>
      </w:pPr>
      <w:r>
        <w:rPr>
          <w:rFonts w:hint="eastAsia"/>
        </w:rPr>
        <w:t>3、绩效目标合理性</w:t>
      </w:r>
    </w:p>
    <w:p>
      <w:pPr>
        <w:spacing w:beforeAutospacing="0" w:afterAutospacing="0" w:line="360" w:lineRule="auto"/>
        <w:ind w:firstLine="600" w:firstLineChars="200"/>
        <w:rPr>
          <w:color w:val="auto"/>
        </w:rPr>
      </w:pPr>
      <w:r>
        <w:rPr>
          <w:rFonts w:hint="eastAsia"/>
          <w:color w:val="auto"/>
        </w:rPr>
        <w:t>退役安置补助项目设立了项目绩效目标，与</w:t>
      </w:r>
      <w:r>
        <w:rPr>
          <w:rFonts w:hint="eastAsia"/>
          <w:color w:val="auto"/>
          <w:lang w:eastAsia="zh-CN"/>
        </w:rPr>
        <w:t>发放退役军人一次性经济补助金一致</w:t>
      </w:r>
      <w:r>
        <w:rPr>
          <w:rFonts w:hint="eastAsia"/>
          <w:color w:val="auto"/>
        </w:rPr>
        <w:t>，项目的预期产出效益和效果也均能符合正常的业绩水平，并且与预算确定的项目投资额或资金量相匹配。</w:t>
      </w:r>
    </w:p>
    <w:p>
      <w:pPr>
        <w:numPr>
          <w:ilvl w:val="0"/>
          <w:numId w:val="1"/>
        </w:numPr>
        <w:spacing w:beforeAutospacing="0" w:afterAutospacing="0" w:line="360" w:lineRule="auto"/>
        <w:rPr>
          <w:rFonts w:hint="eastAsia"/>
        </w:rPr>
      </w:pPr>
      <w:bookmarkStart w:id="12" w:name="_Hlk68699917"/>
      <w:r>
        <w:rPr>
          <w:rFonts w:hint="eastAsia"/>
        </w:rPr>
        <w:t>绩效指标明确性</w:t>
      </w:r>
    </w:p>
    <w:bookmarkEnd w:id="12"/>
    <w:p>
      <w:pPr>
        <w:numPr>
          <w:ilvl w:val="0"/>
          <w:numId w:val="0"/>
        </w:numPr>
        <w:spacing w:beforeAutospacing="0" w:afterAutospacing="0" w:line="360" w:lineRule="auto"/>
        <w:ind w:firstLine="600" w:firstLineChars="200"/>
        <w:rPr>
          <w:color w:val="auto"/>
        </w:rPr>
      </w:pPr>
      <w:r>
        <w:rPr>
          <w:rFonts w:hint="eastAsia"/>
          <w:color w:val="auto"/>
        </w:rPr>
        <w:t>退役安置补助项目项目将项目绩效目标细化分解为具体的绩效指标，一级指标共</w:t>
      </w:r>
      <w:r>
        <w:rPr>
          <w:rFonts w:hint="eastAsia"/>
          <w:color w:val="auto"/>
          <w:lang w:val="en-US" w:eastAsia="zh-CN"/>
        </w:rPr>
        <w:t>3</w:t>
      </w:r>
      <w:r>
        <w:rPr>
          <w:rFonts w:hint="eastAsia"/>
          <w:color w:val="auto"/>
        </w:rPr>
        <w:t>条，二级指标共</w:t>
      </w:r>
      <w:r>
        <w:rPr>
          <w:rFonts w:hint="eastAsia"/>
          <w:color w:val="auto"/>
          <w:lang w:val="en-US" w:eastAsia="zh-CN"/>
        </w:rPr>
        <w:t>7</w:t>
      </w:r>
      <w:r>
        <w:rPr>
          <w:rFonts w:hint="eastAsia"/>
          <w:color w:val="auto"/>
        </w:rPr>
        <w:t>条，三级指标共</w:t>
      </w:r>
      <w:r>
        <w:rPr>
          <w:rFonts w:hint="eastAsia"/>
          <w:color w:val="auto"/>
          <w:lang w:val="en-US" w:eastAsia="zh-CN"/>
        </w:rPr>
        <w:t>11</w:t>
      </w:r>
      <w:r>
        <w:rPr>
          <w:rFonts w:hint="eastAsia"/>
          <w:color w:val="auto"/>
        </w:rPr>
        <w:t>条，其中量化指标条数共</w:t>
      </w:r>
      <w:r>
        <w:rPr>
          <w:rFonts w:hint="eastAsia"/>
          <w:color w:val="auto"/>
          <w:lang w:val="en-US" w:eastAsia="zh-CN"/>
        </w:rPr>
        <w:t>9</w:t>
      </w:r>
      <w:r>
        <w:rPr>
          <w:rFonts w:hint="eastAsia"/>
          <w:color w:val="auto"/>
        </w:rPr>
        <w:t>条，所有绩效指标均通过清晰、可衡量的指标值予以体现，并且做到了与项目目标任务数或计划数相对应。</w:t>
      </w:r>
    </w:p>
    <w:p>
      <w:pPr>
        <w:spacing w:beforeAutospacing="0" w:afterAutospacing="0" w:line="360" w:lineRule="auto"/>
      </w:pPr>
      <w:r>
        <w:rPr>
          <w:rFonts w:hint="eastAsia"/>
        </w:rPr>
        <w:t>5、预算编制科学性</w:t>
      </w:r>
    </w:p>
    <w:p>
      <w:pPr>
        <w:spacing w:beforeAutospacing="0" w:afterAutospacing="0" w:line="360" w:lineRule="auto"/>
        <w:ind w:firstLine="600" w:firstLineChars="200"/>
        <w:rPr>
          <w:color w:val="auto"/>
        </w:rPr>
      </w:pPr>
      <w:r>
        <w:rPr>
          <w:rFonts w:hint="eastAsia"/>
          <w:color w:val="auto"/>
          <w:lang w:eastAsia="zh-CN"/>
        </w:rPr>
        <w:t>本项目</w:t>
      </w:r>
      <w:r>
        <w:rPr>
          <w:rFonts w:hint="eastAsia"/>
          <w:color w:val="auto"/>
        </w:rPr>
        <w:t>预算编制经过科学论证；预算内容与项目内容匹配；预算额度测算依据充分，按照标准编制；预算确定的项目投资额或资金量与工作任务相匹配。</w:t>
      </w:r>
    </w:p>
    <w:p>
      <w:pPr>
        <w:spacing w:beforeAutospacing="0" w:afterAutospacing="0" w:line="360" w:lineRule="auto"/>
        <w:rPr>
          <w:color w:val="auto"/>
        </w:rPr>
      </w:pPr>
      <w:r>
        <w:rPr>
          <w:rFonts w:hint="eastAsia"/>
          <w:color w:val="auto"/>
        </w:rPr>
        <w:t>6、资金分配合理性</w:t>
      </w:r>
    </w:p>
    <w:p>
      <w:pPr>
        <w:spacing w:beforeAutospacing="0" w:afterAutospacing="0" w:line="360" w:lineRule="auto"/>
        <w:ind w:firstLine="600" w:firstLineChars="200"/>
        <w:rPr>
          <w:color w:val="auto"/>
        </w:rPr>
      </w:pPr>
      <w:r>
        <w:rPr>
          <w:rFonts w:hint="eastAsia"/>
          <w:color w:val="auto"/>
          <w:lang w:eastAsia="zh-CN"/>
        </w:rPr>
        <w:t>本项目</w:t>
      </w:r>
      <w:r>
        <w:rPr>
          <w:rFonts w:hint="eastAsia"/>
          <w:color w:val="auto"/>
        </w:rPr>
        <w:t>预算资金分配依据充分；资金分配额度合理，与项目单位或地方实际相适应。</w:t>
      </w:r>
    </w:p>
    <w:p>
      <w:pPr>
        <w:pStyle w:val="3"/>
        <w:spacing w:beforeAutospacing="0" w:afterAutospacing="0" w:line="360" w:lineRule="auto"/>
        <w:rPr>
          <w:rFonts w:ascii="仿宋_GB2312" w:eastAsia="仿宋_GB2312"/>
          <w:b w:val="0"/>
          <w:bCs w:val="0"/>
        </w:rPr>
      </w:pPr>
      <w:bookmarkStart w:id="13" w:name="_Toc68703839"/>
      <w:bookmarkEnd w:id="13"/>
      <w:r>
        <w:rPr>
          <w:rFonts w:hint="eastAsia" w:ascii="仿宋_GB2312" w:eastAsia="仿宋_GB2312"/>
          <w:b w:val="0"/>
          <w:bCs w:val="0"/>
        </w:rPr>
        <w:t>（二）项目过程情况。</w:t>
      </w:r>
    </w:p>
    <w:p>
      <w:pPr>
        <w:spacing w:beforeAutospacing="0" w:afterAutospacing="0" w:line="360" w:lineRule="auto"/>
      </w:pPr>
      <w:r>
        <w:rPr>
          <w:rFonts w:hint="eastAsia"/>
        </w:rPr>
        <w:t>1、资金到位率：</w:t>
      </w:r>
    </w:p>
    <w:p>
      <w:pPr>
        <w:spacing w:beforeAutospacing="0" w:afterAutospacing="0" w:line="360" w:lineRule="auto"/>
        <w:ind w:firstLine="600" w:firstLineChars="200"/>
        <w:rPr>
          <w:color w:val="auto"/>
        </w:rPr>
      </w:pPr>
      <w:r>
        <w:rPr>
          <w:rFonts w:hint="eastAsia"/>
          <w:color w:val="auto"/>
        </w:rPr>
        <w:t>预算资金</w:t>
      </w:r>
      <w:r>
        <w:rPr>
          <w:color w:val="auto"/>
        </w:rPr>
        <w:t xml:space="preserve"> </w:t>
      </w:r>
      <w:r>
        <w:rPr>
          <w:rFonts w:hint="eastAsia"/>
          <w:color w:val="auto"/>
          <w:lang w:val="en-US" w:eastAsia="zh-CN"/>
        </w:rPr>
        <w:t>172.50</w:t>
      </w:r>
      <w:r>
        <w:rPr>
          <w:rFonts w:hint="eastAsia"/>
          <w:color w:val="auto"/>
        </w:rPr>
        <w:t>万元，实际到位资金</w:t>
      </w:r>
      <w:r>
        <w:rPr>
          <w:rFonts w:hint="eastAsia"/>
          <w:color w:val="auto"/>
          <w:lang w:val="en-US" w:eastAsia="zh-CN"/>
        </w:rPr>
        <w:t>172.50</w:t>
      </w:r>
      <w:r>
        <w:rPr>
          <w:rFonts w:hint="eastAsia"/>
          <w:color w:val="auto"/>
        </w:rPr>
        <w:t>万元，资金到位率</w:t>
      </w:r>
      <w:r>
        <w:rPr>
          <w:rFonts w:hint="eastAsia"/>
          <w:color w:val="auto"/>
          <w:lang w:val="en-US" w:eastAsia="zh-CN"/>
        </w:rPr>
        <w:t>100</w:t>
      </w:r>
      <w:r>
        <w:rPr>
          <w:color w:val="auto"/>
        </w:rPr>
        <w:t>.</w:t>
      </w:r>
      <w:r>
        <w:rPr>
          <w:rFonts w:hint="eastAsia"/>
          <w:color w:val="auto"/>
          <w:lang w:val="en-US" w:eastAsia="zh-CN"/>
        </w:rPr>
        <w:t>00</w:t>
      </w:r>
      <w:r>
        <w:rPr>
          <w:rFonts w:hint="eastAsia"/>
          <w:color w:val="auto"/>
        </w:rPr>
        <w:t>%。</w:t>
      </w:r>
    </w:p>
    <w:p>
      <w:pPr>
        <w:spacing w:beforeAutospacing="0" w:afterAutospacing="0" w:line="360" w:lineRule="auto"/>
      </w:pPr>
      <w:r>
        <w:rPr>
          <w:rFonts w:hint="eastAsia"/>
        </w:rPr>
        <w:t>2、预算执行率</w:t>
      </w:r>
    </w:p>
    <w:p>
      <w:pPr>
        <w:spacing w:beforeAutospacing="0" w:afterAutospacing="0" w:line="360" w:lineRule="auto"/>
        <w:ind w:firstLine="600" w:firstLineChars="200"/>
        <w:rPr>
          <w:rFonts w:hint="eastAsia" w:eastAsia="仿宋_GB2312"/>
          <w:color w:val="auto"/>
          <w:lang w:val="en-US" w:eastAsia="zh-CN"/>
        </w:rPr>
      </w:pPr>
      <w:r>
        <w:rPr>
          <w:rFonts w:hint="eastAsia"/>
          <w:color w:val="auto"/>
        </w:rPr>
        <w:t>年初预算数</w:t>
      </w:r>
      <w:r>
        <w:rPr>
          <w:rFonts w:hint="eastAsia"/>
          <w:color w:val="auto"/>
          <w:lang w:val="en-US" w:eastAsia="zh-CN"/>
        </w:rPr>
        <w:t>172.50</w:t>
      </w:r>
      <w:r>
        <w:rPr>
          <w:rFonts w:hint="eastAsia"/>
          <w:color w:val="auto"/>
        </w:rPr>
        <w:t>万元，全年预算数</w:t>
      </w:r>
      <w:r>
        <w:rPr>
          <w:rFonts w:hint="eastAsia"/>
          <w:color w:val="auto"/>
          <w:lang w:val="en-US" w:eastAsia="zh-CN"/>
        </w:rPr>
        <w:t>172.50</w:t>
      </w:r>
      <w:r>
        <w:rPr>
          <w:rFonts w:hint="eastAsia"/>
          <w:color w:val="auto"/>
        </w:rPr>
        <w:t>万元</w:t>
      </w:r>
      <w:r>
        <w:rPr>
          <w:rFonts w:hint="eastAsia"/>
          <w:color w:val="auto"/>
          <w:lang w:eastAsia="zh-CN"/>
        </w:rPr>
        <w:t>，</w:t>
      </w:r>
      <w:r>
        <w:rPr>
          <w:rFonts w:hint="eastAsia"/>
          <w:color w:val="auto"/>
        </w:rPr>
        <w:t xml:space="preserve">全年执行数 </w:t>
      </w:r>
      <w:r>
        <w:rPr>
          <w:color w:val="auto"/>
        </w:rPr>
        <w:t xml:space="preserve">    </w:t>
      </w:r>
      <w:r>
        <w:rPr>
          <w:rFonts w:hint="eastAsia"/>
          <w:color w:val="auto"/>
          <w:lang w:val="en-US" w:eastAsia="zh-CN"/>
        </w:rPr>
        <w:t>172.50</w:t>
      </w:r>
      <w:r>
        <w:rPr>
          <w:rFonts w:hint="eastAsia"/>
          <w:color w:val="auto"/>
        </w:rPr>
        <w:t>万元，预算执行率为</w:t>
      </w:r>
      <w:r>
        <w:rPr>
          <w:rFonts w:hint="eastAsia"/>
          <w:color w:val="auto"/>
          <w:lang w:val="en-US" w:eastAsia="zh-CN"/>
        </w:rPr>
        <w:t>100</w:t>
      </w:r>
      <w:r>
        <w:rPr>
          <w:color w:val="auto"/>
        </w:rPr>
        <w:t>.</w:t>
      </w:r>
      <w:r>
        <w:rPr>
          <w:rFonts w:hint="eastAsia"/>
          <w:color w:val="auto"/>
          <w:lang w:val="en-US" w:eastAsia="zh-CN"/>
        </w:rPr>
        <w:t>00</w:t>
      </w:r>
      <w:r>
        <w:rPr>
          <w:rFonts w:hint="eastAsia"/>
          <w:color w:val="auto"/>
        </w:rPr>
        <w:t>%</w:t>
      </w:r>
      <w:r>
        <w:rPr>
          <w:rFonts w:hint="eastAsia"/>
          <w:color w:val="auto"/>
          <w:lang w:val="en-US" w:eastAsia="zh-CN"/>
        </w:rPr>
        <w:t>.</w:t>
      </w:r>
    </w:p>
    <w:p>
      <w:pPr>
        <w:spacing w:beforeAutospacing="0" w:afterAutospacing="0" w:line="360" w:lineRule="auto"/>
        <w:rPr>
          <w:color w:val="auto"/>
        </w:rPr>
      </w:pPr>
      <w:r>
        <w:rPr>
          <w:rFonts w:hint="eastAsia"/>
          <w:color w:val="auto"/>
        </w:rPr>
        <w:t>3、资金使用合规性</w:t>
      </w:r>
    </w:p>
    <w:p>
      <w:pPr>
        <w:spacing w:beforeAutospacing="0" w:afterAutospacing="0" w:line="360" w:lineRule="auto"/>
        <w:ind w:firstLine="600" w:firstLineChars="200"/>
        <w:rPr>
          <w:color w:val="auto"/>
        </w:rPr>
      </w:pPr>
      <w:r>
        <w:rPr>
          <w:rFonts w:hint="eastAsia"/>
          <w:color w:val="auto"/>
          <w:lang w:eastAsia="zh-CN"/>
        </w:rPr>
        <w:t>本项目</w:t>
      </w:r>
      <w:r>
        <w:rPr>
          <w:rFonts w:hint="eastAsia"/>
          <w:color w:val="auto"/>
        </w:rPr>
        <w:t>符合国家财经法规和财务管理制度以及有关专项资金管理办法的规定；资金的拨付有完整的审批程序和手续；符合项目预算批复或合同规定的用途；</w:t>
      </w:r>
      <w:r>
        <w:rPr>
          <w:rFonts w:hint="eastAsia"/>
          <w:color w:val="auto"/>
          <w:lang w:eastAsia="zh-CN"/>
        </w:rPr>
        <w:t>无</w:t>
      </w:r>
      <w:r>
        <w:rPr>
          <w:rFonts w:hint="eastAsia"/>
          <w:color w:val="auto"/>
        </w:rPr>
        <w:t>存在截留、挤占、挪用、虚列支出等情况。</w:t>
      </w:r>
    </w:p>
    <w:p>
      <w:pPr>
        <w:numPr>
          <w:ilvl w:val="0"/>
          <w:numId w:val="1"/>
        </w:numPr>
        <w:spacing w:beforeAutospacing="0" w:afterAutospacing="0" w:line="360" w:lineRule="auto"/>
        <w:ind w:left="0" w:leftChars="0" w:firstLine="0" w:firstLineChars="0"/>
        <w:rPr>
          <w:rFonts w:hint="eastAsia"/>
          <w:lang w:eastAsia="zh-CN"/>
        </w:rPr>
      </w:pPr>
      <w:r>
        <w:rPr>
          <w:rFonts w:hint="eastAsia"/>
        </w:rPr>
        <w:t>管理制度健全性</w:t>
      </w:r>
    </w:p>
    <w:p>
      <w:pPr>
        <w:numPr>
          <w:ilvl w:val="0"/>
          <w:numId w:val="0"/>
        </w:numPr>
        <w:spacing w:beforeAutospacing="0" w:afterAutospacing="0" w:line="360" w:lineRule="auto"/>
        <w:ind w:leftChars="0" w:firstLine="600" w:firstLineChars="200"/>
        <w:rPr>
          <w:color w:val="auto"/>
        </w:rPr>
      </w:pPr>
      <w:r>
        <w:rPr>
          <w:rFonts w:hint="eastAsia"/>
          <w:color w:val="auto"/>
          <w:lang w:eastAsia="zh-CN"/>
        </w:rPr>
        <w:t>本项目</w:t>
      </w:r>
      <w:r>
        <w:rPr>
          <w:rFonts w:hint="eastAsia"/>
          <w:color w:val="auto"/>
        </w:rPr>
        <w:t>已制定或具有相应的财务和业务管理制度；财务和业务管理制度合法、合规、完整。</w:t>
      </w:r>
    </w:p>
    <w:p>
      <w:pPr>
        <w:spacing w:beforeAutospacing="0" w:afterAutospacing="0" w:line="360" w:lineRule="auto"/>
        <w:rPr>
          <w:color w:val="auto"/>
        </w:rPr>
      </w:pPr>
      <w:r>
        <w:rPr>
          <w:rFonts w:hint="eastAsia"/>
          <w:color w:val="auto"/>
        </w:rPr>
        <w:t>5、制度执行有效性</w:t>
      </w:r>
    </w:p>
    <w:p>
      <w:pPr>
        <w:spacing w:beforeAutospacing="0" w:afterAutospacing="0" w:line="360" w:lineRule="auto"/>
        <w:ind w:firstLine="600" w:firstLineChars="200"/>
        <w:rPr>
          <w:color w:val="auto"/>
        </w:rPr>
      </w:pPr>
      <w:r>
        <w:rPr>
          <w:rFonts w:hint="eastAsia"/>
          <w:color w:val="auto"/>
          <w:lang w:eastAsia="zh-CN"/>
        </w:rPr>
        <w:t>本项目</w:t>
      </w:r>
      <w:r>
        <w:rPr>
          <w:rFonts w:hint="eastAsia"/>
          <w:color w:val="auto"/>
        </w:rPr>
        <w:t>遵守相关法律法规和相关管理规定；项目调整及支出调整手续完备；项目合同书、验收报告、技术鉴定等资料齐全并及时归档；项目实施的人员条件、场地设备、信息支撑等落实到位。</w:t>
      </w:r>
    </w:p>
    <w:p>
      <w:pPr>
        <w:pStyle w:val="3"/>
        <w:spacing w:beforeAutospacing="0" w:afterAutospacing="0" w:line="360" w:lineRule="auto"/>
        <w:rPr>
          <w:rFonts w:ascii="仿宋_GB2312" w:eastAsia="仿宋_GB2312"/>
          <w:b w:val="0"/>
          <w:bCs w:val="0"/>
        </w:rPr>
      </w:pPr>
      <w:bookmarkStart w:id="14" w:name="_Toc68703840"/>
      <w:bookmarkEnd w:id="14"/>
      <w:r>
        <w:rPr>
          <w:rFonts w:hint="eastAsia" w:ascii="仿宋_GB2312" w:eastAsia="仿宋_GB2312"/>
          <w:b w:val="0"/>
          <w:bCs w:val="0"/>
        </w:rPr>
        <w:t>（三）项目产出情况。</w:t>
      </w:r>
    </w:p>
    <w:p>
      <w:pPr>
        <w:spacing w:beforeAutospacing="0" w:afterAutospacing="0" w:line="360" w:lineRule="auto"/>
        <w:ind w:firstLine="600" w:firstLineChars="200"/>
        <w:rPr>
          <w:color w:val="auto"/>
        </w:rPr>
      </w:pPr>
      <w:r>
        <w:rPr>
          <w:rFonts w:hint="eastAsia"/>
          <w:color w:val="auto"/>
        </w:rPr>
        <w:t>1、数量指标：指标1：自主就业退役发放士兵补助人数（服役2年），指标值：&gt;=27人，实际完成值</w:t>
      </w:r>
      <w:r>
        <w:rPr>
          <w:rFonts w:hint="eastAsia"/>
          <w:color w:val="auto"/>
          <w:lang w:val="en-US" w:eastAsia="zh-CN"/>
        </w:rPr>
        <w:t>26人</w:t>
      </w:r>
      <w:r>
        <w:rPr>
          <w:rFonts w:hint="eastAsia"/>
          <w:color w:val="auto"/>
        </w:rPr>
        <w:t>，指标完成率</w:t>
      </w:r>
      <w:r>
        <w:rPr>
          <w:rFonts w:hint="eastAsia"/>
          <w:color w:val="auto"/>
          <w:lang w:val="en-US" w:eastAsia="zh-CN"/>
        </w:rPr>
        <w:t>96.3</w:t>
      </w:r>
      <w:r>
        <w:rPr>
          <w:rFonts w:hint="eastAsia"/>
          <w:color w:val="auto"/>
        </w:rPr>
        <w:t>%；指标2：自主就业退役发放士兵补助人数（服役</w:t>
      </w:r>
      <w:r>
        <w:rPr>
          <w:rFonts w:hint="eastAsia"/>
          <w:color w:val="auto"/>
          <w:lang w:val="en-US" w:eastAsia="zh-CN"/>
        </w:rPr>
        <w:t>5</w:t>
      </w:r>
      <w:r>
        <w:rPr>
          <w:rFonts w:hint="eastAsia"/>
          <w:color w:val="auto"/>
        </w:rPr>
        <w:t>年），指标值：&gt;=</w:t>
      </w:r>
      <w:r>
        <w:rPr>
          <w:rFonts w:hint="eastAsia"/>
          <w:color w:val="auto"/>
          <w:lang w:val="en-US" w:eastAsia="zh-CN"/>
        </w:rPr>
        <w:t>16</w:t>
      </w:r>
      <w:r>
        <w:rPr>
          <w:rFonts w:hint="eastAsia"/>
          <w:color w:val="auto"/>
        </w:rPr>
        <w:t>人，实际完成值</w:t>
      </w:r>
      <w:r>
        <w:rPr>
          <w:rFonts w:hint="eastAsia"/>
          <w:color w:val="auto"/>
          <w:lang w:val="en-US" w:eastAsia="zh-CN"/>
        </w:rPr>
        <w:t>17人</w:t>
      </w:r>
      <w:r>
        <w:rPr>
          <w:rFonts w:hint="eastAsia"/>
          <w:color w:val="auto"/>
        </w:rPr>
        <w:t>，指标完成率</w:t>
      </w:r>
      <w:r>
        <w:rPr>
          <w:rFonts w:hint="eastAsia"/>
          <w:color w:val="auto"/>
          <w:lang w:val="en-US" w:eastAsia="zh-CN"/>
        </w:rPr>
        <w:t>106.25</w:t>
      </w:r>
      <w:r>
        <w:rPr>
          <w:rFonts w:hint="eastAsia"/>
          <w:color w:val="auto"/>
        </w:rPr>
        <w:t>%</w:t>
      </w:r>
      <w:r>
        <w:rPr>
          <w:rFonts w:hint="eastAsia"/>
          <w:color w:val="auto"/>
          <w:lang w:eastAsia="zh-CN"/>
        </w:rPr>
        <w:t>；</w:t>
      </w:r>
      <w:r>
        <w:rPr>
          <w:rFonts w:hint="eastAsia"/>
          <w:color w:val="auto"/>
        </w:rPr>
        <w:t>指标</w:t>
      </w:r>
      <w:r>
        <w:rPr>
          <w:rFonts w:hint="eastAsia"/>
          <w:color w:val="auto"/>
          <w:lang w:val="en-US" w:eastAsia="zh-CN"/>
        </w:rPr>
        <w:t>3</w:t>
      </w:r>
      <w:r>
        <w:rPr>
          <w:rFonts w:hint="eastAsia"/>
          <w:color w:val="auto"/>
        </w:rPr>
        <w:t>：自主就业退役发放士兵补助人数（</w:t>
      </w:r>
      <w:r>
        <w:rPr>
          <w:rFonts w:hint="eastAsia"/>
          <w:color w:val="auto"/>
          <w:lang w:val="en-US" w:eastAsia="zh-CN"/>
        </w:rPr>
        <w:t>立三等功</w:t>
      </w:r>
      <w:r>
        <w:rPr>
          <w:rFonts w:hint="eastAsia"/>
          <w:color w:val="auto"/>
        </w:rPr>
        <w:t>），指标值：&gt;=</w:t>
      </w:r>
      <w:r>
        <w:rPr>
          <w:rFonts w:hint="eastAsia"/>
          <w:color w:val="auto"/>
          <w:lang w:val="en-US" w:eastAsia="zh-CN"/>
        </w:rPr>
        <w:t>3</w:t>
      </w:r>
      <w:r>
        <w:rPr>
          <w:rFonts w:hint="eastAsia"/>
          <w:color w:val="auto"/>
        </w:rPr>
        <w:t>人，实际完成值</w:t>
      </w:r>
      <w:r>
        <w:rPr>
          <w:rFonts w:hint="eastAsia"/>
          <w:color w:val="auto"/>
          <w:lang w:val="en-US" w:eastAsia="zh-CN"/>
        </w:rPr>
        <w:t>3人</w:t>
      </w:r>
      <w:r>
        <w:rPr>
          <w:rFonts w:hint="eastAsia"/>
          <w:color w:val="auto"/>
        </w:rPr>
        <w:t>，指标完成率</w:t>
      </w:r>
      <w:r>
        <w:rPr>
          <w:rFonts w:hint="eastAsia"/>
          <w:color w:val="auto"/>
          <w:lang w:val="en-US" w:eastAsia="zh-CN"/>
        </w:rPr>
        <w:t>100</w:t>
      </w:r>
      <w:r>
        <w:rPr>
          <w:rFonts w:hint="eastAsia"/>
          <w:color w:val="auto"/>
        </w:rPr>
        <w:t>%。</w:t>
      </w:r>
    </w:p>
    <w:p>
      <w:pPr>
        <w:spacing w:beforeAutospacing="0" w:afterAutospacing="0" w:line="360" w:lineRule="auto"/>
        <w:ind w:firstLine="600" w:firstLineChars="200"/>
        <w:rPr>
          <w:rFonts w:hint="eastAsia" w:eastAsia="仿宋_GB2312"/>
          <w:color w:val="auto"/>
          <w:lang w:val="en-US" w:eastAsia="zh-CN"/>
        </w:rPr>
      </w:pPr>
      <w:r>
        <w:rPr>
          <w:color w:val="auto"/>
        </w:rPr>
        <w:t>2</w:t>
      </w:r>
      <w:r>
        <w:rPr>
          <w:rFonts w:hint="eastAsia"/>
          <w:color w:val="auto"/>
        </w:rPr>
        <w:t>、质量指标：指标1：补助经费核拨、使用符合政策规定比率，指标值：</w:t>
      </w:r>
      <w:r>
        <w:rPr>
          <w:rFonts w:hint="eastAsia"/>
          <w:color w:val="auto"/>
          <w:lang w:val="en-US" w:eastAsia="zh-CN"/>
        </w:rPr>
        <w:t>=100%</w:t>
      </w:r>
      <w:r>
        <w:rPr>
          <w:rFonts w:hint="eastAsia"/>
          <w:color w:val="auto"/>
        </w:rPr>
        <w:t>，实际完成值</w:t>
      </w:r>
      <w:r>
        <w:rPr>
          <w:rFonts w:hint="eastAsia"/>
          <w:color w:val="auto"/>
          <w:lang w:val="en-US" w:eastAsia="zh-CN"/>
        </w:rPr>
        <w:t>100%</w:t>
      </w:r>
      <w:r>
        <w:rPr>
          <w:rFonts w:hint="eastAsia"/>
          <w:color w:val="auto"/>
        </w:rPr>
        <w:t>，指标完成率</w:t>
      </w:r>
      <w:r>
        <w:rPr>
          <w:rFonts w:hint="eastAsia"/>
          <w:color w:val="auto"/>
          <w:lang w:val="en-US" w:eastAsia="zh-CN"/>
        </w:rPr>
        <w:t>100</w:t>
      </w:r>
      <w:r>
        <w:rPr>
          <w:rFonts w:hint="eastAsia"/>
          <w:color w:val="auto"/>
        </w:rPr>
        <w:t>%</w:t>
      </w:r>
      <w:r>
        <w:rPr>
          <w:rFonts w:hint="eastAsia"/>
          <w:color w:val="auto"/>
          <w:lang w:eastAsia="zh-CN"/>
        </w:rPr>
        <w:t>。</w:t>
      </w:r>
    </w:p>
    <w:p>
      <w:pPr>
        <w:spacing w:beforeAutospacing="0" w:afterAutospacing="0" w:line="360" w:lineRule="auto"/>
        <w:ind w:firstLine="600" w:firstLineChars="200"/>
        <w:rPr>
          <w:color w:val="auto"/>
        </w:rPr>
      </w:pPr>
      <w:r>
        <w:rPr>
          <w:rFonts w:hint="eastAsia"/>
          <w:color w:val="auto"/>
        </w:rPr>
        <w:t>3、时效指标：指标1：退役士兵补助发放及时率（%）</w:t>
      </w:r>
      <w:r>
        <w:rPr>
          <w:rFonts w:hint="eastAsia"/>
          <w:color w:val="auto"/>
          <w:lang w:eastAsia="zh-CN"/>
        </w:rPr>
        <w:t>，</w:t>
      </w:r>
      <w:r>
        <w:rPr>
          <w:rFonts w:hint="eastAsia"/>
          <w:color w:val="auto"/>
        </w:rPr>
        <w:t>指标值：</w:t>
      </w:r>
      <w:r>
        <w:rPr>
          <w:rFonts w:hint="eastAsia"/>
          <w:color w:val="auto"/>
          <w:lang w:val="en-US" w:eastAsia="zh-CN"/>
        </w:rPr>
        <w:t>=100%</w:t>
      </w:r>
      <w:r>
        <w:rPr>
          <w:rFonts w:hint="eastAsia"/>
          <w:color w:val="auto"/>
        </w:rPr>
        <w:t>，实际完成值</w:t>
      </w:r>
      <w:r>
        <w:rPr>
          <w:rFonts w:hint="eastAsia"/>
          <w:color w:val="auto"/>
          <w:lang w:val="en-US" w:eastAsia="zh-CN"/>
        </w:rPr>
        <w:t>100%</w:t>
      </w:r>
      <w:r>
        <w:rPr>
          <w:rFonts w:hint="eastAsia"/>
          <w:color w:val="auto"/>
        </w:rPr>
        <w:t>，指标完成率</w:t>
      </w:r>
      <w:r>
        <w:rPr>
          <w:rFonts w:hint="eastAsia"/>
          <w:color w:val="auto"/>
          <w:lang w:val="en-US" w:eastAsia="zh-CN"/>
        </w:rPr>
        <w:t>100</w:t>
      </w:r>
      <w:r>
        <w:rPr>
          <w:rFonts w:hint="eastAsia"/>
          <w:color w:val="auto"/>
        </w:rPr>
        <w:t>%</w:t>
      </w:r>
      <w:r>
        <w:rPr>
          <w:rFonts w:hint="eastAsia"/>
          <w:color w:val="auto"/>
          <w:lang w:eastAsia="zh-CN"/>
        </w:rPr>
        <w:t>。</w:t>
      </w:r>
    </w:p>
    <w:p>
      <w:pPr>
        <w:spacing w:beforeAutospacing="0" w:afterAutospacing="0" w:line="360" w:lineRule="auto"/>
        <w:ind w:firstLine="600" w:firstLineChars="200"/>
        <w:rPr>
          <w:rFonts w:hint="eastAsia" w:eastAsia="仿宋_GB2312"/>
          <w:color w:val="auto"/>
          <w:lang w:eastAsia="zh-CN"/>
        </w:rPr>
      </w:pPr>
      <w:r>
        <w:rPr>
          <w:rFonts w:hint="eastAsia"/>
          <w:color w:val="auto"/>
        </w:rPr>
        <w:t>4、成本指标</w:t>
      </w:r>
      <w:r>
        <w:rPr>
          <w:rFonts w:hint="eastAsia"/>
          <w:color w:val="auto"/>
          <w:lang w:eastAsia="zh-CN"/>
        </w:rPr>
        <w:t>：</w:t>
      </w:r>
      <w:r>
        <w:rPr>
          <w:rFonts w:hint="eastAsia"/>
          <w:color w:val="auto"/>
        </w:rPr>
        <w:t>指标1：自主就业退役发放士兵补助人数（服役2年）</w:t>
      </w:r>
      <w:r>
        <w:rPr>
          <w:rFonts w:hint="eastAsia"/>
          <w:color w:val="auto"/>
          <w:lang w:eastAsia="zh-CN"/>
        </w:rPr>
        <w:t>，</w:t>
      </w:r>
      <w:r>
        <w:rPr>
          <w:rFonts w:hint="eastAsia"/>
          <w:color w:val="auto"/>
        </w:rPr>
        <w:t>指标值：=</w:t>
      </w:r>
      <w:r>
        <w:rPr>
          <w:rFonts w:hint="eastAsia"/>
          <w:color w:val="auto"/>
          <w:lang w:val="en-US" w:eastAsia="zh-CN"/>
        </w:rPr>
        <w:t>91.8万元</w:t>
      </w:r>
      <w:r>
        <w:rPr>
          <w:rFonts w:hint="eastAsia"/>
          <w:color w:val="auto"/>
        </w:rPr>
        <w:t>，实际完成值</w:t>
      </w:r>
      <w:r>
        <w:rPr>
          <w:rFonts w:hint="eastAsia"/>
          <w:color w:val="auto"/>
          <w:lang w:val="en-US" w:eastAsia="zh-CN"/>
        </w:rPr>
        <w:t>91.8万元</w:t>
      </w:r>
      <w:r>
        <w:rPr>
          <w:rFonts w:hint="eastAsia"/>
          <w:color w:val="auto"/>
        </w:rPr>
        <w:t>，指标完成率</w:t>
      </w:r>
      <w:r>
        <w:rPr>
          <w:rFonts w:hint="eastAsia"/>
          <w:color w:val="auto"/>
          <w:lang w:val="en-US" w:eastAsia="zh-CN"/>
        </w:rPr>
        <w:t>100</w:t>
      </w:r>
      <w:r>
        <w:rPr>
          <w:rFonts w:hint="eastAsia"/>
          <w:color w:val="auto"/>
        </w:rPr>
        <w:t>%；指标</w:t>
      </w:r>
      <w:r>
        <w:rPr>
          <w:rFonts w:hint="eastAsia"/>
          <w:color w:val="auto"/>
          <w:lang w:val="en-US" w:eastAsia="zh-CN"/>
        </w:rPr>
        <w:t>2</w:t>
      </w:r>
      <w:r>
        <w:rPr>
          <w:rFonts w:hint="eastAsia"/>
          <w:color w:val="auto"/>
        </w:rPr>
        <w:t>：自主就业退役发放士兵补助人数（服役</w:t>
      </w:r>
      <w:r>
        <w:rPr>
          <w:rFonts w:hint="eastAsia"/>
          <w:color w:val="auto"/>
          <w:lang w:val="en-US" w:eastAsia="zh-CN"/>
        </w:rPr>
        <w:t>5</w:t>
      </w:r>
      <w:r>
        <w:rPr>
          <w:rFonts w:hint="eastAsia"/>
          <w:color w:val="auto"/>
        </w:rPr>
        <w:t>年）</w:t>
      </w:r>
      <w:r>
        <w:rPr>
          <w:rFonts w:hint="eastAsia"/>
          <w:color w:val="auto"/>
          <w:lang w:eastAsia="zh-CN"/>
        </w:rPr>
        <w:t>，</w:t>
      </w:r>
      <w:r>
        <w:rPr>
          <w:rFonts w:hint="eastAsia"/>
          <w:color w:val="auto"/>
        </w:rPr>
        <w:t>指标值：=</w:t>
      </w:r>
      <w:r>
        <w:rPr>
          <w:rFonts w:hint="eastAsia"/>
          <w:color w:val="auto"/>
          <w:lang w:val="en-US" w:eastAsia="zh-CN"/>
        </w:rPr>
        <w:t>64万元</w:t>
      </w:r>
      <w:r>
        <w:rPr>
          <w:rFonts w:hint="eastAsia"/>
          <w:color w:val="auto"/>
        </w:rPr>
        <w:t>，实际完成值</w:t>
      </w:r>
      <w:r>
        <w:rPr>
          <w:rFonts w:hint="eastAsia"/>
          <w:color w:val="auto"/>
          <w:lang w:val="en-US" w:eastAsia="zh-CN"/>
        </w:rPr>
        <w:t>64万元</w:t>
      </w:r>
      <w:r>
        <w:rPr>
          <w:rFonts w:hint="eastAsia"/>
          <w:color w:val="auto"/>
        </w:rPr>
        <w:t>，指标完成率</w:t>
      </w:r>
      <w:r>
        <w:rPr>
          <w:rFonts w:hint="eastAsia"/>
          <w:color w:val="auto"/>
          <w:lang w:val="en-US" w:eastAsia="zh-CN"/>
        </w:rPr>
        <w:t>100</w:t>
      </w:r>
      <w:r>
        <w:rPr>
          <w:rFonts w:hint="eastAsia"/>
          <w:color w:val="auto"/>
        </w:rPr>
        <w:t>%；指标</w:t>
      </w:r>
      <w:r>
        <w:rPr>
          <w:rFonts w:hint="eastAsia"/>
          <w:color w:val="auto"/>
          <w:lang w:val="en-US" w:eastAsia="zh-CN"/>
        </w:rPr>
        <w:t>3</w:t>
      </w:r>
      <w:r>
        <w:rPr>
          <w:rFonts w:hint="eastAsia"/>
          <w:color w:val="auto"/>
        </w:rPr>
        <w:t>：自主就业退役发放士兵补助人数（</w:t>
      </w:r>
      <w:r>
        <w:rPr>
          <w:rFonts w:hint="eastAsia"/>
          <w:color w:val="auto"/>
          <w:lang w:val="en-US" w:eastAsia="zh-CN"/>
        </w:rPr>
        <w:t>立三等功</w:t>
      </w:r>
      <w:r>
        <w:rPr>
          <w:rFonts w:hint="eastAsia"/>
          <w:color w:val="auto"/>
        </w:rPr>
        <w:t>）</w:t>
      </w:r>
      <w:r>
        <w:rPr>
          <w:rFonts w:hint="eastAsia"/>
          <w:color w:val="auto"/>
          <w:lang w:eastAsia="zh-CN"/>
        </w:rPr>
        <w:t>，</w:t>
      </w:r>
      <w:r>
        <w:rPr>
          <w:rFonts w:hint="eastAsia"/>
          <w:color w:val="auto"/>
        </w:rPr>
        <w:t>指标值：=</w:t>
      </w:r>
      <w:r>
        <w:rPr>
          <w:rFonts w:hint="eastAsia"/>
          <w:color w:val="auto"/>
          <w:lang w:val="en-US" w:eastAsia="zh-CN"/>
        </w:rPr>
        <w:t>16.7万元</w:t>
      </w:r>
      <w:r>
        <w:rPr>
          <w:rFonts w:hint="eastAsia"/>
          <w:color w:val="auto"/>
        </w:rPr>
        <w:t>，实际完成值</w:t>
      </w:r>
      <w:r>
        <w:rPr>
          <w:rFonts w:hint="eastAsia"/>
          <w:color w:val="auto"/>
          <w:lang w:val="en-US" w:eastAsia="zh-CN"/>
        </w:rPr>
        <w:t>16.7万元</w:t>
      </w:r>
      <w:r>
        <w:rPr>
          <w:rFonts w:hint="eastAsia"/>
          <w:color w:val="auto"/>
        </w:rPr>
        <w:t>，指标完成率</w:t>
      </w:r>
      <w:r>
        <w:rPr>
          <w:rFonts w:hint="eastAsia"/>
          <w:color w:val="auto"/>
          <w:lang w:val="en-US" w:eastAsia="zh-CN"/>
        </w:rPr>
        <w:t>100</w:t>
      </w:r>
      <w:r>
        <w:rPr>
          <w:rFonts w:hint="eastAsia"/>
          <w:color w:val="auto"/>
        </w:rPr>
        <w:t>%；</w:t>
      </w:r>
    </w:p>
    <w:p>
      <w:pPr>
        <w:pStyle w:val="3"/>
        <w:spacing w:beforeAutospacing="0" w:afterAutospacing="0" w:line="360" w:lineRule="auto"/>
        <w:rPr>
          <w:rFonts w:ascii="仿宋_GB2312" w:eastAsia="仿宋_GB2312"/>
          <w:b w:val="0"/>
          <w:bCs w:val="0"/>
          <w:color w:val="auto"/>
        </w:rPr>
      </w:pPr>
      <w:bookmarkStart w:id="15" w:name="_Toc68703841"/>
      <w:bookmarkEnd w:id="15"/>
      <w:r>
        <w:rPr>
          <w:rFonts w:hint="eastAsia" w:ascii="仿宋_GB2312" w:eastAsia="仿宋_GB2312"/>
          <w:b w:val="0"/>
          <w:bCs w:val="0"/>
          <w:color w:val="auto"/>
        </w:rPr>
        <w:t>（四）项目效益情况。</w:t>
      </w:r>
    </w:p>
    <w:p>
      <w:pPr>
        <w:spacing w:beforeAutospacing="0" w:afterAutospacing="0" w:line="360" w:lineRule="auto"/>
        <w:ind w:firstLine="600" w:firstLineChars="200"/>
        <w:rPr>
          <w:color w:val="auto"/>
        </w:rPr>
      </w:pPr>
      <w:r>
        <w:rPr>
          <w:color w:val="auto"/>
        </w:rPr>
        <w:t>1</w:t>
      </w:r>
      <w:r>
        <w:rPr>
          <w:rFonts w:hint="eastAsia"/>
          <w:color w:val="auto"/>
        </w:rPr>
        <w:t>、社会效益指标：指标1：解决部分自主就业退役士兵生活困难问题</w:t>
      </w:r>
      <w:r>
        <w:rPr>
          <w:rFonts w:hint="eastAsia"/>
          <w:color w:val="auto"/>
          <w:lang w:eastAsia="zh-CN"/>
        </w:rPr>
        <w:t>，</w:t>
      </w:r>
      <w:r>
        <w:rPr>
          <w:rFonts w:hint="eastAsia"/>
          <w:color w:val="auto"/>
        </w:rPr>
        <w:t>指标值：</w:t>
      </w:r>
      <w:r>
        <w:rPr>
          <w:rFonts w:hint="eastAsia"/>
          <w:color w:val="auto"/>
          <w:lang w:val="en-US" w:eastAsia="zh-CN"/>
        </w:rPr>
        <w:t>有效解决</w:t>
      </w:r>
      <w:r>
        <w:rPr>
          <w:rFonts w:hint="eastAsia"/>
          <w:color w:val="auto"/>
        </w:rPr>
        <w:t>，实际完成值</w:t>
      </w:r>
      <w:r>
        <w:rPr>
          <w:rFonts w:hint="eastAsia"/>
          <w:color w:val="auto"/>
          <w:lang w:val="en-US" w:eastAsia="zh-CN"/>
        </w:rPr>
        <w:t>有效解决</w:t>
      </w:r>
      <w:r>
        <w:rPr>
          <w:rFonts w:hint="eastAsia"/>
          <w:color w:val="auto"/>
        </w:rPr>
        <w:t>，指标完成率</w:t>
      </w:r>
      <w:r>
        <w:rPr>
          <w:rFonts w:hint="eastAsia"/>
          <w:color w:val="auto"/>
          <w:lang w:val="en-US" w:eastAsia="zh-CN"/>
        </w:rPr>
        <w:t>100</w:t>
      </w:r>
      <w:r>
        <w:rPr>
          <w:rFonts w:hint="eastAsia"/>
          <w:color w:val="auto"/>
        </w:rPr>
        <w:t>%；</w:t>
      </w:r>
    </w:p>
    <w:p>
      <w:pPr>
        <w:spacing w:beforeAutospacing="0" w:afterAutospacing="0" w:line="360" w:lineRule="auto"/>
        <w:ind w:firstLine="600" w:firstLineChars="200"/>
        <w:rPr>
          <w:color w:val="auto"/>
        </w:rPr>
      </w:pPr>
      <w:r>
        <w:rPr>
          <w:rFonts w:hint="eastAsia"/>
          <w:color w:val="auto"/>
          <w:lang w:val="en-US" w:eastAsia="zh-CN"/>
        </w:rPr>
        <w:t>2</w:t>
      </w:r>
      <w:r>
        <w:rPr>
          <w:rFonts w:hint="eastAsia"/>
          <w:color w:val="auto"/>
        </w:rPr>
        <w:t>、生态效益指标：指标1：改善自主就业退役士兵生活情况</w:t>
      </w:r>
      <w:r>
        <w:rPr>
          <w:rFonts w:hint="eastAsia"/>
          <w:color w:val="auto"/>
          <w:lang w:eastAsia="zh-CN"/>
        </w:rPr>
        <w:t>，</w:t>
      </w:r>
      <w:r>
        <w:rPr>
          <w:rFonts w:hint="eastAsia"/>
          <w:color w:val="auto"/>
        </w:rPr>
        <w:t>指标值：</w:t>
      </w:r>
      <w:r>
        <w:rPr>
          <w:rFonts w:hint="eastAsia"/>
          <w:color w:val="auto"/>
          <w:lang w:val="en-US" w:eastAsia="zh-CN"/>
        </w:rPr>
        <w:t>持续改善</w:t>
      </w:r>
      <w:r>
        <w:rPr>
          <w:rFonts w:hint="eastAsia"/>
          <w:color w:val="auto"/>
        </w:rPr>
        <w:t>，实际完成值</w:t>
      </w:r>
      <w:r>
        <w:rPr>
          <w:rFonts w:hint="eastAsia"/>
          <w:color w:val="auto"/>
          <w:lang w:val="en-US" w:eastAsia="zh-CN"/>
        </w:rPr>
        <w:t>持续改善</w:t>
      </w:r>
      <w:r>
        <w:rPr>
          <w:rFonts w:hint="eastAsia"/>
          <w:color w:val="auto"/>
        </w:rPr>
        <w:t>，指标完成率</w:t>
      </w:r>
      <w:r>
        <w:rPr>
          <w:rFonts w:hint="eastAsia"/>
          <w:color w:val="auto"/>
          <w:lang w:val="en-US" w:eastAsia="zh-CN"/>
        </w:rPr>
        <w:t>100</w:t>
      </w:r>
      <w:r>
        <w:rPr>
          <w:rFonts w:hint="eastAsia"/>
          <w:color w:val="auto"/>
        </w:rPr>
        <w:t>%；</w:t>
      </w:r>
    </w:p>
    <w:p>
      <w:pPr>
        <w:spacing w:beforeAutospacing="0" w:afterAutospacing="0" w:line="360" w:lineRule="auto"/>
        <w:ind w:firstLine="600" w:firstLineChars="200"/>
        <w:rPr>
          <w:rFonts w:hint="eastAsia" w:eastAsia="仿宋_GB2312"/>
          <w:color w:val="auto"/>
          <w:highlight w:val="yellow"/>
          <w:lang w:eastAsia="zh-CN"/>
        </w:rPr>
      </w:pPr>
      <w:r>
        <w:rPr>
          <w:rFonts w:hint="eastAsia"/>
          <w:color w:val="auto"/>
          <w:lang w:eastAsia="zh-CN"/>
        </w:rPr>
        <w:t>3、满意度指标：指标1：自主就业退役士兵满意度，指标值：&gt;=90%，实际完成值</w:t>
      </w:r>
      <w:r>
        <w:rPr>
          <w:rFonts w:hint="eastAsia"/>
          <w:color w:val="auto"/>
          <w:lang w:val="en-US" w:eastAsia="zh-CN"/>
        </w:rPr>
        <w:t>100</w:t>
      </w:r>
      <w:r>
        <w:rPr>
          <w:rFonts w:hint="eastAsia"/>
          <w:color w:val="auto"/>
          <w:lang w:eastAsia="zh-CN"/>
        </w:rPr>
        <w:t>%，指标完成率1</w:t>
      </w:r>
      <w:r>
        <w:rPr>
          <w:rFonts w:hint="eastAsia"/>
          <w:color w:val="auto"/>
          <w:lang w:val="en-US" w:eastAsia="zh-CN"/>
        </w:rPr>
        <w:t>11.11</w:t>
      </w:r>
      <w:r>
        <w:rPr>
          <w:rFonts w:hint="eastAsia"/>
          <w:color w:val="auto"/>
          <w:lang w:eastAsia="zh-CN"/>
        </w:rPr>
        <w:t>%。</w:t>
      </w:r>
    </w:p>
    <w:p>
      <w:pPr>
        <w:pStyle w:val="2"/>
        <w:spacing w:beforeAutospacing="0" w:afterAutospacing="0" w:line="360" w:lineRule="auto"/>
        <w:rPr>
          <w:rFonts w:ascii="宋体" w:hAnsi="宋体" w:eastAsia="宋体"/>
          <w:sz w:val="32"/>
          <w:szCs w:val="32"/>
        </w:rPr>
      </w:pPr>
      <w:bookmarkStart w:id="16" w:name="_Toc68703842"/>
      <w:bookmarkEnd w:id="16"/>
      <w:r>
        <w:rPr>
          <w:rFonts w:hint="eastAsia" w:ascii="宋体" w:hAnsi="宋体" w:eastAsia="宋体"/>
          <w:sz w:val="32"/>
          <w:szCs w:val="32"/>
        </w:rPr>
        <w:t>五、主要经验及做法、存在的问题及原因分析</w:t>
      </w:r>
    </w:p>
    <w:p>
      <w:pPr>
        <w:pStyle w:val="3"/>
        <w:spacing w:beforeAutospacing="0" w:afterAutospacing="0" w:line="360" w:lineRule="auto"/>
        <w:rPr>
          <w:rFonts w:ascii="仿宋_GB2312" w:eastAsia="仿宋_GB2312"/>
          <w:b w:val="0"/>
          <w:bCs w:val="0"/>
        </w:rPr>
      </w:pPr>
      <w:bookmarkStart w:id="17" w:name="_Toc68703843"/>
      <w:bookmarkEnd w:id="17"/>
      <w:r>
        <w:rPr>
          <w:rFonts w:hint="eastAsia" w:ascii="仿宋_GB2312" w:eastAsia="仿宋_GB2312"/>
          <w:b w:val="0"/>
          <w:bCs w:val="0"/>
        </w:rPr>
        <w:t>（一）主要经验及做法</w:t>
      </w:r>
    </w:p>
    <w:p>
      <w:pPr>
        <w:ind w:firstLine="600" w:firstLineChars="200"/>
        <w:rPr>
          <w:color w:val="FF0000"/>
        </w:rPr>
      </w:pPr>
      <w:r>
        <w:rPr>
          <w:color w:val="242424"/>
        </w:rPr>
        <w:t>建立健全完整的项目实施体系，年初目标为导向，建立健全补助对象台账，完善相关信息采集。使资金合理合规按程序拨付。</w:t>
      </w:r>
    </w:p>
    <w:p>
      <w:pPr>
        <w:pStyle w:val="3"/>
        <w:spacing w:beforeAutospacing="0" w:afterAutospacing="0" w:line="360" w:lineRule="auto"/>
        <w:rPr>
          <w:rFonts w:ascii="仿宋_GB2312" w:eastAsia="仿宋_GB2312"/>
          <w:b w:val="0"/>
          <w:bCs w:val="0"/>
        </w:rPr>
      </w:pPr>
      <w:bookmarkStart w:id="18" w:name="_Toc68703844"/>
      <w:bookmarkEnd w:id="18"/>
      <w:r>
        <w:rPr>
          <w:rFonts w:hint="eastAsia" w:ascii="仿宋_GB2312" w:eastAsia="仿宋_GB2312"/>
          <w:b w:val="0"/>
          <w:bCs w:val="0"/>
        </w:rPr>
        <w:t>（二）存在的问题及原因分析</w:t>
      </w:r>
    </w:p>
    <w:p>
      <w:pPr>
        <w:ind w:firstLine="600" w:firstLineChars="200"/>
        <w:rPr>
          <w:rFonts w:hint="eastAsia"/>
          <w:color w:val="242424"/>
        </w:rPr>
      </w:pPr>
      <w:r>
        <w:rPr>
          <w:rFonts w:hint="eastAsia"/>
          <w:color w:val="242424"/>
          <w:lang w:eastAsia="zh-CN"/>
        </w:rPr>
        <w:t>存在的问题：</w:t>
      </w:r>
      <w:r>
        <w:rPr>
          <w:rFonts w:hint="eastAsia"/>
          <w:color w:val="242424"/>
        </w:rPr>
        <w:t>受益人信息更新不及时造成发放偏差。</w:t>
      </w:r>
    </w:p>
    <w:p>
      <w:pPr>
        <w:ind w:firstLine="600" w:firstLineChars="200"/>
        <w:rPr>
          <w:rFonts w:hint="eastAsia" w:eastAsia="仿宋_GB2312"/>
          <w:color w:val="242424"/>
          <w:lang w:eastAsia="zh-CN"/>
        </w:rPr>
      </w:pPr>
      <w:r>
        <w:rPr>
          <w:rFonts w:hint="eastAsia"/>
          <w:color w:val="242424"/>
          <w:lang w:eastAsia="zh-CN"/>
        </w:rPr>
        <w:t>原因分析：乡镇工作人员未及时统计上报最新发放人员名单，造成偏差，以后工作中我单位工作人员将及时督促乡镇工作人员及时更新报表。</w:t>
      </w:r>
    </w:p>
    <w:p>
      <w:pPr>
        <w:pStyle w:val="2"/>
        <w:numPr>
          <w:ilvl w:val="0"/>
          <w:numId w:val="2"/>
        </w:numPr>
        <w:spacing w:beforeAutospacing="0" w:afterAutospacing="0" w:line="360" w:lineRule="auto"/>
        <w:rPr>
          <w:rFonts w:hint="eastAsia" w:ascii="宋体" w:hAnsi="宋体" w:eastAsia="宋体"/>
          <w:sz w:val="32"/>
          <w:szCs w:val="32"/>
          <w:highlight w:val="none"/>
        </w:rPr>
      </w:pPr>
      <w:bookmarkStart w:id="19" w:name="_Toc68703845"/>
      <w:bookmarkEnd w:id="19"/>
      <w:r>
        <w:rPr>
          <w:rFonts w:hint="eastAsia" w:ascii="宋体" w:hAnsi="宋体" w:eastAsia="宋体"/>
          <w:sz w:val="32"/>
          <w:szCs w:val="32"/>
          <w:highlight w:val="none"/>
        </w:rPr>
        <w:t>有关建议</w:t>
      </w:r>
    </w:p>
    <w:p>
      <w:pPr>
        <w:ind w:firstLine="600" w:firstLineChars="200"/>
        <w:rPr>
          <w:rFonts w:hint="eastAsia"/>
          <w:color w:val="242424"/>
          <w:lang w:eastAsia="zh-CN"/>
        </w:rPr>
      </w:pPr>
      <w:r>
        <w:rPr>
          <w:rFonts w:hint="eastAsia"/>
          <w:color w:val="242424"/>
          <w:lang w:val="en-US" w:eastAsia="zh-CN"/>
        </w:rPr>
        <w:t>1.</w:t>
      </w:r>
      <w:r>
        <w:rPr>
          <w:rFonts w:hint="eastAsia"/>
          <w:color w:val="242424"/>
          <w:lang w:eastAsia="zh-CN"/>
        </w:rPr>
        <w:t>对资金管理的建议：进一步建立资金使用台账，对每一笔资金支出做到合理合规的支付。</w:t>
      </w:r>
    </w:p>
    <w:p>
      <w:pPr>
        <w:ind w:firstLine="600" w:firstLineChars="200"/>
        <w:rPr>
          <w:rFonts w:hint="eastAsia"/>
          <w:color w:val="242424"/>
          <w:lang w:val="en-US" w:eastAsia="zh-CN"/>
        </w:rPr>
      </w:pPr>
      <w:r>
        <w:rPr>
          <w:rFonts w:hint="eastAsia"/>
          <w:color w:val="242424"/>
          <w:lang w:val="en-US" w:eastAsia="zh-CN"/>
        </w:rPr>
        <w:t>2.</w:t>
      </w:r>
      <w:r>
        <w:rPr>
          <w:rFonts w:hint="eastAsia"/>
          <w:color w:val="242424"/>
          <w:lang w:eastAsia="zh-CN"/>
        </w:rPr>
        <w:t>对项目管理的建议：有效建立</w:t>
      </w:r>
      <w:r>
        <w:rPr>
          <w:rFonts w:hint="eastAsia"/>
          <w:color w:val="242424"/>
          <w:lang w:val="en-US" w:eastAsia="zh-CN"/>
        </w:rPr>
        <w:t>优抚对象</w:t>
      </w:r>
      <w:r>
        <w:rPr>
          <w:rFonts w:hint="eastAsia"/>
          <w:color w:val="242424"/>
          <w:lang w:eastAsia="zh-CN"/>
        </w:rPr>
        <w:t>实名制台账，建立领导责任分工制度，强化项目管理的体系。</w:t>
      </w:r>
    </w:p>
    <w:p>
      <w:pPr>
        <w:ind w:firstLine="600" w:firstLineChars="200"/>
        <w:rPr>
          <w:rFonts w:hint="eastAsia"/>
          <w:color w:val="242424"/>
          <w:lang w:val="en-US" w:eastAsia="zh-CN"/>
        </w:rPr>
      </w:pPr>
      <w:r>
        <w:rPr>
          <w:rFonts w:hint="eastAsia"/>
          <w:color w:val="242424"/>
          <w:lang w:val="en-US" w:eastAsia="zh-CN"/>
        </w:rPr>
        <w:t>3.对项目决策的建议：希望上级更加明确支出方向，更优化配套相关资金。</w:t>
      </w:r>
    </w:p>
    <w:p>
      <w:pPr>
        <w:ind w:firstLine="600" w:firstLineChars="200"/>
        <w:rPr>
          <w:rFonts w:hint="eastAsia"/>
          <w:color w:val="242424"/>
          <w:lang w:eastAsia="zh-CN"/>
        </w:rPr>
      </w:pPr>
      <w:r>
        <w:rPr>
          <w:rFonts w:hint="eastAsia"/>
          <w:color w:val="242424"/>
          <w:lang w:val="en-US" w:eastAsia="zh-CN"/>
        </w:rPr>
        <w:t>4.对预算安排执行的建议：本单位业务科室对于受益人的审核严格把关，财务明确资金支出方向，严格执行预算资金安排使用进度。</w:t>
      </w:r>
    </w:p>
    <w:p>
      <w:pPr>
        <w:pStyle w:val="2"/>
        <w:spacing w:beforeAutospacing="0" w:afterAutospacing="0" w:line="360" w:lineRule="auto"/>
        <w:rPr>
          <w:rFonts w:ascii="宋体" w:hAnsi="宋体" w:eastAsia="宋体"/>
          <w:sz w:val="32"/>
          <w:szCs w:val="32"/>
        </w:rPr>
      </w:pPr>
      <w:bookmarkStart w:id="20" w:name="_Toc68703846"/>
      <w:bookmarkEnd w:id="20"/>
      <w:r>
        <w:rPr>
          <w:rFonts w:hint="eastAsia" w:ascii="宋体" w:hAnsi="宋体" w:eastAsia="宋体"/>
          <w:sz w:val="32"/>
          <w:szCs w:val="32"/>
        </w:rPr>
        <w:t>七、其他需要说明的问题</w:t>
      </w:r>
    </w:p>
    <w:p>
      <w:pPr>
        <w:spacing w:beforeAutospacing="0" w:afterAutospacing="0" w:line="360" w:lineRule="auto"/>
        <w:ind w:firstLine="600" w:firstLineChars="200"/>
        <w:rPr>
          <w:rFonts w:hint="eastAsia" w:eastAsia="仿宋_GB2312"/>
          <w:color w:val="auto"/>
          <w:lang w:eastAsia="zh-CN"/>
        </w:rPr>
      </w:pPr>
      <w:r>
        <w:rPr>
          <w:rFonts w:hint="eastAsia"/>
          <w:color w:val="auto"/>
          <w:lang w:val="en-US" w:eastAsia="zh-CN"/>
        </w:rPr>
        <w:t>无</w:t>
      </w:r>
    </w:p>
    <w:p/>
    <w:sectPr>
      <w:pgSz w:w="11906" w:h="16838"/>
      <w:pgMar w:top="1928" w:right="1531" w:bottom="1701" w:left="1531" w:header="737" w:footer="851" w:gutter="0"/>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00"/>
    <w:family w:val="auto"/>
    <w:pitch w:val="default"/>
    <w:sig w:usb0="00000000" w:usb1="00000000" w:usb2="00000000" w:usb3="00000000" w:csb0="00000000"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等线 Light">
    <w:altName w:val="宋体"/>
    <w:panose1 w:val="02010600030101010101"/>
    <w:charset w:val="86"/>
    <w:family w:val="auto"/>
    <w:pitch w:val="default"/>
    <w:sig w:usb0="00000000" w:usb1="00000000" w:usb2="00000016" w:usb3="00000000" w:csb0="0004000F" w:csb1="00000000"/>
  </w:font>
  <w:font w:name="方正小标宋简体">
    <w:altName w:val="微软雅黑"/>
    <w:panose1 w:val="00000000000000000000"/>
    <w:charset w:val="86"/>
    <w:family w:val="auto"/>
    <w:pitch w:val="default"/>
    <w:sig w:usb0="00000000" w:usb1="00000000" w:usb2="00000000" w:usb3="00000000" w:csb0="00040000" w:csb1="00000000"/>
  </w:font>
  <w:font w:name="等线 Light">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C9D00CF"/>
    <w:multiLevelType w:val="singleLevel"/>
    <w:tmpl w:val="8C9D00CF"/>
    <w:lvl w:ilvl="0" w:tentative="0">
      <w:start w:val="6"/>
      <w:numFmt w:val="chineseCounting"/>
      <w:suff w:val="nothing"/>
      <w:lvlText w:val="%1、"/>
      <w:lvlJc w:val="left"/>
      <w:rPr>
        <w:rFonts w:hint="eastAsia"/>
      </w:rPr>
    </w:lvl>
  </w:abstractNum>
  <w:abstractNum w:abstractNumId="1">
    <w:nsid w:val="7BE1A580"/>
    <w:multiLevelType w:val="singleLevel"/>
    <w:tmpl w:val="7BE1A580"/>
    <w:lvl w:ilvl="0" w:tentative="0">
      <w:start w:val="4"/>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1"/>
  <w:displayVerticalDrawingGridEvery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49C5"/>
    <w:rsid w:val="005B64E8"/>
    <w:rsid w:val="00614288"/>
    <w:rsid w:val="00792CFE"/>
    <w:rsid w:val="007D49C5"/>
    <w:rsid w:val="008C631D"/>
    <w:rsid w:val="00B24331"/>
    <w:rsid w:val="05F66C2C"/>
    <w:rsid w:val="0E14284F"/>
    <w:rsid w:val="0F992A02"/>
    <w:rsid w:val="19D1359C"/>
    <w:rsid w:val="1C793A4E"/>
    <w:rsid w:val="212C11BF"/>
    <w:rsid w:val="217A0501"/>
    <w:rsid w:val="25F93201"/>
    <w:rsid w:val="28D14886"/>
    <w:rsid w:val="2BCA4223"/>
    <w:rsid w:val="2E783829"/>
    <w:rsid w:val="310B493C"/>
    <w:rsid w:val="32126BAF"/>
    <w:rsid w:val="32CB6EEB"/>
    <w:rsid w:val="39A92DA1"/>
    <w:rsid w:val="3EF460B2"/>
    <w:rsid w:val="3FB35313"/>
    <w:rsid w:val="42D56298"/>
    <w:rsid w:val="42FC2A3E"/>
    <w:rsid w:val="50C432C5"/>
    <w:rsid w:val="527D1056"/>
    <w:rsid w:val="5BFB441E"/>
    <w:rsid w:val="5C6068D9"/>
    <w:rsid w:val="603D3B54"/>
    <w:rsid w:val="6A0D5A37"/>
    <w:rsid w:val="6A7A223B"/>
    <w:rsid w:val="6F4873F3"/>
    <w:rsid w:val="72A70659"/>
    <w:rsid w:val="7C6A12EA"/>
    <w:rsid w:val="7F515AD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0"/>
      <w:szCs w:val="24"/>
      <w:lang w:val="en-US" w:eastAsia="zh-CN" w:bidi="ar-SA"/>
    </w:rPr>
  </w:style>
  <w:style w:type="paragraph" w:styleId="2">
    <w:name w:val="heading 1"/>
    <w:basedOn w:val="1"/>
    <w:next w:val="1"/>
    <w:link w:val="9"/>
    <w:qFormat/>
    <w:uiPriority w:val="9"/>
    <w:pPr>
      <w:keepNext/>
      <w:keepLines/>
      <w:spacing w:before="340" w:beforeAutospacing="0" w:after="330" w:afterAutospacing="0" w:line="578" w:lineRule="auto"/>
      <w:outlineLvl w:val="0"/>
    </w:pPr>
    <w:rPr>
      <w:b/>
      <w:bCs/>
      <w:kern w:val="44"/>
      <w:sz w:val="44"/>
      <w:szCs w:val="44"/>
    </w:rPr>
  </w:style>
  <w:style w:type="paragraph" w:styleId="3">
    <w:name w:val="heading 2"/>
    <w:basedOn w:val="1"/>
    <w:next w:val="1"/>
    <w:link w:val="10"/>
    <w:unhideWhenUsed/>
    <w:qFormat/>
    <w:uiPriority w:val="9"/>
    <w:pPr>
      <w:keepNext/>
      <w:keepLines/>
      <w:spacing w:before="260" w:beforeAutospacing="0" w:after="260" w:afterAutospacing="0" w:line="416" w:lineRule="auto"/>
      <w:outlineLvl w:val="1"/>
    </w:pPr>
    <w:rPr>
      <w:rFonts w:asciiTheme="majorHAnsi" w:hAnsiTheme="majorHAnsi" w:eastAsiaTheme="majorEastAsia" w:cstheme="majorBidi"/>
      <w:b/>
      <w:bCs/>
      <w:sz w:val="32"/>
      <w:szCs w:val="32"/>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4">
    <w:name w:val="toc 1"/>
    <w:basedOn w:val="1"/>
    <w:next w:val="1"/>
    <w:unhideWhenUsed/>
    <w:qFormat/>
    <w:uiPriority w:val="39"/>
    <w:pPr>
      <w:widowControl/>
      <w:spacing w:beforeAutospacing="0" w:after="100" w:afterAutospacing="0" w:line="259" w:lineRule="auto"/>
      <w:jc w:val="left"/>
    </w:pPr>
    <w:rPr>
      <w:rFonts w:asciiTheme="minorHAnsi" w:hAnsiTheme="minorHAnsi" w:eastAsiaTheme="minorEastAsia"/>
      <w:kern w:val="0"/>
      <w:sz w:val="22"/>
      <w:szCs w:val="22"/>
    </w:rPr>
  </w:style>
  <w:style w:type="paragraph" w:styleId="5">
    <w:name w:val="toc 2"/>
    <w:basedOn w:val="1"/>
    <w:next w:val="1"/>
    <w:unhideWhenUsed/>
    <w:qFormat/>
    <w:uiPriority w:val="39"/>
    <w:pPr>
      <w:widowControl/>
      <w:spacing w:beforeAutospacing="0" w:after="100" w:afterAutospacing="0" w:line="259" w:lineRule="auto"/>
      <w:ind w:left="220"/>
      <w:jc w:val="left"/>
    </w:pPr>
    <w:rPr>
      <w:rFonts w:asciiTheme="minorHAnsi" w:hAnsiTheme="minorHAnsi" w:eastAsiaTheme="minorEastAsia"/>
      <w:kern w:val="0"/>
      <w:sz w:val="22"/>
      <w:szCs w:val="22"/>
    </w:rPr>
  </w:style>
  <w:style w:type="character" w:styleId="8">
    <w:name w:val="Hyperlink"/>
    <w:basedOn w:val="7"/>
    <w:unhideWhenUsed/>
    <w:qFormat/>
    <w:uiPriority w:val="99"/>
    <w:rPr>
      <w:color w:val="0563C1" w:themeColor="hyperlink"/>
      <w14:textFill>
        <w14:solidFill>
          <w14:schemeClr w14:val="hlink"/>
        </w14:solidFill>
      </w14:textFill>
    </w:rPr>
  </w:style>
  <w:style w:type="character" w:customStyle="1" w:styleId="9">
    <w:name w:val="标题 1 字符"/>
    <w:basedOn w:val="7"/>
    <w:link w:val="2"/>
    <w:qFormat/>
    <w:uiPriority w:val="9"/>
    <w:rPr>
      <w:rFonts w:ascii="Times New Roman" w:hAnsi="Times New Roman" w:eastAsia="仿宋_GB2312" w:cs="Times New Roman"/>
      <w:b/>
      <w:bCs/>
      <w:kern w:val="44"/>
      <w:sz w:val="44"/>
      <w:szCs w:val="44"/>
    </w:rPr>
  </w:style>
  <w:style w:type="character" w:customStyle="1" w:styleId="10">
    <w:name w:val="标题 2 字符"/>
    <w:basedOn w:val="7"/>
    <w:link w:val="3"/>
    <w:qFormat/>
    <w:uiPriority w:val="9"/>
    <w:rPr>
      <w:rFonts w:asciiTheme="majorHAnsi" w:hAnsiTheme="majorHAnsi" w:eastAsiaTheme="majorEastAsia" w:cstheme="majorBidi"/>
      <w:b/>
      <w:bCs/>
      <w:sz w:val="32"/>
      <w:szCs w:val="32"/>
    </w:rPr>
  </w:style>
  <w:style w:type="paragraph" w:customStyle="1" w:styleId="11">
    <w:name w:val="TOC Heading"/>
    <w:basedOn w:val="2"/>
    <w:unhideWhenUsed/>
    <w:qFormat/>
    <w:uiPriority w:val="39"/>
    <w:pPr>
      <w:widowControl/>
      <w:spacing w:before="240" w:beforeAutospacing="0" w:after="0" w:afterAutospacing="0" w:line="259" w:lineRule="auto"/>
      <w:jc w:val="left"/>
      <w:outlineLvl w:val="9"/>
    </w:pPr>
    <w:rPr>
      <w:rFonts w:asciiTheme="majorHAnsi" w:hAnsiTheme="majorHAnsi" w:eastAsiaTheme="majorEastAsia" w:cstheme="majorBidi"/>
      <w:b w:val="0"/>
      <w:bCs w:val="0"/>
      <w:color w:val="2F5597" w:themeColor="accent1" w:themeShade="BF"/>
      <w:kern w:val="0"/>
      <w:sz w:val="32"/>
      <w:szCs w:val="3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lumMod val="102000"/>
                <a:satMod val="103000"/>
                <a:tint val="94000"/>
              </a:schemeClr>
            </a:gs>
            <a:gs pos="50000">
              <a:schemeClr val="phClr">
                <a:lumMod val="100000"/>
                <a:satMod val="11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satMod val="170000"/>
            <a:tint val="95000"/>
          </a:schemeClr>
        </a:solidFill>
        <a:gradFill rotWithShape="1">
          <a:gsLst>
            <a:gs pos="0">
              <a:schemeClr val="phClr">
                <a:lumMod val="102000"/>
                <a:satMod val="150000"/>
                <a:shade val="98000"/>
                <a:tint val="93000"/>
              </a:schemeClr>
            </a:gs>
            <a:gs pos="50000">
              <a:schemeClr val="phClr">
                <a:lumMod val="103000"/>
                <a:satMod val="130000"/>
                <a:shade val="90000"/>
                <a:tint val="98000"/>
              </a:schemeClr>
            </a:gs>
            <a:gs pos="100000">
              <a:schemeClr val="phClr">
                <a:satMod val="120000"/>
                <a:shade val="63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16</Pages>
  <Words>819</Words>
  <Characters>4674</Characters>
  <Lines>38</Lines>
  <Paragraphs>10</Paragraphs>
  <TotalTime>36</TotalTime>
  <ScaleCrop>false</ScaleCrop>
  <LinksUpToDate>false</LinksUpToDate>
  <CharactersWithSpaces>5483</CharactersWithSpaces>
  <Application>WPS Office_11.8.2.10972_F1E327BC-269C-435d-A152-05C5408002CA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2021-04-07T08:01:00Z</dcterms:created>
  <dc:creator>翘楚</dc:creator>
  <cp:lastModifiedBy>Lenovo</cp:lastModifiedBy>
  <dcterms:modified xsi:type="dcterms:W3CDTF">2023-09-06T04:29:42Z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74839913498D40B8A04A970C57BDF97B</vt:lpwstr>
  </property>
</Properties>
</file>