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项目名称：城乡居民收支调查记账补贴项目</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霍城县统计局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霍城县统计局</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高亮</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21</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spacing w:line="360" w:lineRule="auto"/>
        <w:ind w:firstLine="600" w:firstLineChars="200"/>
        <w:rPr>
          <w:rFonts w:hint="eastAsia" w:ascii="仿宋_GB2312"/>
        </w:rPr>
      </w:pPr>
      <w:r>
        <w:rPr>
          <w:rFonts w:hint="eastAsia" w:ascii="仿宋_GB2312"/>
        </w:rPr>
        <w:t>根据新政办明电【2017】114号《关于认真做好城乡居民收支调查工作的通知》和伊政办明电【关于做好伊犁州直城乡居民收支调查工作的通知】要求。全县共抽取50户记账户和5名辅调员通过定期培训，每月按时开展记账工作。通过此项工作的开展，反映城乡居民收入消费状况，监测居民收入分配格局和生活质量，为政府决策提供科学、准确、详细的居民生活状况资料，客观了解人民群众日益增长的生活需求。</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eastAsia" w:ascii="仿宋_GB2312"/>
          <w:color w:val="auto"/>
        </w:rPr>
      </w:pPr>
      <w:r>
        <w:rPr>
          <w:rFonts w:hint="eastAsia" w:ascii="仿宋_GB2312"/>
        </w:rPr>
        <w:t>主要内容：</w:t>
      </w:r>
      <w:r>
        <w:rPr>
          <w:rFonts w:hint="eastAsia" w:ascii="仿宋_GB2312"/>
          <w:color w:val="auto"/>
        </w:rPr>
        <w:t>50名调查户每月</w:t>
      </w:r>
      <w:r>
        <w:rPr>
          <w:rFonts w:hint="eastAsia" w:ascii="仿宋_GB2312"/>
          <w:color w:val="auto"/>
          <w:lang w:val="en-US" w:eastAsia="zh-CN"/>
        </w:rPr>
        <w:t>每户</w:t>
      </w:r>
      <w:r>
        <w:rPr>
          <w:rFonts w:hint="eastAsia" w:ascii="仿宋_GB2312"/>
          <w:color w:val="auto"/>
        </w:rPr>
        <w:t>发放70</w:t>
      </w:r>
      <w:r>
        <w:rPr>
          <w:rFonts w:hint="eastAsia" w:ascii="仿宋_GB2312"/>
          <w:color w:val="auto"/>
          <w:lang w:val="en-US" w:eastAsia="zh-CN"/>
        </w:rPr>
        <w:t>元补助</w:t>
      </w:r>
      <w:r>
        <w:rPr>
          <w:rFonts w:hint="eastAsia" w:ascii="仿宋_GB2312"/>
          <w:color w:val="auto"/>
        </w:rPr>
        <w:t>，全年共计42000元。5名辅调员每月</w:t>
      </w:r>
      <w:r>
        <w:rPr>
          <w:rFonts w:hint="eastAsia" w:ascii="仿宋_GB2312"/>
          <w:color w:val="auto"/>
          <w:lang w:val="en-US" w:eastAsia="zh-CN"/>
        </w:rPr>
        <w:t>没人</w:t>
      </w:r>
      <w:r>
        <w:rPr>
          <w:rFonts w:hint="eastAsia" w:ascii="仿宋_GB2312"/>
          <w:color w:val="auto"/>
        </w:rPr>
        <w:t>发放150元补助，全年共计9000元。每年培训</w:t>
      </w:r>
      <w:r>
        <w:rPr>
          <w:rFonts w:hint="eastAsia" w:ascii="仿宋_GB2312"/>
          <w:color w:val="auto"/>
          <w:lang w:val="en-US" w:eastAsia="zh-CN"/>
        </w:rPr>
        <w:t>4</w:t>
      </w:r>
      <w:r>
        <w:rPr>
          <w:rFonts w:hint="eastAsia" w:ascii="仿宋_GB2312"/>
          <w:color w:val="auto"/>
        </w:rPr>
        <w:t>次，培训费用11000元。总计62000元。</w:t>
      </w:r>
    </w:p>
    <w:p>
      <w:pPr>
        <w:numPr>
          <w:ilvl w:val="0"/>
          <w:numId w:val="0"/>
        </w:numPr>
        <w:spacing w:line="360" w:lineRule="auto"/>
        <w:ind w:firstLine="600" w:firstLineChars="200"/>
        <w:rPr>
          <w:rFonts w:hint="eastAsia" w:ascii="仿宋_GB2312"/>
          <w:color w:val="FF0000"/>
          <w:highlight w:val="yellow"/>
          <w:lang w:val="en-US" w:eastAsia="zh-CN"/>
        </w:rPr>
      </w:pPr>
      <w:r>
        <w:rPr>
          <w:rFonts w:hint="eastAsia" w:ascii="仿宋_GB2312"/>
        </w:rPr>
        <w:t>实施情况：</w:t>
      </w:r>
      <w:r>
        <w:rPr>
          <w:rFonts w:hint="eastAsia" w:ascii="仿宋_GB2312"/>
          <w:lang w:eastAsia="zh-CN"/>
        </w:rPr>
        <w:t>该项目的实施</w:t>
      </w:r>
      <w:r>
        <w:rPr>
          <w:rFonts w:hint="eastAsia" w:ascii="仿宋_GB2312"/>
        </w:rPr>
        <w:t>反映了霍城县域城乡居民收入消费状况，为政府决策提供科学、准确、详细的居民生活状况资料，客观了解人民群众日益增长的生活需求。2022年度霍城人均可支配收入</w:t>
      </w:r>
      <w:r>
        <w:rPr>
          <w:rFonts w:hint="eastAsia" w:ascii="仿宋_GB2312"/>
          <w:color w:val="auto"/>
          <w:highlight w:val="none"/>
        </w:rPr>
        <w:t>为24075元，霍城城镇人均可支配收入为33716元，霍城农村可支配收入18486元。</w:t>
      </w:r>
      <w:r>
        <w:rPr>
          <w:rFonts w:hint="eastAsia" w:ascii="仿宋_GB2312"/>
          <w:color w:val="auto"/>
          <w:highlight w:val="none"/>
          <w:lang w:val="en-US" w:eastAsia="zh-CN"/>
        </w:rPr>
        <w:t>该项目按照计划</w:t>
      </w:r>
      <w:r>
        <w:rPr>
          <w:rFonts w:hint="eastAsia" w:ascii="仿宋_GB2312"/>
          <w:color w:val="auto"/>
          <w:highlight w:val="none"/>
        </w:rPr>
        <w:t>50名调查户每月</w:t>
      </w:r>
      <w:r>
        <w:rPr>
          <w:rFonts w:hint="eastAsia" w:ascii="仿宋_GB2312"/>
          <w:color w:val="auto"/>
          <w:highlight w:val="none"/>
          <w:lang w:val="en-US" w:eastAsia="zh-CN"/>
        </w:rPr>
        <w:t>每户</w:t>
      </w:r>
      <w:r>
        <w:rPr>
          <w:rFonts w:hint="eastAsia" w:ascii="仿宋_GB2312"/>
          <w:color w:val="auto"/>
          <w:highlight w:val="none"/>
        </w:rPr>
        <w:t>发放70</w:t>
      </w:r>
      <w:r>
        <w:rPr>
          <w:rFonts w:hint="eastAsia" w:ascii="仿宋_GB2312"/>
          <w:color w:val="auto"/>
          <w:highlight w:val="none"/>
          <w:lang w:val="en-US" w:eastAsia="zh-CN"/>
        </w:rPr>
        <w:t>元补助</w:t>
      </w:r>
      <w:r>
        <w:rPr>
          <w:rFonts w:hint="eastAsia" w:ascii="仿宋_GB2312"/>
          <w:color w:val="auto"/>
          <w:highlight w:val="none"/>
        </w:rPr>
        <w:t>，全年共计42000元。5名辅调员每月</w:t>
      </w:r>
      <w:r>
        <w:rPr>
          <w:rFonts w:hint="eastAsia" w:ascii="仿宋_GB2312"/>
          <w:color w:val="auto"/>
          <w:highlight w:val="none"/>
          <w:lang w:val="en-US" w:eastAsia="zh-CN"/>
        </w:rPr>
        <w:t>没人</w:t>
      </w:r>
      <w:r>
        <w:rPr>
          <w:rFonts w:hint="eastAsia" w:ascii="仿宋_GB2312"/>
          <w:color w:val="auto"/>
          <w:highlight w:val="none"/>
        </w:rPr>
        <w:t>发放150元补助，全年共计9000元。每年培训</w:t>
      </w:r>
      <w:r>
        <w:rPr>
          <w:rFonts w:hint="eastAsia" w:ascii="仿宋_GB2312"/>
          <w:color w:val="auto"/>
          <w:highlight w:val="none"/>
          <w:lang w:val="en-US" w:eastAsia="zh-CN"/>
        </w:rPr>
        <w:t>4</w:t>
      </w:r>
      <w:r>
        <w:rPr>
          <w:rFonts w:hint="eastAsia" w:ascii="仿宋_GB2312"/>
          <w:color w:val="auto"/>
          <w:highlight w:val="none"/>
        </w:rPr>
        <w:t>次，培训费用11000元</w:t>
      </w:r>
      <w:r>
        <w:rPr>
          <w:rFonts w:hint="eastAsia" w:ascii="仿宋_GB2312"/>
          <w:color w:val="auto"/>
          <w:highlight w:val="none"/>
          <w:lang w:eastAsia="zh-CN"/>
        </w:rPr>
        <w:t>，</w:t>
      </w:r>
      <w:r>
        <w:rPr>
          <w:rFonts w:hint="eastAsia" w:ascii="仿宋_GB2312"/>
          <w:color w:val="auto"/>
          <w:highlight w:val="none"/>
        </w:rPr>
        <w:t>总计62000元</w:t>
      </w:r>
      <w:r>
        <w:rPr>
          <w:rFonts w:hint="eastAsia" w:ascii="仿宋_GB2312"/>
          <w:color w:val="auto"/>
          <w:highlight w:val="none"/>
          <w:lang w:eastAsia="zh-CN"/>
        </w:rPr>
        <w:t>，</w:t>
      </w:r>
      <w:r>
        <w:rPr>
          <w:rFonts w:hint="eastAsia" w:ascii="仿宋_GB2312"/>
          <w:color w:val="auto"/>
          <w:highlight w:val="none"/>
          <w:lang w:val="en-US" w:eastAsia="zh-CN"/>
        </w:rPr>
        <w:t>已全部实施完毕。</w:t>
      </w:r>
    </w:p>
    <w:p>
      <w:pPr>
        <w:numPr>
          <w:ilvl w:val="0"/>
          <w:numId w:val="0"/>
        </w:numPr>
        <w:spacing w:line="360" w:lineRule="auto"/>
        <w:ind w:firstLine="600" w:firstLineChars="200"/>
        <w:rPr>
          <w:rFonts w:ascii="仿宋_GB2312"/>
        </w:rPr>
      </w:pPr>
      <w:r>
        <w:rPr>
          <w:rFonts w:hint="eastAsia" w:ascii="仿宋_GB2312"/>
          <w:lang w:val="en-US" w:eastAsia="zh-CN"/>
        </w:rPr>
        <w:t>3.</w:t>
      </w:r>
      <w:r>
        <w:rPr>
          <w:rFonts w:hint="eastAsia" w:ascii="仿宋_GB2312"/>
        </w:rPr>
        <w:t>资金投入和使用情况</w:t>
      </w:r>
    </w:p>
    <w:p>
      <w:pPr>
        <w:spacing w:line="360" w:lineRule="auto"/>
        <w:ind w:firstLine="600" w:firstLineChars="200"/>
        <w:rPr>
          <w:rFonts w:hint="eastAsia" w:eastAsia="仿宋_GB2312"/>
          <w:color w:val="auto"/>
          <w:lang w:val="en-US" w:eastAsia="zh-CN"/>
        </w:rPr>
      </w:pPr>
      <w:r>
        <w:rPr>
          <w:rFonts w:hint="eastAsia"/>
        </w:rPr>
        <w:t>资金投入情况：</w:t>
      </w:r>
      <w:r>
        <w:rPr>
          <w:rFonts w:hint="eastAsia"/>
          <w:color w:val="auto"/>
        </w:rPr>
        <w:t>该项目年初预算数</w:t>
      </w:r>
      <w:r>
        <w:rPr>
          <w:rFonts w:hint="eastAsia"/>
          <w:color w:val="auto"/>
          <w:lang w:val="en-US" w:eastAsia="zh-CN"/>
        </w:rPr>
        <w:t>6.2</w:t>
      </w:r>
      <w:r>
        <w:rPr>
          <w:rFonts w:hint="eastAsia"/>
          <w:color w:val="auto"/>
        </w:rPr>
        <w:t>万元，全年预算数</w:t>
      </w:r>
      <w:r>
        <w:rPr>
          <w:rFonts w:hint="eastAsia"/>
          <w:color w:val="auto"/>
          <w:lang w:val="en-US" w:eastAsia="zh-CN"/>
        </w:rPr>
        <w:t>6.2</w:t>
      </w:r>
      <w:r>
        <w:rPr>
          <w:rFonts w:hint="eastAsia"/>
          <w:color w:val="auto"/>
        </w:rPr>
        <w:t>万元，实际总投入</w:t>
      </w:r>
      <w:r>
        <w:rPr>
          <w:rFonts w:hint="eastAsia"/>
          <w:color w:val="auto"/>
          <w:lang w:val="en-US" w:eastAsia="zh-CN"/>
        </w:rPr>
        <w:t>6.2</w:t>
      </w:r>
      <w:r>
        <w:rPr>
          <w:rFonts w:hint="eastAsia"/>
          <w:color w:val="auto"/>
        </w:rPr>
        <w:t>万元，该项目资金已全部落实到位</w:t>
      </w:r>
      <w:r>
        <w:rPr>
          <w:rFonts w:hint="eastAsia"/>
          <w:color w:val="auto"/>
          <w:lang w:eastAsia="zh-CN"/>
        </w:rPr>
        <w:t>。</w:t>
      </w:r>
      <w:r>
        <w:rPr>
          <w:rFonts w:hint="eastAsia"/>
          <w:color w:val="auto"/>
        </w:rPr>
        <w:t>资金来源为</w:t>
      </w:r>
      <w:r>
        <w:rPr>
          <w:rFonts w:hint="eastAsia"/>
          <w:color w:val="auto"/>
          <w:lang w:val="en-US" w:eastAsia="zh-CN"/>
        </w:rPr>
        <w:t>财政拨款。</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6.2</w:t>
      </w:r>
      <w:r>
        <w:rPr>
          <w:rFonts w:hint="eastAsia"/>
          <w:color w:val="auto"/>
        </w:rPr>
        <w:t>万元，全年预算数</w:t>
      </w:r>
      <w:r>
        <w:rPr>
          <w:rFonts w:hint="eastAsia"/>
          <w:color w:val="auto"/>
          <w:lang w:val="en-US" w:eastAsia="zh-CN"/>
        </w:rPr>
        <w:t>6.2</w:t>
      </w:r>
      <w:r>
        <w:rPr>
          <w:rFonts w:hint="eastAsia"/>
          <w:color w:val="auto"/>
        </w:rPr>
        <w:t>万元，全年执行数</w:t>
      </w:r>
      <w:r>
        <w:rPr>
          <w:rFonts w:hint="eastAsia"/>
          <w:color w:val="auto"/>
          <w:lang w:val="en-US" w:eastAsia="zh-CN"/>
        </w:rPr>
        <w:t>6.2</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r>
        <w:rPr>
          <w:rFonts w:hint="eastAsia"/>
          <w:color w:val="auto"/>
        </w:rPr>
        <w:t>用于：发放记账户补助资金</w:t>
      </w:r>
      <w:r>
        <w:rPr>
          <w:rFonts w:hint="eastAsia"/>
          <w:color w:val="auto"/>
          <w:lang w:val="en-US" w:eastAsia="zh-CN"/>
        </w:rPr>
        <w:t>4.2</w:t>
      </w:r>
      <w:r>
        <w:rPr>
          <w:rFonts w:hint="eastAsia"/>
          <w:color w:val="auto"/>
        </w:rPr>
        <w:t>万元</w:t>
      </w:r>
      <w:r>
        <w:rPr>
          <w:rFonts w:hint="eastAsia"/>
          <w:color w:val="auto"/>
          <w:lang w:eastAsia="zh-CN"/>
        </w:rPr>
        <w:t>，发放辅调员补助资金</w:t>
      </w:r>
      <w:r>
        <w:rPr>
          <w:rFonts w:hint="eastAsia"/>
          <w:color w:val="auto"/>
          <w:lang w:val="en-US" w:eastAsia="zh-CN"/>
        </w:rPr>
        <w:t>0.9万元，培训费用1.1万元。</w:t>
      </w:r>
    </w:p>
    <w:p>
      <w:pPr>
        <w:pStyle w:val="3"/>
        <w:spacing w:line="360" w:lineRule="auto"/>
        <w:ind w:firstLine="640" w:firstLineChars="200"/>
        <w:rPr>
          <w:rFonts w:hint="eastAsia"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numPr>
          <w:ilvl w:val="0"/>
          <w:numId w:val="1"/>
        </w:numPr>
        <w:spacing w:line="360" w:lineRule="auto"/>
        <w:ind w:firstLine="600" w:firstLineChars="200"/>
        <w:rPr>
          <w:rFonts w:hint="eastAsia"/>
          <w:color w:val="auto"/>
        </w:rPr>
      </w:pPr>
      <w:r>
        <w:rPr>
          <w:rFonts w:hint="eastAsia"/>
          <w:color w:val="auto"/>
        </w:rPr>
        <w:t>总体目标：根据新政办明电【2017】114号《关于认真做好城乡居民收支调查工作的通知》和伊政办明电【关于做好伊犁州直城乡居民收支调查工作的通知】要求。全县共抽取50户记账户和5名辅调员通过定期培训，每月按时开展记账工作。通过此项工作的开展，反映城乡居民收入消费状况，监测居民收入分配格局和生活质量，为政府决策提供科学、准确、详细的居民生活状况资料，客观了解人民群众日益增长的生活需求。</w:t>
      </w:r>
    </w:p>
    <w:p>
      <w:pPr>
        <w:numPr>
          <w:ilvl w:val="0"/>
          <w:numId w:val="1"/>
        </w:numPr>
        <w:spacing w:line="360" w:lineRule="auto"/>
        <w:ind w:left="0" w:leftChars="0" w:firstLine="600" w:firstLineChars="200"/>
        <w:rPr>
          <w:rFonts w:hint="eastAsia"/>
          <w:color w:val="auto"/>
        </w:rPr>
      </w:pPr>
      <w:r>
        <w:rPr>
          <w:rFonts w:hint="eastAsia"/>
          <w:color w:val="auto"/>
        </w:rPr>
        <w:t>阶段性目标：</w:t>
      </w:r>
      <w:r>
        <w:rPr>
          <w:rFonts w:hint="eastAsia"/>
          <w:color w:val="auto"/>
          <w:lang w:val="en-US" w:eastAsia="zh-CN"/>
        </w:rPr>
        <w:t>全县抽取</w:t>
      </w:r>
      <w:r>
        <w:rPr>
          <w:rFonts w:hint="eastAsia" w:ascii="仿宋_GB2312"/>
          <w:color w:val="auto"/>
        </w:rPr>
        <w:t>50名</w:t>
      </w:r>
      <w:r>
        <w:rPr>
          <w:rFonts w:hint="eastAsia" w:ascii="仿宋_GB2312"/>
          <w:color w:val="auto"/>
          <w:lang w:val="en-US" w:eastAsia="zh-CN"/>
        </w:rPr>
        <w:t>记账</w:t>
      </w:r>
      <w:r>
        <w:rPr>
          <w:rFonts w:hint="eastAsia" w:ascii="仿宋_GB2312"/>
          <w:color w:val="auto"/>
        </w:rPr>
        <w:t>户</w:t>
      </w:r>
      <w:r>
        <w:rPr>
          <w:rFonts w:hint="eastAsia" w:ascii="仿宋_GB2312"/>
          <w:color w:val="auto"/>
          <w:lang w:eastAsia="zh-CN"/>
        </w:rPr>
        <w:t>，</w:t>
      </w:r>
      <w:r>
        <w:rPr>
          <w:rFonts w:hint="eastAsia" w:ascii="仿宋_GB2312"/>
          <w:color w:val="auto"/>
        </w:rPr>
        <w:t>每月</w:t>
      </w:r>
      <w:r>
        <w:rPr>
          <w:rFonts w:hint="eastAsia" w:ascii="仿宋_GB2312"/>
          <w:color w:val="auto"/>
          <w:lang w:val="en-US" w:eastAsia="zh-CN"/>
        </w:rPr>
        <w:t>每户</w:t>
      </w:r>
      <w:r>
        <w:rPr>
          <w:rFonts w:hint="eastAsia" w:ascii="仿宋_GB2312"/>
          <w:color w:val="auto"/>
        </w:rPr>
        <w:t>发放70</w:t>
      </w:r>
      <w:r>
        <w:rPr>
          <w:rFonts w:hint="eastAsia" w:ascii="仿宋_GB2312"/>
          <w:color w:val="auto"/>
          <w:lang w:val="en-US" w:eastAsia="zh-CN"/>
        </w:rPr>
        <w:t>元补助</w:t>
      </w:r>
      <w:r>
        <w:rPr>
          <w:rFonts w:hint="eastAsia" w:ascii="仿宋_GB2312"/>
          <w:color w:val="auto"/>
        </w:rPr>
        <w:t>，全年共计42000元。</w:t>
      </w:r>
      <w:r>
        <w:rPr>
          <w:rFonts w:hint="eastAsia" w:ascii="仿宋_GB2312"/>
          <w:color w:val="auto"/>
          <w:lang w:val="en-US" w:eastAsia="zh-CN"/>
        </w:rPr>
        <w:t>抽调</w:t>
      </w:r>
      <w:r>
        <w:rPr>
          <w:rFonts w:hint="eastAsia" w:ascii="仿宋_GB2312"/>
          <w:color w:val="auto"/>
        </w:rPr>
        <w:t>5名辅调员每月</w:t>
      </w:r>
      <w:r>
        <w:rPr>
          <w:rFonts w:hint="eastAsia" w:ascii="仿宋_GB2312"/>
          <w:color w:val="auto"/>
          <w:lang w:val="en-US" w:eastAsia="zh-CN"/>
        </w:rPr>
        <w:t>没人</w:t>
      </w:r>
      <w:r>
        <w:rPr>
          <w:rFonts w:hint="eastAsia" w:ascii="仿宋_GB2312"/>
          <w:color w:val="auto"/>
        </w:rPr>
        <w:t>发放150元补助，全年共计9000元。每年培训</w:t>
      </w:r>
      <w:r>
        <w:rPr>
          <w:rFonts w:hint="eastAsia" w:ascii="仿宋_GB2312"/>
          <w:color w:val="auto"/>
          <w:lang w:val="en-US" w:eastAsia="zh-CN"/>
        </w:rPr>
        <w:t>4</w:t>
      </w:r>
      <w:r>
        <w:rPr>
          <w:rFonts w:hint="eastAsia" w:ascii="仿宋_GB2312"/>
          <w:color w:val="auto"/>
        </w:rPr>
        <w:t>次，培训费用11000元。总计62000元。</w:t>
      </w:r>
      <w:r>
        <w:rPr>
          <w:rFonts w:hint="eastAsia" w:ascii="仿宋_GB2312"/>
          <w:color w:val="auto"/>
          <w:lang w:val="en-US" w:eastAsia="zh-CN"/>
        </w:rPr>
        <w:t>记账户与辅调员补助分两次发放完毕，培训费用全年共开展了4次，通过培训，提高了记账户记账质量，确保了记账数据准确性。</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城乡居民收支调查记账补贴项目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auto"/>
        </w:rPr>
      </w:pPr>
      <w:r>
        <w:rPr>
          <w:rFonts w:hint="eastAsia"/>
          <w:color w:val="auto"/>
        </w:rPr>
        <w:t>城乡居民收支调查记账补贴项目</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城乡居民收支调查记账补贴项目评价，评</w:t>
      </w:r>
      <w:r>
        <w:rPr>
          <w:rFonts w:hint="eastAsia" w:ascii="仿宋_GB2312"/>
          <w:bCs/>
          <w:color w:val="auto"/>
          <w:sz w:val="32"/>
          <w:szCs w:val="32"/>
        </w:rPr>
        <w:t>价核心为</w:t>
      </w:r>
      <w:r>
        <w:rPr>
          <w:rFonts w:hint="eastAsia"/>
          <w:color w:val="auto"/>
        </w:rPr>
        <w:t>资金的支出完成情况和效果。</w:t>
      </w:r>
    </w:p>
    <w:p>
      <w:pPr>
        <w:pStyle w:val="3"/>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eastAsia="zh-CN"/>
        </w:rPr>
        <w:t>霍城政府</w:t>
      </w:r>
      <w:r>
        <w:rPr>
          <w:rFonts w:hint="eastAsia" w:ascii="仿宋_GB2312"/>
          <w:bCs/>
          <w:color w:val="auto"/>
          <w:sz w:val="32"/>
          <w:szCs w:val="32"/>
        </w:rPr>
        <w:t>网站上，并自觉接受社会监督。</w:t>
      </w:r>
    </w:p>
    <w:p>
      <w:pPr>
        <w:spacing w:line="360" w:lineRule="auto"/>
        <w:rPr>
          <w:color w:val="auto"/>
        </w:rPr>
      </w:pPr>
    </w:p>
    <w:p>
      <w:pPr>
        <w:spacing w:line="360" w:lineRule="auto"/>
        <w:ind w:firstLine="600" w:firstLineChars="200"/>
        <w:jc w:val="left"/>
        <w:rPr>
          <w:rFonts w:hint="eastAsia"/>
        </w:rPr>
      </w:pPr>
      <w:r>
        <w:rPr>
          <w:rFonts w:hint="eastAsia"/>
        </w:rPr>
        <w:t>2、评价指标体系（附表说明）</w:t>
      </w:r>
    </w:p>
    <w:tbl>
      <w:tblPr>
        <w:tblStyle w:val="8"/>
        <w:tblpPr w:leftFromText="180" w:rightFromText="180" w:vertAnchor="text" w:horzAnchor="page" w:tblpX="1487" w:tblpY="593"/>
        <w:tblOverlap w:val="never"/>
        <w:tblW w:w="8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60"/>
        <w:gridCol w:w="1020"/>
        <w:gridCol w:w="1170"/>
        <w:gridCol w:w="3800"/>
        <w:gridCol w:w="885"/>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8" w:hRule="atLeast"/>
        </w:trPr>
        <w:tc>
          <w:tcPr>
            <w:tcW w:w="6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380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8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103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　</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0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　</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0"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w:t>
            </w:r>
          </w:p>
        </w:tc>
        <w:tc>
          <w:tcPr>
            <w:tcW w:w="117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380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80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　</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　</w:t>
            </w:r>
          </w:p>
        </w:tc>
        <w:tc>
          <w:tcPr>
            <w:tcW w:w="117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380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8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3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380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8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3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trPr>
        <w:tc>
          <w:tcPr>
            <w:tcW w:w="6650" w:type="dxa"/>
            <w:gridSpan w:val="4"/>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2"/>
                <w:szCs w:val="22"/>
                <w:u w:val="none"/>
                <w:lang w:val="en-US" w:eastAsia="zh-CN" w:bidi="ar"/>
              </w:rPr>
            </w:pPr>
          </w:p>
          <w:p>
            <w:pPr>
              <w:bidi w:val="0"/>
              <w:jc w:val="center"/>
              <w:rPr>
                <w:rFonts w:hint="eastAsia" w:ascii="Times New Roman" w:hAnsi="Times New Roman" w:eastAsia="仿宋_GB2312" w:cs="Times New Roman"/>
                <w:kern w:val="2"/>
                <w:sz w:val="30"/>
                <w:szCs w:val="24"/>
                <w:lang w:val="en-US" w:eastAsia="zh-CN" w:bidi="ar-SA"/>
              </w:rPr>
            </w:pPr>
            <w:r>
              <w:rPr>
                <w:rFonts w:hint="eastAsia" w:cs="Times New Roman"/>
                <w:kern w:val="2"/>
                <w:sz w:val="30"/>
                <w:szCs w:val="24"/>
                <w:lang w:val="en-US" w:eastAsia="zh-CN" w:bidi="ar-SA"/>
              </w:rPr>
              <w:t>总分</w:t>
            </w:r>
          </w:p>
        </w:tc>
        <w:tc>
          <w:tcPr>
            <w:tcW w:w="88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100</w:t>
            </w:r>
          </w:p>
        </w:tc>
        <w:tc>
          <w:tcPr>
            <w:tcW w:w="103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100</w:t>
            </w:r>
          </w:p>
        </w:tc>
      </w:tr>
    </w:tbl>
    <w:p/>
    <w:p>
      <w:pPr>
        <w:sectPr>
          <w:pgSz w:w="11906" w:h="16838"/>
          <w:pgMar w:top="1928" w:right="1531" w:bottom="1701" w:left="1531" w:header="737" w:footer="851" w:gutter="0"/>
          <w:cols w:space="720" w:num="1"/>
          <w:docGrid w:type="lines" w:linePitch="408" w:charSpace="0"/>
        </w:sectPr>
      </w:pPr>
    </w:p>
    <w:p>
      <w:pPr>
        <w:spacing w:line="360" w:lineRule="auto"/>
        <w:jc w:val="left"/>
        <w:rPr>
          <w:rFonts w:hint="eastAsia"/>
        </w:rPr>
      </w:pPr>
      <w:r>
        <w:rPr>
          <w:rFonts w:hint="eastAsia"/>
        </w:rPr>
        <w:t>3、评价方法</w:t>
      </w:r>
    </w:p>
    <w:p>
      <w:pPr>
        <w:spacing w:line="360" w:lineRule="auto"/>
        <w:ind w:firstLine="640" w:firstLineChars="200"/>
        <w:rPr>
          <w:color w:val="auto"/>
        </w:rPr>
      </w:pPr>
      <w:r>
        <w:rPr>
          <w:rFonts w:hint="eastAsia" w:ascii="仿宋" w:hAnsi="仿宋" w:eastAsia="仿宋" w:cs="仿宋"/>
          <w:b w:val="0"/>
          <w:bCs w:val="0"/>
          <w:color w:val="auto"/>
          <w:kern w:val="0"/>
          <w:sz w:val="32"/>
          <w:szCs w:val="32"/>
          <w:lang w:val="en-US" w:eastAsia="zh-CN" w:bidi="ar-SA"/>
        </w:rPr>
        <w:t>本次项目支出绩效自评采用因素分析法方法，原因是：城乡住户调查工作通过全年50户记账户的记账数据，</w:t>
      </w:r>
      <w:r>
        <w:rPr>
          <w:rFonts w:hint="eastAsia"/>
          <w:color w:val="auto"/>
        </w:rPr>
        <w:t>反映城乡居民收入消费状况，监测居民收入分配格局和生活质量，为政府决策提供科学、准确、详细的居民生活状况资料，客观了解人民群众日益增长的生活需求。</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bCs/>
          <w:sz w:val="32"/>
          <w:szCs w:val="32"/>
        </w:rPr>
      </w:pPr>
      <w:r>
        <w:rPr>
          <w:rFonts w:hint="eastAsia" w:ascii="仿宋" w:hAnsi="仿宋" w:eastAsia="仿宋" w:cs="仿宋"/>
          <w:b w:val="0"/>
          <w:bCs w:val="0"/>
          <w:color w:val="auto"/>
          <w:kern w:val="0"/>
          <w:sz w:val="32"/>
          <w:szCs w:val="32"/>
          <w:lang w:val="en-US" w:eastAsia="zh-CN" w:bidi="ar-SA"/>
        </w:rPr>
        <w:t>本次项目支出绩效自评采用计划标准，原因是：本项目根据自治区统计局相关规定，根据地方实际情况，制定经费使用计划和标准，在规定时间内完成记账户和辅调员补助的足额发放。</w:t>
      </w:r>
    </w:p>
    <w:p>
      <w:pPr>
        <w:pStyle w:val="3"/>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highlight w:val="none"/>
        </w:rPr>
      </w:pPr>
      <w:r>
        <w:rPr>
          <w:rFonts w:hint="eastAsia"/>
          <w:color w:val="auto"/>
          <w:highlight w:val="none"/>
        </w:rPr>
        <w:t>2</w:t>
      </w:r>
      <w:r>
        <w:rPr>
          <w:color w:val="auto"/>
          <w:highlight w:val="none"/>
        </w:rPr>
        <w:t>02</w:t>
      </w:r>
      <w:r>
        <w:rPr>
          <w:rFonts w:hint="eastAsia"/>
          <w:color w:val="auto"/>
          <w:highlight w:val="none"/>
          <w:lang w:val="en-US" w:eastAsia="zh-CN"/>
        </w:rPr>
        <w:t>3</w:t>
      </w:r>
      <w:r>
        <w:rPr>
          <w:rFonts w:hint="eastAsia"/>
          <w:color w:val="auto"/>
          <w:highlight w:val="none"/>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w:t>
      </w:r>
      <w:r>
        <w:rPr>
          <w:rFonts w:hint="eastAsia"/>
          <w:color w:val="auto"/>
          <w:highlight w:val="none"/>
        </w:rPr>
        <w:t>日，</w:t>
      </w:r>
      <w:r>
        <w:rPr>
          <w:rFonts w:hint="eastAsia" w:ascii="仿宋_GB2312"/>
          <w:color w:val="auto"/>
          <w:highlight w:val="none"/>
          <w:lang w:val="zh-CN"/>
        </w:rPr>
        <w:t>开始前期准备工作，评价组通过前期调研</w:t>
      </w:r>
      <w:r>
        <w:rPr>
          <w:rFonts w:hint="eastAsia"/>
          <w:color w:val="auto"/>
          <w:highlight w:val="none"/>
        </w:rPr>
        <w:t>确定绩效评价对象和范围，</w:t>
      </w:r>
      <w:r>
        <w:rPr>
          <w:rFonts w:hint="eastAsia" w:ascii="仿宋_GB2312"/>
          <w:color w:val="auto"/>
          <w:highlight w:val="none"/>
          <w:lang w:val="zh-CN"/>
        </w:rPr>
        <w:t>确定了评价的目的、方法以及评价的原则，根据项目的内容和特征制定了评价指标体系及评价标准以及评价实施方案，修正并确定所需资料清单，最终确定</w:t>
      </w:r>
      <w:r>
        <w:rPr>
          <w:rFonts w:hint="eastAsia"/>
          <w:color w:val="auto"/>
          <w:highlight w:val="none"/>
        </w:rPr>
        <w:t>绩效评价工作方案；</w:t>
      </w:r>
    </w:p>
    <w:p>
      <w:pPr>
        <w:spacing w:line="360" w:lineRule="auto"/>
        <w:ind w:firstLine="600" w:firstLineChars="200"/>
        <w:jc w:val="left"/>
        <w:rPr>
          <w:rFonts w:hint="eastAsia"/>
          <w:color w:val="auto"/>
          <w:highlight w:val="none"/>
        </w:rPr>
      </w:pPr>
      <w:r>
        <w:rPr>
          <w:rFonts w:hint="eastAsia"/>
          <w:color w:val="auto"/>
          <w:highlight w:val="none"/>
        </w:rPr>
        <w:t>2</w:t>
      </w:r>
      <w:r>
        <w:rPr>
          <w:rFonts w:hint="eastAsia"/>
          <w:color w:val="auto"/>
          <w:highlight w:val="none"/>
          <w:lang w:val="en-US" w:eastAsia="zh-CN"/>
        </w:rPr>
        <w:t>.</w:t>
      </w:r>
      <w:r>
        <w:rPr>
          <w:rFonts w:hint="eastAsia"/>
          <w:color w:val="auto"/>
          <w:highlight w:val="none"/>
        </w:rPr>
        <w:t>组织实施：</w:t>
      </w:r>
    </w:p>
    <w:p>
      <w:pPr>
        <w:spacing w:line="360" w:lineRule="auto"/>
        <w:ind w:firstLine="640" w:firstLineChars="200"/>
        <w:rPr>
          <w:color w:val="auto"/>
          <w:highlight w:val="none"/>
        </w:rPr>
      </w:pPr>
      <w:r>
        <w:rPr>
          <w:rFonts w:hint="eastAsia" w:ascii="仿宋" w:hAnsi="仿宋" w:eastAsia="仿宋" w:cs="仿宋"/>
          <w:b w:val="0"/>
          <w:bCs w:val="0"/>
          <w:color w:val="auto"/>
          <w:kern w:val="0"/>
          <w:sz w:val="32"/>
          <w:szCs w:val="32"/>
          <w:highlight w:val="none"/>
          <w:lang w:val="en-US" w:eastAsia="zh-CN" w:bidi="ar-SA"/>
        </w:rPr>
        <w:t>2022年3月15日- 3月20日</w:t>
      </w:r>
      <w:r>
        <w:rPr>
          <w:rFonts w:hint="eastAsia"/>
          <w:color w:val="auto"/>
          <w:highlight w:val="none"/>
        </w:rPr>
        <w:t>，</w:t>
      </w:r>
      <w:r>
        <w:rPr>
          <w:rFonts w:hint="eastAsia" w:ascii="仿宋_GB2312"/>
          <w:color w:val="auto"/>
          <w:highlight w:val="none"/>
        </w:rPr>
        <w:t>评价工作进入实施阶段，评价组</w:t>
      </w:r>
      <w:r>
        <w:rPr>
          <w:rFonts w:hint="eastAsia"/>
          <w:color w:val="auto"/>
          <w:highlight w:val="none"/>
        </w:rPr>
        <w:t>收集绩效评价相关数据资料，进行现场调研、座谈；并</w:t>
      </w:r>
      <w:r>
        <w:rPr>
          <w:rFonts w:hint="eastAsia" w:ascii="仿宋_GB2312"/>
          <w:color w:val="auto"/>
          <w:highlight w:val="none"/>
        </w:rPr>
        <w:t>与项目实施负责人沟通，了解资金的内容、操作流程、管理机制、资金使用方向等情况</w:t>
      </w:r>
      <w:r>
        <w:rPr>
          <w:rFonts w:hint="eastAsia"/>
          <w:color w:val="auto"/>
          <w:highlight w:val="none"/>
        </w:rPr>
        <w:t>，</w:t>
      </w:r>
      <w:r>
        <w:rPr>
          <w:color w:val="auto"/>
          <w:highlight w:val="none"/>
        </w:rPr>
        <w:t>分析</w:t>
      </w:r>
      <w:r>
        <w:rPr>
          <w:rFonts w:hint="eastAsia"/>
          <w:color w:val="auto"/>
          <w:highlight w:val="none"/>
        </w:rPr>
        <w:t>形成初步结论。</w:t>
      </w:r>
    </w:p>
    <w:p>
      <w:pPr>
        <w:spacing w:line="360" w:lineRule="auto"/>
        <w:ind w:firstLine="600" w:firstLineChars="200"/>
        <w:jc w:val="left"/>
        <w:rPr>
          <w:rFonts w:hint="eastAsia"/>
          <w:color w:val="auto"/>
          <w:highlight w:val="none"/>
        </w:rPr>
      </w:pPr>
      <w:r>
        <w:rPr>
          <w:rFonts w:hint="eastAsia"/>
          <w:color w:val="auto"/>
          <w:highlight w:val="none"/>
        </w:rPr>
        <w:t>3</w:t>
      </w:r>
      <w:r>
        <w:rPr>
          <w:rFonts w:hint="eastAsia"/>
          <w:color w:val="auto"/>
          <w:highlight w:val="none"/>
          <w:lang w:val="en-US" w:eastAsia="zh-CN"/>
        </w:rPr>
        <w:t>.</w:t>
      </w:r>
      <w:r>
        <w:rPr>
          <w:rFonts w:hint="eastAsia"/>
          <w:color w:val="auto"/>
          <w:highlight w:val="none"/>
        </w:rPr>
        <w:t>分析评价：</w:t>
      </w:r>
    </w:p>
    <w:p>
      <w:pPr>
        <w:spacing w:line="360" w:lineRule="auto"/>
        <w:ind w:firstLine="640" w:firstLineChars="200"/>
        <w:rPr>
          <w:rFonts w:ascii="仿宋_GB2312"/>
          <w:color w:val="auto"/>
          <w:highlight w:val="none"/>
        </w:rPr>
      </w:pPr>
      <w:r>
        <w:rPr>
          <w:rFonts w:hint="eastAsia" w:ascii="仿宋" w:hAnsi="仿宋" w:eastAsia="仿宋" w:cs="仿宋"/>
          <w:b w:val="0"/>
          <w:bCs w:val="0"/>
          <w:color w:val="auto"/>
          <w:kern w:val="0"/>
          <w:sz w:val="32"/>
          <w:szCs w:val="32"/>
          <w:highlight w:val="none"/>
          <w:lang w:val="en-US" w:eastAsia="zh-CN" w:bidi="ar-SA"/>
        </w:rPr>
        <w:t>2022年3月25日- 3月31日</w:t>
      </w:r>
      <w:r>
        <w:rPr>
          <w:rFonts w:hint="eastAsia"/>
          <w:color w:val="auto"/>
          <w:highlight w:val="none"/>
        </w:rPr>
        <w:t>，评价组按照绩效评价的原则和规范，对取得的资料进行审查核实，对采集的数据进行分析，按照绩效评价指标评分表逐项进行打分、分析，汇总各方评价结果，综合分析并形成评价结论。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40" w:firstLineChars="200"/>
        <w:rPr>
          <w:rFonts w:hint="eastAsia" w:ascii="仿宋" w:hAnsi="仿宋" w:eastAsia="仿宋" w:cs="仿宋"/>
          <w:b w:val="0"/>
          <w:bCs w:val="0"/>
          <w:color w:val="auto"/>
          <w:kern w:val="0"/>
          <w:sz w:val="32"/>
          <w:szCs w:val="32"/>
          <w:lang w:val="en-US" w:eastAsia="zh-CN" w:bidi="ar-SA"/>
        </w:rPr>
      </w:pPr>
      <w:r>
        <w:rPr>
          <w:rFonts w:hint="eastAsia" w:ascii="仿宋" w:hAnsi="仿宋" w:eastAsia="仿宋" w:cs="仿宋"/>
          <w:b w:val="0"/>
          <w:bCs w:val="0"/>
          <w:color w:val="auto"/>
          <w:kern w:val="0"/>
          <w:sz w:val="32"/>
          <w:szCs w:val="32"/>
          <w:lang w:val="en-US" w:eastAsia="zh-CN" w:bidi="ar-SA"/>
        </w:rPr>
        <w:t>本项目严格按照科学公正、统筹兼顾、激励约束、公开透明的绩效评价原则，采用因素分析法，坚持计划标准对本项目的立项、项绩效目标、资金投入、资金管理、组织实施、产出数量、产出质量、产出时效、产出成本、项目效益进行了综合评价。</w:t>
      </w:r>
    </w:p>
    <w:p>
      <w:pPr>
        <w:spacing w:line="360" w:lineRule="auto"/>
        <w:ind w:firstLine="1200" w:firstLineChars="400"/>
        <w:rPr>
          <w:color w:val="auto"/>
        </w:rPr>
      </w:pPr>
      <w:r>
        <w:rPr>
          <w:rFonts w:hint="eastAsia"/>
          <w:color w:val="auto"/>
        </w:rPr>
        <w:t>城乡居民收支调查记账补贴项目评价得分情况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color w:val="auto"/>
        </w:rPr>
      </w:pPr>
      <w:r>
        <w:rPr>
          <w:rFonts w:hint="eastAsia"/>
          <w:color w:val="auto"/>
          <w:lang w:val="en-US" w:eastAsia="zh-CN"/>
        </w:rPr>
        <w:t>本项目的项目决策、项目过程、项目产出、项目效益达到了预期要求，得分为100分，评价等级为“优，”项目达成年度指标。</w:t>
      </w:r>
    </w:p>
    <w:p>
      <w:pPr>
        <w:pStyle w:val="2"/>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3"/>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eastAsia"/>
          <w:color w:val="auto"/>
          <w:lang w:val="en-US" w:eastAsia="zh-CN"/>
        </w:rPr>
      </w:pPr>
      <w:r>
        <w:rPr>
          <w:rFonts w:hint="eastAsia"/>
          <w:color w:val="auto"/>
          <w:lang w:val="en-US" w:eastAsia="zh-CN"/>
        </w:rPr>
        <w:t>项目立项依据：新统办字【2017】49号《关于重申城乡居民收支调查记账补贴发放有关事项的通知》、新政办明电【2017】114号《关于认真做好城乡居民收支调查工作的通知》、伊政办明电【2017】27号《关于做好伊犁州直城乡居民收支调查工作的通知》；项目立项符合行业发展规划和政策要求；项目立项与部门职责范围相符，属于部门履职所需；项目属于公共财政支持范围，符合中央、地方事权支出责任划分原则；项目没有与相关部门同类项目或部门内部相关项目重复。</w:t>
      </w:r>
    </w:p>
    <w:p>
      <w:pPr>
        <w:spacing w:line="360" w:lineRule="auto"/>
        <w:ind w:firstLine="600" w:firstLineChars="200"/>
        <w:rPr>
          <w:color w:val="FF0000"/>
        </w:rPr>
      </w:pP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rFonts w:hint="eastAsia"/>
          <w:color w:val="auto"/>
        </w:rPr>
      </w:pPr>
      <w:r>
        <w:rPr>
          <w:rFonts w:hint="eastAsia"/>
          <w:color w:val="auto"/>
          <w:lang w:val="en-US" w:eastAsia="zh-CN"/>
        </w:rPr>
        <w:t>项目按照规定的程序申请设立；审批文件、材料符合相关要求；事前已经过必要的可行性研究、专家论证、风险评估、绩效评估、集体决策。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绩效目标合理性</w:t>
      </w:r>
    </w:p>
    <w:p>
      <w:pPr>
        <w:spacing w:line="360" w:lineRule="auto"/>
        <w:ind w:firstLine="600" w:firstLineChars="200"/>
        <w:rPr>
          <w:color w:val="auto"/>
        </w:rPr>
      </w:pPr>
      <w:r>
        <w:rPr>
          <w:rFonts w:hint="eastAsia"/>
          <w:color w:val="auto"/>
        </w:rPr>
        <w:t>城乡居民收支调查记账补贴项目设立了项目绩效目标，与城乡居民收支调查记</w:t>
      </w:r>
      <w:r>
        <w:rPr>
          <w:rFonts w:hint="eastAsia"/>
          <w:color w:val="auto"/>
          <w:lang w:val="en-US" w:eastAsia="zh-CN"/>
        </w:rPr>
        <w:t>账工作</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rPr>
          <w:rFonts w:hint="eastAsia"/>
          <w:color w:val="auto"/>
          <w:lang w:val="en-US" w:eastAsia="zh-CN"/>
        </w:rPr>
      </w:pPr>
      <w:bookmarkStart w:id="12" w:name="_Hlk68699917"/>
      <w:r>
        <w:rPr>
          <w:rFonts w:hint="eastAsia"/>
          <w:color w:val="auto"/>
        </w:rPr>
        <w:t>城乡居民收支调查记账补贴项目</w:t>
      </w:r>
      <w:r>
        <w:rPr>
          <w:rFonts w:hint="eastAsia"/>
          <w:color w:val="auto"/>
          <w:lang w:val="en-US" w:eastAsia="zh-CN"/>
        </w:rPr>
        <w:t>将项目绩效目标细化分解为具体的绩效指标，一级指标共3条，二级指标共6条，三级指标共12条，其中量化指标条数共11条，所有绩效指标均通过清晰、可衡量的指标值予以体现，并且做到了与项目目标任务数或计划数相对应。</w:t>
      </w:r>
      <w:bookmarkEnd w:id="12"/>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预算编制科学性</w:t>
      </w:r>
    </w:p>
    <w:p>
      <w:pPr>
        <w:spacing w:line="360" w:lineRule="auto"/>
        <w:ind w:firstLine="600" w:firstLineChars="200"/>
        <w:rPr>
          <w:rFonts w:hint="eastAsia"/>
          <w:color w:val="auto"/>
        </w:rPr>
      </w:pPr>
      <w:r>
        <w:rPr>
          <w:rFonts w:hint="eastAsia"/>
          <w:color w:val="auto"/>
          <w:lang w:val="en-US" w:eastAsia="zh-CN"/>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ind w:firstLine="600" w:firstLineChars="200"/>
        <w:rPr>
          <w:rFonts w:hint="eastAsia"/>
          <w:color w:val="auto"/>
          <w:lang w:val="en-US" w:eastAsia="zh-CN"/>
        </w:rPr>
      </w:pPr>
      <w:r>
        <w:rPr>
          <w:rFonts w:hint="eastAsia"/>
          <w:color w:val="auto"/>
          <w:lang w:val="en-US" w:eastAsia="zh-CN"/>
        </w:rPr>
        <w:t>预算资金分配依据充分；资金分配额度合理，与项目单位或地方实际相适应。</w:t>
      </w:r>
    </w:p>
    <w:p>
      <w:pPr>
        <w:pStyle w:val="3"/>
        <w:spacing w:line="360" w:lineRule="auto"/>
        <w:rPr>
          <w:rFonts w:hint="eastAsia"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6.20</w:t>
      </w:r>
      <w:r>
        <w:rPr>
          <w:rFonts w:hint="eastAsia"/>
          <w:color w:val="auto"/>
        </w:rPr>
        <w:t>万元，实际到位资金</w:t>
      </w:r>
      <w:r>
        <w:rPr>
          <w:rFonts w:hint="eastAsia"/>
          <w:color w:val="auto"/>
          <w:lang w:val="en-US" w:eastAsia="zh-CN"/>
        </w:rPr>
        <w:t>6.20</w:t>
      </w:r>
      <w:r>
        <w:rPr>
          <w:rFonts w:hint="eastAsia"/>
          <w:color w:val="auto"/>
        </w:rPr>
        <w:t>万元，资金到位率</w:t>
      </w:r>
      <w:r>
        <w:rPr>
          <w:rFonts w:hint="eastAsia"/>
          <w:color w:val="auto"/>
          <w:lang w:val="en-US" w:eastAsia="zh-CN"/>
        </w:rPr>
        <w:t>100.00</w:t>
      </w:r>
      <w:r>
        <w:rPr>
          <w:rFonts w:hint="eastAsia"/>
          <w:color w:val="auto"/>
        </w:rPr>
        <w:t>%。</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rPr>
          <w:color w:val="auto"/>
        </w:rPr>
      </w:pPr>
      <w:r>
        <w:rPr>
          <w:rFonts w:hint="eastAsia"/>
          <w:color w:val="auto"/>
        </w:rPr>
        <w:t>年初预算数</w:t>
      </w:r>
      <w:r>
        <w:rPr>
          <w:rFonts w:hint="eastAsia"/>
          <w:color w:val="auto"/>
          <w:lang w:val="en-US" w:eastAsia="zh-CN"/>
        </w:rPr>
        <w:t>6.20</w:t>
      </w:r>
      <w:r>
        <w:rPr>
          <w:rFonts w:hint="eastAsia"/>
          <w:color w:val="auto"/>
        </w:rPr>
        <w:t>万元，全年预算数</w:t>
      </w:r>
      <w:r>
        <w:rPr>
          <w:rFonts w:hint="eastAsia"/>
          <w:color w:val="auto"/>
          <w:lang w:val="en-US" w:eastAsia="zh-CN"/>
        </w:rPr>
        <w:t>6.20</w:t>
      </w:r>
      <w:r>
        <w:rPr>
          <w:rFonts w:hint="eastAsia"/>
          <w:color w:val="auto"/>
        </w:rPr>
        <w:t>万元，全年执行数</w:t>
      </w:r>
      <w:r>
        <w:rPr>
          <w:rFonts w:hint="eastAsia"/>
          <w:color w:val="auto"/>
          <w:lang w:val="en-US" w:eastAsia="zh-CN"/>
        </w:rPr>
        <w:t>6.20</w:t>
      </w:r>
      <w:r>
        <w:rPr>
          <w:rFonts w:hint="eastAsia"/>
          <w:color w:val="auto"/>
        </w:rPr>
        <w:t>万元，预算执行率为</w:t>
      </w:r>
      <w:r>
        <w:rPr>
          <w:rFonts w:hint="eastAsia"/>
          <w:color w:val="auto"/>
          <w:lang w:val="en-US" w:eastAsia="zh-CN"/>
        </w:rPr>
        <w:t>100.00</w:t>
      </w:r>
      <w:r>
        <w:rPr>
          <w:rFonts w:hint="eastAsia"/>
          <w:color w:val="auto"/>
        </w:rPr>
        <w:t>%</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资金使用合规性</w:t>
      </w:r>
    </w:p>
    <w:p>
      <w:pPr>
        <w:spacing w:line="360" w:lineRule="auto"/>
        <w:ind w:firstLine="600" w:firstLineChars="200"/>
        <w:rPr>
          <w:rFonts w:hint="eastAsia"/>
          <w:color w:val="auto"/>
          <w:lang w:val="en-US" w:eastAsia="zh-CN"/>
        </w:rPr>
      </w:pPr>
      <w:r>
        <w:rPr>
          <w:rFonts w:hint="eastAsia"/>
          <w:color w:val="auto"/>
          <w:lang w:val="en-US" w:eastAsia="zh-CN"/>
        </w:rPr>
        <w:t>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管理制度健全性</w:t>
      </w:r>
    </w:p>
    <w:p>
      <w:pPr>
        <w:spacing w:line="360" w:lineRule="auto"/>
        <w:ind w:firstLine="600" w:firstLineChars="200"/>
        <w:rPr>
          <w:rFonts w:hint="eastAsia"/>
          <w:color w:val="auto"/>
          <w:lang w:val="en-US" w:eastAsia="zh-CN"/>
        </w:rPr>
      </w:pPr>
      <w:r>
        <w:rPr>
          <w:rFonts w:hint="eastAsia"/>
          <w:color w:val="auto"/>
          <w:lang w:val="en-US" w:eastAsia="zh-CN"/>
        </w:rPr>
        <w:t>本项目已制定或具有相应的财务和业务管理制度；财务和业务管理制度合法、合规、完整。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ind w:firstLine="600" w:firstLineChars="200"/>
        <w:rPr>
          <w:rFonts w:hint="eastAsia"/>
          <w:color w:val="auto"/>
          <w:lang w:val="en-US" w:eastAsia="zh-CN"/>
        </w:rPr>
      </w:pPr>
      <w:bookmarkStart w:id="14" w:name="_Toc68703840"/>
      <w:r>
        <w:rPr>
          <w:rFonts w:hint="eastAsia"/>
          <w:color w:val="auto"/>
          <w:lang w:val="en-US" w:eastAsia="zh-CN"/>
        </w:rPr>
        <w:t>遵守相关法律法规和相关管理规定；项目调整及支出调整手续完备；项目合同书、验收报告、技术鉴定等资料齐全并及时归档；项目实施的人员条件、场地设备、信息支撑等落实到位。</w:t>
      </w:r>
    </w:p>
    <w:p>
      <w:pPr>
        <w:spacing w:line="360" w:lineRule="auto"/>
        <w:rPr>
          <w:color w:val="FF0000"/>
        </w:rPr>
      </w:pPr>
      <w:r>
        <w:rPr>
          <w:rFonts w:hint="eastAsia" w:ascii="仿宋_GB2312" w:eastAsia="仿宋_GB2312"/>
          <w:b w:val="0"/>
          <w:bCs w:val="0"/>
        </w:rPr>
        <w:t>（三）项目产出情况。</w:t>
      </w:r>
      <w:bookmarkEnd w:id="14"/>
    </w:p>
    <w:p>
      <w:pPr>
        <w:spacing w:line="360" w:lineRule="auto"/>
        <w:ind w:firstLine="600" w:firstLineChars="200"/>
        <w:rPr>
          <w:rFonts w:hint="eastAsia" w:eastAsia="仿宋_GB2312"/>
          <w:color w:val="auto"/>
          <w:lang w:eastAsia="zh-CN"/>
        </w:rPr>
      </w:pPr>
      <w:r>
        <w:rPr>
          <w:rFonts w:hint="eastAsia"/>
          <w:color w:val="auto"/>
        </w:rPr>
        <w:t>1</w:t>
      </w:r>
      <w:r>
        <w:rPr>
          <w:rFonts w:hint="eastAsia"/>
          <w:color w:val="auto"/>
          <w:lang w:val="en-US" w:eastAsia="zh-CN"/>
        </w:rPr>
        <w:t>.</w:t>
      </w:r>
      <w:r>
        <w:rPr>
          <w:rFonts w:hint="eastAsia"/>
          <w:color w:val="auto"/>
        </w:rPr>
        <w:t>数量指标：指标1：记账户户数，指标值：=50户，实际完成值50户，指标完成率</w:t>
      </w:r>
      <w:r>
        <w:rPr>
          <w:rFonts w:hint="eastAsia"/>
          <w:color w:val="auto"/>
          <w:lang w:val="en-US" w:eastAsia="zh-CN"/>
        </w:rPr>
        <w:t>100</w:t>
      </w:r>
      <w:r>
        <w:rPr>
          <w:rFonts w:hint="eastAsia"/>
          <w:color w:val="auto"/>
        </w:rPr>
        <w:t>%；指标2：辅调员人数，指标值：=5人，实际完成值5人，指标完成率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：资金发放次数，指标值：=2次，实际完成值2次，指标完成率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：培训次数，指标值：=</w:t>
      </w:r>
      <w:r>
        <w:rPr>
          <w:rFonts w:hint="eastAsia"/>
          <w:color w:val="auto"/>
          <w:lang w:val="en-US" w:eastAsia="zh-CN"/>
        </w:rPr>
        <w:t>4</w:t>
      </w:r>
      <w:r>
        <w:rPr>
          <w:rFonts w:hint="eastAsia"/>
          <w:color w:val="auto"/>
        </w:rPr>
        <w:t>次，实际完成值</w:t>
      </w:r>
      <w:r>
        <w:rPr>
          <w:rFonts w:hint="eastAsia"/>
          <w:color w:val="auto"/>
          <w:lang w:val="en-US" w:eastAsia="zh-CN"/>
        </w:rPr>
        <w:t>4</w:t>
      </w:r>
      <w:r>
        <w:rPr>
          <w:rFonts w:hint="eastAsia"/>
          <w:color w:val="auto"/>
        </w:rPr>
        <w:t>次，指标完成率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color w:val="auto"/>
        </w:rPr>
        <w:t>2</w:t>
      </w:r>
      <w:r>
        <w:rPr>
          <w:rFonts w:hint="eastAsia"/>
          <w:color w:val="auto"/>
          <w:lang w:val="en-US" w:eastAsia="zh-CN"/>
        </w:rPr>
        <w:t>.</w:t>
      </w:r>
      <w:r>
        <w:rPr>
          <w:rFonts w:hint="eastAsia"/>
          <w:color w:val="auto"/>
        </w:rPr>
        <w:t>质量指标：指标1：记账数据准确率，指标值：≧95%，实际完成值95%，指标完成率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时效指标：指标1：补助发放及时性，指标值：≧95%，实际完成值95%，指标完成率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指标1：每次发放记账户补助资金，指标值： =2.1万元，实际完成值2.1万元，指标完成率</w:t>
      </w:r>
      <w:r>
        <w:rPr>
          <w:rFonts w:hint="eastAsia"/>
          <w:color w:val="auto"/>
          <w:lang w:val="en-US" w:eastAsia="zh-CN"/>
        </w:rPr>
        <w:t>100</w:t>
      </w:r>
      <w:r>
        <w:rPr>
          <w:rFonts w:hint="eastAsia"/>
          <w:color w:val="auto"/>
        </w:rPr>
        <w:t>%；指标2：每次发放辅调员补助资金，指标值：=</w:t>
      </w:r>
      <w:r>
        <w:rPr>
          <w:rFonts w:hint="eastAsia"/>
          <w:color w:val="auto"/>
          <w:lang w:val="en-US" w:eastAsia="zh-CN"/>
        </w:rPr>
        <w:t>4500元</w:t>
      </w:r>
      <w:r>
        <w:rPr>
          <w:rFonts w:hint="eastAsia"/>
          <w:color w:val="auto"/>
        </w:rPr>
        <w:t>，实际完成值</w:t>
      </w:r>
      <w:r>
        <w:rPr>
          <w:rFonts w:hint="eastAsia"/>
          <w:color w:val="auto"/>
          <w:lang w:val="en-US" w:eastAsia="zh-CN"/>
        </w:rPr>
        <w:t>4500元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：培训费用，指标值：=</w:t>
      </w:r>
      <w:r>
        <w:rPr>
          <w:rFonts w:hint="eastAsia"/>
          <w:color w:val="auto"/>
          <w:lang w:val="en-US" w:eastAsia="zh-CN"/>
        </w:rPr>
        <w:t>1.1万元</w:t>
      </w:r>
      <w:r>
        <w:rPr>
          <w:rFonts w:hint="eastAsia"/>
          <w:color w:val="auto"/>
        </w:rPr>
        <w:t>，实际完成值</w:t>
      </w:r>
      <w:r>
        <w:rPr>
          <w:rFonts w:hint="eastAsia"/>
          <w:color w:val="auto"/>
          <w:lang w:val="en-US" w:eastAsia="zh-CN"/>
        </w:rPr>
        <w:t>1.1万元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3"/>
        <w:spacing w:line="360" w:lineRule="auto"/>
        <w:rPr>
          <w:rFonts w:hint="eastAsia"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color w:val="auto"/>
        </w:rPr>
      </w:pPr>
      <w:r>
        <w:rPr>
          <w:color w:val="auto"/>
        </w:rPr>
        <w:t>1</w:t>
      </w:r>
      <w:r>
        <w:rPr>
          <w:rFonts w:hint="eastAsia"/>
          <w:color w:val="auto"/>
          <w:lang w:val="en-US" w:eastAsia="zh-CN"/>
        </w:rPr>
        <w:t>.</w:t>
      </w:r>
      <w:r>
        <w:rPr>
          <w:rFonts w:hint="eastAsia"/>
          <w:color w:val="auto"/>
        </w:rPr>
        <w:t>社会效益指标：指标1：促进城乡居民收支调查工作有序开展，指标值：有效促进，实际完成值有效促进，指标完成率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rPr>
          <w:rFonts w:hint="eastAsia" w:eastAsia="仿宋_GB2312"/>
          <w:color w:val="auto"/>
          <w:lang w:eastAsia="zh-CN"/>
        </w:rPr>
      </w:pPr>
      <w:r>
        <w:rPr>
          <w:rFonts w:hint="eastAsia"/>
          <w:color w:val="auto"/>
        </w:rPr>
        <w:t>2</w:t>
      </w:r>
      <w:r>
        <w:rPr>
          <w:rFonts w:hint="eastAsia"/>
          <w:color w:val="auto"/>
          <w:lang w:val="en-US" w:eastAsia="zh-CN"/>
        </w:rPr>
        <w:t>.</w:t>
      </w:r>
      <w:r>
        <w:rPr>
          <w:rFonts w:hint="eastAsia"/>
          <w:color w:val="auto"/>
        </w:rPr>
        <w:t>满意度指标：指标1：调查对象满意度，指标值：≧90%，实际完成值</w:t>
      </w:r>
      <w:r>
        <w:rPr>
          <w:rFonts w:hint="eastAsia"/>
          <w:color w:val="auto"/>
          <w:lang w:val="en-US" w:eastAsia="zh-CN"/>
        </w:rPr>
        <w:t>98.36</w:t>
      </w:r>
      <w:r>
        <w:rPr>
          <w:rFonts w:hint="eastAsia"/>
          <w:color w:val="auto"/>
        </w:rPr>
        <w:t>%，指标完成率</w:t>
      </w:r>
      <w:r>
        <w:rPr>
          <w:rFonts w:hint="eastAsia"/>
          <w:color w:val="auto"/>
          <w:lang w:val="en-US" w:eastAsia="zh-CN"/>
        </w:rPr>
        <w:t>109.3</w:t>
      </w:r>
      <w:r>
        <w:rPr>
          <w:rFonts w:hint="eastAsia"/>
          <w:color w:val="auto"/>
        </w:rPr>
        <w:t>%；指标2：辅调员满意度，指标值：≧90%，实际完成值</w:t>
      </w:r>
      <w:r>
        <w:rPr>
          <w:rFonts w:hint="eastAsia"/>
          <w:color w:val="auto"/>
          <w:lang w:val="en-US" w:eastAsia="zh-CN"/>
        </w:rPr>
        <w:t>98.36</w:t>
      </w:r>
      <w:r>
        <w:rPr>
          <w:rFonts w:hint="eastAsia"/>
          <w:color w:val="auto"/>
        </w:rPr>
        <w:t>%，指标完成率</w:t>
      </w:r>
      <w:r>
        <w:rPr>
          <w:rFonts w:hint="eastAsia"/>
          <w:color w:val="auto"/>
          <w:lang w:val="en-US" w:eastAsia="zh-CN"/>
        </w:rPr>
        <w:t>109.3</w:t>
      </w:r>
      <w:r>
        <w:rPr>
          <w:rFonts w:hint="eastAsia"/>
          <w:color w:val="auto"/>
        </w:rPr>
        <w:t>%</w:t>
      </w:r>
      <w:r>
        <w:rPr>
          <w:rFonts w:hint="eastAsia"/>
          <w:color w:val="auto"/>
          <w:lang w:eastAsia="zh-CN"/>
        </w:rPr>
        <w:t>。</w:t>
      </w:r>
    </w:p>
    <w:p>
      <w:pPr>
        <w:pStyle w:val="2"/>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3"/>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spacing w:line="360" w:lineRule="auto"/>
        <w:ind w:firstLine="600" w:firstLineChars="200"/>
        <w:rPr>
          <w:rFonts w:hint="eastAsia"/>
          <w:color w:val="auto"/>
          <w:highlight w:val="none"/>
          <w:lang w:val="en-US" w:eastAsia="zh-CN"/>
        </w:rPr>
      </w:pPr>
      <w:bookmarkStart w:id="18" w:name="_Toc68703844"/>
      <w:r>
        <w:rPr>
          <w:rFonts w:hint="eastAsia"/>
          <w:color w:val="auto"/>
          <w:highlight w:val="none"/>
          <w:lang w:val="en-US" w:eastAsia="zh-CN"/>
        </w:rPr>
        <w:t>此次项目自评工作我单位安排专人负责，对项目的各项指标进行认真分析，对完成值有偏差的指标进行了分析，较好的完成了此次项目绩效自评工作。</w:t>
      </w:r>
    </w:p>
    <w:p>
      <w:pPr>
        <w:rPr>
          <w:rFonts w:hint="eastAsia" w:ascii="仿宋_GB2312" w:eastAsia="仿宋_GB2312"/>
          <w:b w:val="0"/>
          <w:bCs w:val="0"/>
          <w:color w:val="auto"/>
          <w:highlight w:val="none"/>
        </w:rPr>
      </w:pPr>
      <w:r>
        <w:rPr>
          <w:rFonts w:hint="eastAsia" w:ascii="仿宋_GB2312" w:eastAsia="仿宋_GB2312"/>
          <w:b w:val="0"/>
          <w:bCs w:val="0"/>
          <w:color w:val="auto"/>
          <w:highlight w:val="none"/>
        </w:rPr>
        <w:t>（二）存在的问题及原因分析</w:t>
      </w:r>
      <w:bookmarkEnd w:id="18"/>
    </w:p>
    <w:p>
      <w:pPr>
        <w:spacing w:line="360" w:lineRule="auto"/>
        <w:ind w:firstLine="600" w:firstLineChars="200"/>
        <w:rPr>
          <w:rFonts w:hint="default"/>
          <w:color w:val="auto"/>
          <w:highlight w:val="none"/>
          <w:lang w:val="en-US" w:eastAsia="zh-CN"/>
        </w:rPr>
      </w:pPr>
      <w:bookmarkStart w:id="19" w:name="_Toc68703845"/>
      <w:r>
        <w:rPr>
          <w:rFonts w:hint="eastAsia"/>
          <w:color w:val="auto"/>
          <w:highlight w:val="none"/>
          <w:lang w:val="en-US" w:eastAsia="zh-CN"/>
        </w:rPr>
        <w:t>该项目已全部达成年度指标，指标完成率为100%。满意度指标的数量指标完成值与年度指标值有较小偏差，主要原因是满意度均超过90%。</w:t>
      </w:r>
    </w:p>
    <w:p>
      <w:pPr>
        <w:pStyle w:val="2"/>
        <w:numPr>
          <w:ilvl w:val="0"/>
          <w:numId w:val="2"/>
        </w:numPr>
        <w:spacing w:line="360" w:lineRule="auto"/>
        <w:rPr>
          <w:rFonts w:hint="eastAsia" w:ascii="宋体" w:hAnsi="宋体" w:eastAsia="宋体"/>
          <w:sz w:val="32"/>
          <w:szCs w:val="32"/>
        </w:rPr>
      </w:pPr>
      <w:r>
        <w:rPr>
          <w:rFonts w:hint="eastAsia" w:ascii="宋体" w:hAnsi="宋体" w:eastAsia="宋体"/>
          <w:sz w:val="32"/>
          <w:szCs w:val="32"/>
        </w:rPr>
        <w:t>有关建议</w:t>
      </w:r>
      <w:bookmarkEnd w:id="19"/>
    </w:p>
    <w:p>
      <w:pPr>
        <w:spacing w:line="360" w:lineRule="auto"/>
        <w:ind w:firstLine="600" w:firstLineChars="200"/>
        <w:rPr>
          <w:rFonts w:hint="eastAsia"/>
          <w:color w:val="auto"/>
          <w:lang w:val="en-US" w:eastAsia="zh-CN"/>
        </w:rPr>
      </w:pPr>
      <w:r>
        <w:rPr>
          <w:rFonts w:hint="eastAsia"/>
          <w:color w:val="auto"/>
          <w:lang w:val="en-US" w:eastAsia="zh-CN"/>
        </w:rPr>
        <w:t>在今后的项目绩效评价工作中加强对项目各项指标制定方法的学习，科学有效的制定相关指标，使项目绩效各个环节工作得到有效开展，确保项目绩效评价工作圆满完成。</w:t>
      </w:r>
      <w:bookmarkStart w:id="20" w:name="_Toc68703846"/>
    </w:p>
    <w:p>
      <w:pPr>
        <w:spacing w:line="360" w:lineRule="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七、其他需要说明的问题</w:t>
      </w:r>
      <w:bookmarkEnd w:id="20"/>
    </w:p>
    <w:p>
      <w:pPr>
        <w:ind w:firstLine="600" w:firstLineChars="200"/>
        <w:rPr>
          <w:color w:val="auto"/>
        </w:rPr>
      </w:pPr>
      <w:r>
        <w:rPr>
          <w:rFonts w:hint="eastAsia"/>
          <w:color w:val="auto"/>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C7CD48"/>
    <w:multiLevelType w:val="singleLevel"/>
    <w:tmpl w:val="F7C7CD48"/>
    <w:lvl w:ilvl="0" w:tentative="0">
      <w:start w:val="6"/>
      <w:numFmt w:val="chineseCounting"/>
      <w:suff w:val="nothing"/>
      <w:lvlText w:val="%1、"/>
      <w:lvlJc w:val="left"/>
      <w:rPr>
        <w:rFonts w:hint="eastAsia"/>
      </w:rPr>
    </w:lvl>
  </w:abstractNum>
  <w:abstractNum w:abstractNumId="1">
    <w:nsid w:val="0AEACE86"/>
    <w:multiLevelType w:val="singleLevel"/>
    <w:tmpl w:val="0AEACE8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0MWExNWRiYzU2NzUzMWJjMjUyODRkNGVmNDdmNjAifQ=="/>
  </w:docVars>
  <w:rsids>
    <w:rsidRoot w:val="007D49C5"/>
    <w:rsid w:val="000D63FA"/>
    <w:rsid w:val="005B64E8"/>
    <w:rsid w:val="00614288"/>
    <w:rsid w:val="00792CFE"/>
    <w:rsid w:val="007D49C5"/>
    <w:rsid w:val="008175E0"/>
    <w:rsid w:val="008C631D"/>
    <w:rsid w:val="00A114ED"/>
    <w:rsid w:val="00B24331"/>
    <w:rsid w:val="0F2A6BF7"/>
    <w:rsid w:val="19DE39A3"/>
    <w:rsid w:val="2D5C316E"/>
    <w:rsid w:val="2F472A38"/>
    <w:rsid w:val="36B72533"/>
    <w:rsid w:val="3E805460"/>
    <w:rsid w:val="3F9532C8"/>
    <w:rsid w:val="4057649F"/>
    <w:rsid w:val="4B1F2CA3"/>
    <w:rsid w:val="4F981282"/>
    <w:rsid w:val="56796849"/>
    <w:rsid w:val="5DA95371"/>
    <w:rsid w:val="6BF174DE"/>
    <w:rsid w:val="7E741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rPr>
  </w:style>
  <w:style w:type="character" w:customStyle="1" w:styleId="11">
    <w:name w:val="标题 1 Char"/>
    <w:basedOn w:val="9"/>
    <w:link w:val="2"/>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4">
    <w:name w:val="页眉 Char"/>
    <w:basedOn w:val="9"/>
    <w:link w:val="5"/>
    <w:semiHidden/>
    <w:qFormat/>
    <w:uiPriority w:val="99"/>
    <w:rPr>
      <w:rFonts w:ascii="Times New Roman" w:hAnsi="Times New Roman" w:eastAsia="仿宋_GB2312" w:cs="Times New Roman"/>
      <w:sz w:val="18"/>
      <w:szCs w:val="18"/>
    </w:rPr>
  </w:style>
  <w:style w:type="character" w:customStyle="1" w:styleId="15">
    <w:name w:val="页脚 Char"/>
    <w:basedOn w:val="9"/>
    <w:link w:val="4"/>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2023-09-06T04:25:23Z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19D18C2053B640E18C3B2F848EC5B697</vt:lpwstr>
  </property>
</Properties>
</file>