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rPr>
        <w:t>清水河镇路灯电费、招商项目</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bookmarkStart w:id="21" w:name="_GoBack"/>
      <w:r>
        <w:rPr>
          <w:rFonts w:hint="eastAsia" w:ascii="宋体" w:hAnsi="宋体" w:eastAsia="宋体" w:cs="仿宋_GB2312"/>
          <w:color w:val="000000"/>
          <w:kern w:val="0"/>
          <w:sz w:val="32"/>
          <w:szCs w:val="32"/>
          <w:lang w:val="en-US" w:eastAsia="zh-CN"/>
        </w:rPr>
        <w:t>霍城经济开发区管委会</w:t>
      </w:r>
    </w:p>
    <w:bookmarkEnd w:id="21"/>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val="en-US" w:eastAsia="zh-CN"/>
        </w:rPr>
        <w:t>霍城经济开发区管委会</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朱龙</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spacing w:line="360" w:lineRule="auto"/>
        <w:ind w:firstLine="600" w:firstLineChars="200"/>
        <w:rPr>
          <w:rFonts w:hint="eastAsia" w:ascii="仿宋_GB2312" w:eastAsia="仿宋_GB2312"/>
          <w:lang w:val="en-US" w:eastAsia="zh-CN"/>
        </w:rPr>
      </w:pPr>
      <w:r>
        <w:rPr>
          <w:rFonts w:hint="eastAsia" w:ascii="仿宋_GB2312"/>
          <w:lang w:val="en-US" w:eastAsia="zh-CN"/>
        </w:rPr>
        <w:t>2022年是实施“十四五”规划的关键之年，在经济向创新和高质量发展的时代，招商引资工作是实现跨越式发展的重要抓手，也是经济发展的重中之重。推动清水河区（镇）经济高质量发展，清水河镇居住群众约3万人口，路灯已覆盖主要街区。依据关于印发《霍城经济开发区、清水河“区政合一”机构编制方案》的通知，开展招商引资、优化营商，保障群众出行工作。</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ascii="仿宋_GB2312"/>
          <w:color w:val="FF0000"/>
        </w:rPr>
      </w:pPr>
      <w:r>
        <w:rPr>
          <w:rFonts w:hint="eastAsia" w:ascii="仿宋_GB2312"/>
        </w:rPr>
        <w:t>主要内容：依据霍城经济开发区、清水河镇“区政合一”机构编制方案，通过对路灯、亮化设施管理，外出招商工作，保障清水河开发区（镇）亮化面积达到15平方公里，提升园区承载能力，改善招商引资环境，</w:t>
      </w:r>
      <w:r>
        <w:rPr>
          <w:rFonts w:hint="eastAsia" w:ascii="仿宋_GB2312"/>
          <w:lang w:val="en-US" w:eastAsia="zh-CN"/>
        </w:rPr>
        <w:t>改善园区基础设施，增强园区综合配套服务功能，群众出行得到保障，</w:t>
      </w:r>
      <w:r>
        <w:rPr>
          <w:rFonts w:hint="eastAsia" w:ascii="仿宋_GB2312"/>
        </w:rPr>
        <w:t>提升清水河开发区（镇）群众满意度、生活质量、幸福指数。</w:t>
      </w:r>
    </w:p>
    <w:p>
      <w:pPr>
        <w:spacing w:line="360" w:lineRule="auto"/>
        <w:ind w:firstLine="600" w:firstLineChars="200"/>
        <w:rPr>
          <w:rFonts w:ascii="仿宋_GB2312"/>
          <w:color w:val="FF0000"/>
        </w:rPr>
      </w:pPr>
      <w:r>
        <w:rPr>
          <w:rFonts w:hint="eastAsia" w:ascii="仿宋_GB2312"/>
        </w:rPr>
        <w:t>实施情况：依据霍城经济开发区、清水河镇“区政合一”机构编制方案，通过对路灯、亮化设施管理，外出招商工作，保障清水河开发区（镇）亮化面积达到15平方公里，提升园区承载能力，改善招商引资环境，改善园区基础设施，增强园区综合配套服务功能，群众出行得到保障，提升清水河开发区（镇）群众满意度、生活质量、幸福指数。</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75</w:t>
      </w:r>
      <w:r>
        <w:rPr>
          <w:rFonts w:hint="eastAsia"/>
          <w:color w:val="auto"/>
        </w:rPr>
        <w:t>万元，全年预算数</w:t>
      </w:r>
      <w:r>
        <w:rPr>
          <w:rFonts w:hint="eastAsia"/>
          <w:color w:val="auto"/>
          <w:lang w:val="en-US" w:eastAsia="zh-CN"/>
        </w:rPr>
        <w:t>75</w:t>
      </w:r>
      <w:r>
        <w:rPr>
          <w:rFonts w:hint="eastAsia"/>
          <w:color w:val="auto"/>
        </w:rPr>
        <w:t>万元，实际总投入</w:t>
      </w:r>
      <w:r>
        <w:rPr>
          <w:rFonts w:hint="eastAsia"/>
          <w:color w:val="auto"/>
          <w:lang w:val="en-US" w:eastAsia="zh-CN"/>
        </w:rPr>
        <w:t>75</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rPr>
        <w:t>资金使用情况：</w:t>
      </w:r>
      <w:r>
        <w:rPr>
          <w:rFonts w:hint="eastAsia"/>
          <w:color w:val="auto"/>
        </w:rPr>
        <w:t>该项目年初预算数</w:t>
      </w:r>
      <w:r>
        <w:rPr>
          <w:rFonts w:hint="eastAsia"/>
          <w:color w:val="auto"/>
          <w:lang w:val="en-US" w:eastAsia="zh-CN"/>
        </w:rPr>
        <w:t>75</w:t>
      </w:r>
      <w:r>
        <w:rPr>
          <w:rFonts w:hint="eastAsia"/>
          <w:color w:val="auto"/>
        </w:rPr>
        <w:t>万元，全年预算数</w:t>
      </w:r>
      <w:r>
        <w:rPr>
          <w:rFonts w:hint="eastAsia"/>
          <w:color w:val="auto"/>
          <w:lang w:val="en-US" w:eastAsia="zh-CN"/>
        </w:rPr>
        <w:t>75</w:t>
      </w:r>
      <w:r>
        <w:rPr>
          <w:rFonts w:hint="eastAsia"/>
          <w:color w:val="auto"/>
        </w:rPr>
        <w:t>万元，全年执行数</w:t>
      </w:r>
      <w:r>
        <w:rPr>
          <w:rFonts w:hint="eastAsia"/>
          <w:color w:val="auto"/>
          <w:lang w:val="en-US" w:eastAsia="zh-CN"/>
        </w:rPr>
        <w:t>75</w:t>
      </w:r>
      <w:r>
        <w:rPr>
          <w:rFonts w:hint="eastAsia"/>
          <w:color w:val="auto"/>
        </w:rPr>
        <w:t>万元，预算执行率为</w:t>
      </w:r>
      <w:r>
        <w:rPr>
          <w:rFonts w:hint="eastAsia"/>
          <w:color w:val="auto"/>
          <w:lang w:val="en-US" w:eastAsia="zh-CN"/>
        </w:rPr>
        <w:t>100.00</w:t>
      </w:r>
      <w:r>
        <w:rPr>
          <w:rFonts w:hint="eastAsia"/>
          <w:color w:val="auto"/>
        </w:rPr>
        <w:t>%，用于：</w:t>
      </w:r>
      <w:r>
        <w:rPr>
          <w:rFonts w:hint="eastAsia"/>
          <w:color w:val="auto"/>
          <w:lang w:val="en-US" w:eastAsia="zh-CN"/>
        </w:rPr>
        <w:t>路灯电费45</w:t>
      </w:r>
      <w:r>
        <w:rPr>
          <w:rFonts w:hint="eastAsia"/>
          <w:color w:val="auto"/>
        </w:rPr>
        <w:t>万元</w:t>
      </w:r>
      <w:r>
        <w:rPr>
          <w:rFonts w:hint="eastAsia"/>
          <w:color w:val="auto"/>
          <w:lang w:eastAsia="zh-CN"/>
        </w:rPr>
        <w:t>，</w:t>
      </w:r>
      <w:r>
        <w:rPr>
          <w:rFonts w:hint="eastAsia"/>
          <w:color w:val="auto"/>
          <w:lang w:val="en-US" w:eastAsia="zh-CN"/>
        </w:rPr>
        <w:t>招商专项经费30万元</w:t>
      </w:r>
      <w:r>
        <w:rPr>
          <w:rFonts w:hint="eastAsia"/>
          <w:color w:val="auto"/>
        </w:rPr>
        <w:t>。</w:t>
      </w:r>
    </w:p>
    <w:p>
      <w:pPr>
        <w:pStyle w:val="4"/>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rPr>
      </w:pPr>
      <w:r>
        <w:rPr>
          <w:rFonts w:hint="eastAsia"/>
        </w:rPr>
        <w:t>1</w:t>
      </w:r>
      <w:r>
        <w:rPr>
          <w:rFonts w:hint="eastAsia"/>
          <w:lang w:val="en-US" w:eastAsia="zh-CN"/>
        </w:rPr>
        <w:t>.</w:t>
      </w:r>
      <w:r>
        <w:rPr>
          <w:rFonts w:hint="eastAsia"/>
        </w:rPr>
        <w:t>总体目标：依据霍城经济开发区、清水河镇“区政合一”机构编制方案，通过对路灯、亮化设施管理，外出招商工作，保障清水河开发区（镇）亮化面积达到15平方公里，提升园区承载能力，改善招商引资环境，提升清水河开发区（镇）群众满意度、生活质量、幸福指数。</w:t>
      </w:r>
    </w:p>
    <w:p>
      <w:pPr>
        <w:spacing w:line="360" w:lineRule="auto"/>
        <w:ind w:firstLine="600" w:firstLineChars="200"/>
      </w:pPr>
      <w:r>
        <w:t>2</w:t>
      </w:r>
      <w:r>
        <w:rPr>
          <w:rFonts w:hint="eastAsia"/>
          <w:lang w:val="en-US" w:eastAsia="zh-CN"/>
        </w:rPr>
        <w:t>.</w:t>
      </w:r>
      <w:r>
        <w:rPr>
          <w:rFonts w:hint="eastAsia"/>
        </w:rPr>
        <w:t>阶段性目标：依据霍城经济开发区、清水河镇“区政合一”机构编制方案，通过对路灯、亮化设施管理，外出招商工作，保障清水河开发区（镇）亮化面积达到15平方公里，提升园区承载能力，改善招商引资环境，提升了清水河开发区（镇）群众满意度、生活质量、幸福指数。</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清水河镇路灯电费、招商项目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rPr>
      </w:pPr>
      <w:r>
        <w:rPr>
          <w:rFonts w:hint="eastAsia"/>
          <w:lang w:val="en-US" w:eastAsia="zh-CN"/>
        </w:rPr>
        <w:t>清</w:t>
      </w:r>
      <w:r>
        <w:rPr>
          <w:rFonts w:hint="eastAsia"/>
        </w:rPr>
        <w:t>水河镇路灯电费、招商项目</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eastAsia="zh-CN"/>
        </w:rPr>
        <w:t>清</w:t>
      </w:r>
      <w:r>
        <w:rPr>
          <w:rFonts w:hint="eastAsia"/>
          <w:color w:val="auto"/>
        </w:rPr>
        <w:t>水河镇路灯电费、招商项目评价，评价核心为资金的支出完成情况和效果。</w:t>
      </w:r>
    </w:p>
    <w:p>
      <w:pPr>
        <w:pStyle w:val="4"/>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霍城县人民政府</w:t>
      </w:r>
      <w:r>
        <w:rPr>
          <w:rFonts w:hint="eastAsia" w:ascii="仿宋_GB2312"/>
          <w:bCs/>
          <w:color w:val="auto"/>
          <w:sz w:val="32"/>
          <w:szCs w:val="32"/>
        </w:rPr>
        <w:t>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清水河镇路灯电费、招商项目支出绩效评价指标体系</w:t>
      </w:r>
    </w:p>
    <w:tbl>
      <w:tblPr>
        <w:tblStyle w:val="9"/>
        <w:tblW w:w="991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9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925"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925"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925" w:type="dxa"/>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925"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925"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925"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925"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925"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6</w:t>
            </w:r>
          </w:p>
        </w:tc>
        <w:tc>
          <w:tcPr>
            <w:tcW w:w="925"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925"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925"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925"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925" w:type="dxa"/>
            <w:shd w:val="clear" w:color="000000" w:fill="FFFFFF"/>
          </w:tcPr>
          <w:p>
            <w:pPr>
              <w:spacing w:line="600" w:lineRule="auto"/>
              <w:jc w:val="center"/>
              <w:rPr>
                <w:rFonts w:hint="eastAsia"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925"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925"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925"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15</w:t>
            </w:r>
          </w:p>
        </w:tc>
        <w:tc>
          <w:tcPr>
            <w:tcW w:w="925" w:type="dxa"/>
            <w:shd w:val="clear" w:color="auto" w:fill="FFFFFF"/>
          </w:tcPr>
          <w:p>
            <w:pPr>
              <w:spacing w:line="600" w:lineRule="auto"/>
              <w:jc w:val="center"/>
              <w:rPr>
                <w:rFonts w:hint="eastAsia"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15</w:t>
            </w:r>
          </w:p>
        </w:tc>
        <w:tc>
          <w:tcPr>
            <w:tcW w:w="925" w:type="dxa"/>
            <w:shd w:val="clear" w:color="000000" w:fill="FFFFFF"/>
          </w:tcPr>
          <w:p>
            <w:pPr>
              <w:spacing w:line="600" w:lineRule="auto"/>
              <w:jc w:val="center"/>
              <w:rPr>
                <w:rFonts w:hint="eastAsia"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100.00</w:t>
            </w:r>
          </w:p>
        </w:tc>
        <w:tc>
          <w:tcPr>
            <w:tcW w:w="925"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97.50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rPr>
          <w:rFonts w:hint="eastAsia" w:eastAsia="仿宋_GB2312"/>
          <w:bCs/>
          <w:color w:val="auto"/>
          <w:sz w:val="32"/>
          <w:szCs w:val="32"/>
          <w:lang w:val="en-US" w:eastAsia="zh-CN"/>
        </w:rPr>
      </w:pPr>
      <w:r>
        <w:rPr>
          <w:rFonts w:hint="eastAsia"/>
          <w:bCs/>
          <w:color w:val="auto"/>
          <w:sz w:val="32"/>
          <w:szCs w:val="32"/>
        </w:rPr>
        <w:t>本次项目支出绩效自评采用比较方法，原因是：将清水河镇路灯电费、招商项目实施情况与绩效目标进行比较</w:t>
      </w:r>
      <w:r>
        <w:rPr>
          <w:rFonts w:hint="eastAsia"/>
          <w:bCs/>
          <w:color w:val="auto"/>
          <w:sz w:val="32"/>
          <w:szCs w:val="32"/>
          <w:lang w:eastAsia="zh-CN"/>
        </w:rPr>
        <w:t>，</w:t>
      </w:r>
      <w:r>
        <w:rPr>
          <w:rFonts w:hint="eastAsia"/>
          <w:bCs/>
          <w:color w:val="auto"/>
          <w:sz w:val="32"/>
          <w:szCs w:val="32"/>
          <w:lang w:val="en-US" w:eastAsia="zh-CN"/>
        </w:rPr>
        <w:t>分析项目实施进展情况，</w:t>
      </w:r>
      <w:r>
        <w:rPr>
          <w:rFonts w:hint="eastAsia"/>
          <w:color w:val="auto"/>
        </w:rPr>
        <w:t>对项目设立的科学性和严谨性，资金分配的合理性和规范性，政策和项目实施有效性进行充分剖析。</w:t>
      </w:r>
    </w:p>
    <w:p>
      <w:pPr>
        <w:spacing w:line="360" w:lineRule="auto"/>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rFonts w:hint="eastAsia" w:eastAsia="仿宋_GB2312"/>
          <w:bCs/>
          <w:sz w:val="32"/>
          <w:szCs w:val="32"/>
          <w:lang w:eastAsia="zh-CN"/>
        </w:rPr>
      </w:pPr>
      <w:r>
        <w:rPr>
          <w:rFonts w:hint="eastAsia"/>
          <w:bCs/>
          <w:color w:val="auto"/>
          <w:sz w:val="32"/>
          <w:szCs w:val="32"/>
        </w:rPr>
        <w:t>本次项目支出绩效自评采用</w:t>
      </w:r>
      <w:r>
        <w:rPr>
          <w:rFonts w:hint="eastAsia"/>
          <w:bCs/>
          <w:color w:val="auto"/>
          <w:sz w:val="32"/>
          <w:szCs w:val="32"/>
          <w:lang w:val="en-US" w:eastAsia="zh-CN"/>
        </w:rPr>
        <w:t>计划</w:t>
      </w:r>
      <w:r>
        <w:rPr>
          <w:rFonts w:hint="eastAsia"/>
          <w:bCs/>
          <w:color w:val="auto"/>
          <w:sz w:val="32"/>
          <w:szCs w:val="32"/>
        </w:rPr>
        <w:t>标准，原因是：</w:t>
      </w:r>
      <w:r>
        <w:rPr>
          <w:rFonts w:hint="eastAsia"/>
          <w:bCs/>
          <w:color w:val="auto"/>
          <w:sz w:val="32"/>
          <w:szCs w:val="32"/>
          <w:lang w:val="en-US" w:eastAsia="zh-CN"/>
        </w:rPr>
        <w:t>根据清水河镇路灯电费、招商项目</w:t>
      </w:r>
      <w:r>
        <w:rPr>
          <w:rFonts w:hint="eastAsia"/>
          <w:bCs/>
          <w:color w:val="auto"/>
          <w:sz w:val="32"/>
          <w:szCs w:val="32"/>
        </w:rPr>
        <w:t>预先制定的目标、计划、预算、定额等作为评价标准</w:t>
      </w:r>
      <w:r>
        <w:rPr>
          <w:rFonts w:hint="eastAsia"/>
          <w:bCs/>
          <w:color w:val="auto"/>
          <w:sz w:val="32"/>
          <w:szCs w:val="32"/>
          <w:lang w:eastAsia="zh-CN"/>
        </w:rPr>
        <w:t>，针对绩效指标等方面进行改进提高，使得此次绩效评价更科学、更标准、更符合实际。</w:t>
      </w:r>
    </w:p>
    <w:p>
      <w:pPr>
        <w:pStyle w:val="4"/>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11</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val="en-US" w:eastAsia="zh-CN"/>
        </w:rPr>
        <w:t>比较法</w:t>
      </w:r>
      <w:r>
        <w:rPr>
          <w:rFonts w:hint="eastAsia"/>
          <w:color w:val="auto"/>
        </w:rPr>
        <w:t>，坚持计划标准对本项目的立项、绩效目标、资金投入、资金管理、组织实施、产出数量、产出质量、产出时效、产出成本、项目效益进行了综合评价。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清水河镇路灯电费、招商项目评价得分情况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17.5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97.50</w:t>
            </w:r>
          </w:p>
        </w:tc>
      </w:tr>
    </w:tbl>
    <w:p>
      <w:pPr>
        <w:pStyle w:val="4"/>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ascii="Times New Roman" w:hAnsi="Times New Roman" w:cs="Times New Roman"/>
          <w:color w:val="auto"/>
          <w:lang w:val="en-US"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w:t>
      </w:r>
      <w:r>
        <w:rPr>
          <w:rFonts w:hint="eastAsia"/>
          <w:color w:val="auto"/>
          <w:lang w:val="en-US" w:eastAsia="zh-CN"/>
        </w:rPr>
        <w:t>97.50</w:t>
      </w:r>
      <w:r>
        <w:rPr>
          <w:rFonts w:hint="eastAsia"/>
          <w:color w:val="auto"/>
        </w:rPr>
        <w:t>分，</w:t>
      </w:r>
      <w:r>
        <w:rPr>
          <w:rFonts w:hint="eastAsia"/>
          <w:color w:val="auto"/>
          <w:lang w:val="en-US" w:eastAsia="zh-CN"/>
        </w:rPr>
        <w:t>评价等级为“优”，</w:t>
      </w:r>
      <w:r>
        <w:rPr>
          <w:rFonts w:hint="eastAsia"/>
          <w:color w:val="auto"/>
        </w:rPr>
        <w:t>项目达成年度指标</w:t>
      </w:r>
      <w:r>
        <w:rPr>
          <w:rFonts w:hint="eastAsia"/>
          <w:color w:val="auto"/>
          <w:lang w:eastAsia="zh-CN"/>
        </w:rPr>
        <w:t>，</w:t>
      </w:r>
      <w:r>
        <w:rPr>
          <w:rFonts w:hint="eastAsia"/>
          <w:color w:val="auto"/>
          <w:lang w:val="en-US" w:eastAsia="zh-CN"/>
        </w:rPr>
        <w:t>数量指</w:t>
      </w:r>
      <w:r>
        <w:rPr>
          <w:rFonts w:hint="eastAsia" w:ascii="Times New Roman" w:hAnsi="Times New Roman" w:cs="Times New Roman"/>
          <w:color w:val="auto"/>
          <w:lang w:val="en-US" w:eastAsia="zh-CN"/>
        </w:rPr>
        <w:t>标中外出招商任务数指标未达成年度指标的原因是2022年受全国疫情原因影响，外出开展招商计划受限，未能按计划到内地开展招商工作。</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eastAsia" w:eastAsia="仿宋_GB2312"/>
          <w:color w:val="auto"/>
          <w:lang w:eastAsia="zh-CN"/>
        </w:rPr>
      </w:pPr>
      <w:r>
        <w:rPr>
          <w:rFonts w:hint="eastAsia"/>
          <w:color w:val="auto"/>
        </w:rPr>
        <w:t>项目立项依据《霍城经济开发区、清水河“区政合一”机构编制方案》的通知</w:t>
      </w:r>
      <w:r>
        <w:rPr>
          <w:rFonts w:hint="eastAsia"/>
          <w:color w:val="auto"/>
          <w:lang w:eastAsia="zh-CN"/>
        </w:rPr>
        <w:t>；项目立项符合行业发展规划和政策要求；项目立项与部门职责范围相符，属于部门履职所需；项目属于公共财政支持范围，符合中央、地方事权支出责任划分原则；项目未与相关部门同类项目或部门内部相关项目重复。</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color w:val="auto"/>
        </w:rPr>
      </w:pPr>
      <w:r>
        <w:rPr>
          <w:rFonts w:hint="eastAsia"/>
          <w:color w:val="auto"/>
        </w:rPr>
        <w:t>项目按照规定的程序申请设立；审批文件、材料符合相关要求；事前已经过必要的可行性研究、专家论证、风险评估、绩效评估、集体决策。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auto"/>
        </w:rPr>
      </w:pPr>
      <w:r>
        <w:rPr>
          <w:rFonts w:hint="eastAsia"/>
          <w:color w:val="auto"/>
        </w:rPr>
        <w:t>清水河镇路灯电费、招商项目设立了项目绩效目标，与霍城经济开发区发展规划、目标具有相关性，项目的预期产出效益和效果也均能符合正常的业绩水平，并且与预算确定的项目投资额或资金量相匹配。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color w:val="auto"/>
        </w:rPr>
      </w:pPr>
      <w:bookmarkStart w:id="12" w:name="_Hlk68699917"/>
      <w:r>
        <w:rPr>
          <w:rFonts w:hint="eastAsia"/>
          <w:color w:val="auto"/>
        </w:rPr>
        <w:t>清水河镇路灯电费、招商项目将项目绩效目标细化分解为具体的绩效指标，一级指标共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12</w:t>
      </w:r>
      <w:r>
        <w:rPr>
          <w:rFonts w:hint="eastAsia"/>
          <w:color w:val="auto"/>
        </w:rPr>
        <w:t>条，其中量化指标条数共</w:t>
      </w:r>
      <w:r>
        <w:rPr>
          <w:rFonts w:hint="eastAsia"/>
          <w:color w:val="auto"/>
          <w:lang w:val="en-US" w:eastAsia="zh-CN"/>
        </w:rPr>
        <w:t>11</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jc w:val="left"/>
        <w:rPr>
          <w:rFonts w:hint="eastAsia"/>
        </w:rPr>
      </w:pPr>
      <w:r>
        <w:rPr>
          <w:rFonts w:hint="eastAsia"/>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pStyle w:val="4"/>
        <w:spacing w:line="360" w:lineRule="auto"/>
        <w:ind w:firstLine="600" w:firstLineChars="200"/>
        <w:rPr>
          <w:rFonts w:hint="eastAsia" w:ascii="Times New Roman" w:hAnsi="Times New Roman" w:eastAsia="仿宋_GB2312" w:cs="Times New Roman"/>
          <w:b w:val="0"/>
          <w:bCs w:val="0"/>
          <w:kern w:val="2"/>
          <w:sz w:val="30"/>
          <w:szCs w:val="24"/>
          <w:lang w:val="en-US" w:eastAsia="zh-CN" w:bidi="ar-SA"/>
        </w:rPr>
      </w:pPr>
      <w:bookmarkStart w:id="13" w:name="_Toc68703839"/>
      <w:r>
        <w:rPr>
          <w:rFonts w:hint="eastAsia" w:ascii="Times New Roman" w:hAnsi="Times New Roman" w:eastAsia="仿宋_GB2312" w:cs="Times New Roman"/>
          <w:b w:val="0"/>
          <w:bCs w:val="0"/>
          <w:kern w:val="2"/>
          <w:sz w:val="30"/>
          <w:szCs w:val="24"/>
          <w:lang w:val="en-US" w:eastAsia="zh-CN" w:bidi="ar-SA"/>
        </w:rPr>
        <w:t>预算资金分配依据充分；资金分配额度合理，与项目单位实际相适应。</w:t>
      </w:r>
    </w:p>
    <w:p>
      <w:pPr>
        <w:pStyle w:val="4"/>
        <w:spacing w:line="360" w:lineRule="auto"/>
        <w:rPr>
          <w:rFonts w:hint="eastAsia" w:ascii="仿宋_GB2312" w:eastAsia="仿宋_GB2312"/>
          <w:b w:val="0"/>
          <w:bCs w:val="0"/>
        </w:rPr>
      </w:pPr>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75.00</w:t>
      </w:r>
      <w:r>
        <w:rPr>
          <w:rFonts w:hint="eastAsia"/>
          <w:color w:val="auto"/>
        </w:rPr>
        <w:t>万元，实际到位资金</w:t>
      </w:r>
      <w:r>
        <w:rPr>
          <w:rFonts w:hint="eastAsia"/>
          <w:color w:val="auto"/>
          <w:lang w:val="en-US" w:eastAsia="zh-CN"/>
        </w:rPr>
        <w:t>75.00</w:t>
      </w:r>
      <w:r>
        <w:rPr>
          <w:rFonts w:hint="eastAsia"/>
          <w:color w:val="auto"/>
        </w:rPr>
        <w:t>万元，资金到位率</w:t>
      </w:r>
      <w:r>
        <w:rPr>
          <w:rFonts w:hint="eastAsia"/>
          <w:color w:val="auto"/>
          <w:lang w:val="en-US" w:eastAsia="zh-CN"/>
        </w:rPr>
        <w:t>100.00</w:t>
      </w:r>
      <w:r>
        <w:rPr>
          <w:rFonts w:hint="eastAsia"/>
          <w:color w:val="auto"/>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75.00</w:t>
      </w:r>
      <w:r>
        <w:rPr>
          <w:rFonts w:hint="eastAsia"/>
          <w:color w:val="auto"/>
        </w:rPr>
        <w:t>万元，全年预算数</w:t>
      </w:r>
      <w:r>
        <w:rPr>
          <w:rFonts w:hint="eastAsia"/>
          <w:color w:val="auto"/>
          <w:lang w:val="en-US" w:eastAsia="zh-CN"/>
        </w:rPr>
        <w:t>75.00</w:t>
      </w:r>
      <w:r>
        <w:rPr>
          <w:rFonts w:hint="eastAsia"/>
          <w:color w:val="auto"/>
        </w:rPr>
        <w:t>万元，全年执行数</w:t>
      </w:r>
      <w:r>
        <w:rPr>
          <w:rFonts w:hint="eastAsia"/>
          <w:color w:val="auto"/>
          <w:lang w:val="en-US" w:eastAsia="zh-CN"/>
        </w:rPr>
        <w:t>75.00</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jc w:val="left"/>
        <w:rPr>
          <w:rFonts w:hint="eastAsia"/>
        </w:rPr>
      </w:pPr>
      <w:r>
        <w:rPr>
          <w:rFonts w:hint="eastAsia"/>
        </w:rPr>
        <w:t>本项目符合国家财经法规和财务管理制度以及有关专项资金管理办法的规定；资金的拨付有完整的审批程序和手续；符合项目预算批复或合同规定的用途；不存在截留、挤占、挪用、虚列支出等情况。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rPr>
          <w:rFonts w:hint="eastAsia"/>
        </w:rPr>
      </w:pPr>
      <w:r>
        <w:rPr>
          <w:rFonts w:hint="eastAsia"/>
        </w:rPr>
        <w:t>本项目已制定或具有相应的财务和业务管理制度；财务和业务管理制度合法、合规、完整。</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制度执行有效性</w:t>
      </w:r>
    </w:p>
    <w:p>
      <w:pPr>
        <w:pStyle w:val="4"/>
        <w:spacing w:line="360" w:lineRule="auto"/>
        <w:ind w:firstLine="600" w:firstLineChars="200"/>
        <w:rPr>
          <w:rFonts w:hint="eastAsia" w:ascii="Times New Roman" w:hAnsi="Times New Roman" w:eastAsia="仿宋_GB2312" w:cs="Times New Roman"/>
          <w:b w:val="0"/>
          <w:bCs w:val="0"/>
          <w:kern w:val="2"/>
          <w:sz w:val="30"/>
          <w:szCs w:val="24"/>
          <w:lang w:val="en-US" w:eastAsia="zh-CN" w:bidi="ar-SA"/>
        </w:rPr>
      </w:pPr>
      <w:bookmarkStart w:id="14" w:name="_Toc68703840"/>
      <w:r>
        <w:rPr>
          <w:rFonts w:hint="eastAsia" w:ascii="Times New Roman" w:hAnsi="Times New Roman" w:eastAsia="仿宋_GB2312" w:cs="Times New Roman"/>
          <w:b w:val="0"/>
          <w:bCs w:val="0"/>
          <w:kern w:val="2"/>
          <w:sz w:val="30"/>
          <w:szCs w:val="24"/>
          <w:lang w:val="en-US" w:eastAsia="zh-CN" w:bidi="ar-SA"/>
        </w:rPr>
        <w:t>本项目遵守相关法律法规和相关管理规定；项目调整及支出调整手续完备；项目合同书、验收报告、技术鉴定等资料齐全并及时归档；项目实施的人员条件、场地设备、信息支撑等落实到位。</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（三）项目产出情况。</w:t>
      </w:r>
      <w:bookmarkEnd w:id="14"/>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数量指标：指标1：路灯亮化覆盖面积，指标值：≥15平方公里，实际完成值15平方公里，指标完成率</w:t>
      </w:r>
      <w:r>
        <w:rPr>
          <w:rFonts w:hint="eastAsia"/>
          <w:color w:val="auto"/>
          <w:lang w:val="en-US" w:eastAsia="zh-CN"/>
        </w:rPr>
        <w:t>100.00</w:t>
      </w:r>
      <w:r>
        <w:rPr>
          <w:rFonts w:hint="eastAsia"/>
          <w:color w:val="auto"/>
        </w:rPr>
        <w:t>%；指标2：，指标值：外出招商任务数≥2次，实际完成值</w:t>
      </w:r>
      <w:r>
        <w:rPr>
          <w:rFonts w:hint="eastAsia"/>
          <w:color w:val="auto"/>
          <w:lang w:val="en-US" w:eastAsia="zh-CN"/>
        </w:rPr>
        <w:t>1</w:t>
      </w:r>
      <w:r>
        <w:rPr>
          <w:rFonts w:hint="eastAsia"/>
          <w:color w:val="auto"/>
        </w:rPr>
        <w:t>次，指标完成率</w:t>
      </w:r>
      <w:r>
        <w:rPr>
          <w:rFonts w:hint="eastAsia"/>
          <w:color w:val="auto"/>
          <w:lang w:val="en-US" w:eastAsia="zh-CN"/>
        </w:rPr>
        <w:t>50.00</w:t>
      </w:r>
      <w:r>
        <w:rPr>
          <w:rFonts w:hint="eastAsia"/>
          <w:color w:val="auto"/>
        </w:rPr>
        <w:t>%，偏差原因：</w:t>
      </w:r>
      <w:r>
        <w:rPr>
          <w:rFonts w:hint="eastAsia"/>
          <w:color w:val="auto"/>
          <w:lang w:val="en-US" w:eastAsia="zh-CN"/>
        </w:rPr>
        <w:t>2022年受全国疫情原因影响，外出开展招商计划受限，未能按计划到内地开展招商工作</w:t>
      </w:r>
      <w:r>
        <w:rPr>
          <w:rFonts w:hint="eastAsia"/>
          <w:color w:val="auto"/>
        </w:rPr>
        <w:t>。</w:t>
      </w:r>
    </w:p>
    <w:p>
      <w:pPr>
        <w:spacing w:line="360" w:lineRule="auto"/>
        <w:ind w:firstLine="600" w:firstLineChars="200"/>
        <w:rPr>
          <w:color w:val="auto"/>
        </w:rPr>
      </w:pPr>
      <w:r>
        <w:rPr>
          <w:color w:val="auto"/>
        </w:rPr>
        <w:t>2</w:t>
      </w:r>
      <w:r>
        <w:rPr>
          <w:rFonts w:hint="eastAsia"/>
          <w:color w:val="auto"/>
          <w:lang w:val="en-US" w:eastAsia="zh-CN"/>
        </w:rPr>
        <w:t>.</w:t>
      </w:r>
      <w:r>
        <w:rPr>
          <w:rFonts w:hint="eastAsia"/>
          <w:color w:val="auto"/>
        </w:rPr>
        <w:t>质量指标：指标1：路灯亮化覆盖率，指标值：≥80%，实际完成值80%，指标完成率</w:t>
      </w:r>
      <w:r>
        <w:rPr>
          <w:rFonts w:hint="eastAsia"/>
          <w:color w:val="auto"/>
          <w:lang w:val="en-US" w:eastAsia="zh-CN"/>
        </w:rPr>
        <w:t>100.00</w:t>
      </w:r>
      <w:r>
        <w:rPr>
          <w:rFonts w:hint="eastAsia"/>
          <w:color w:val="auto"/>
        </w:rPr>
        <w:t>%；指标2：宣传工作达标率，指标值：≥80%，实际完成值80%，指标完成率</w:t>
      </w:r>
      <w:r>
        <w:rPr>
          <w:rFonts w:hint="eastAsia"/>
          <w:color w:val="auto"/>
          <w:lang w:val="en-US" w:eastAsia="zh-CN"/>
        </w:rPr>
        <w:t>100.00</w:t>
      </w:r>
      <w:r>
        <w:rPr>
          <w:rFonts w:hint="eastAsia"/>
          <w:color w:val="auto"/>
        </w:rPr>
        <w:t>%。</w:t>
      </w:r>
    </w:p>
    <w:p>
      <w:pPr>
        <w:spacing w:line="360" w:lineRule="auto"/>
        <w:ind w:firstLine="600" w:firstLineChars="200"/>
        <w:rPr>
          <w:color w:val="FF0000"/>
        </w:rPr>
      </w:pPr>
      <w:r>
        <w:rPr>
          <w:rFonts w:hint="eastAsia"/>
          <w:color w:val="auto"/>
        </w:rPr>
        <w:t>3</w:t>
      </w:r>
      <w:r>
        <w:rPr>
          <w:rFonts w:hint="eastAsia"/>
          <w:color w:val="auto"/>
          <w:lang w:val="en-US" w:eastAsia="zh-CN"/>
        </w:rPr>
        <w:t>.</w:t>
      </w:r>
      <w:r>
        <w:rPr>
          <w:rFonts w:hint="eastAsia"/>
          <w:color w:val="auto"/>
        </w:rPr>
        <w:t>时效指标：指标1：路灯电费支付及时率，指标值：≥</w:t>
      </w:r>
      <w:r>
        <w:rPr>
          <w:rFonts w:hint="eastAsia"/>
          <w:color w:val="auto"/>
          <w:lang w:val="en-US" w:eastAsia="zh-CN"/>
        </w:rPr>
        <w:t>9</w:t>
      </w:r>
      <w:r>
        <w:rPr>
          <w:rFonts w:hint="eastAsia"/>
          <w:color w:val="auto"/>
        </w:rPr>
        <w:t>0%，实际完成值</w:t>
      </w:r>
      <w:r>
        <w:rPr>
          <w:rFonts w:hint="eastAsia"/>
          <w:color w:val="auto"/>
          <w:lang w:val="en-US" w:eastAsia="zh-CN"/>
        </w:rPr>
        <w:t>9</w:t>
      </w:r>
      <w:r>
        <w:rPr>
          <w:rFonts w:hint="eastAsia"/>
          <w:color w:val="auto"/>
        </w:rPr>
        <w:t>0%，指标完成率</w:t>
      </w:r>
      <w:r>
        <w:rPr>
          <w:rFonts w:hint="eastAsia"/>
          <w:color w:val="auto"/>
          <w:lang w:val="en-US" w:eastAsia="zh-CN"/>
        </w:rPr>
        <w:t>100.00</w:t>
      </w:r>
      <w:r>
        <w:rPr>
          <w:rFonts w:hint="eastAsia"/>
          <w:color w:val="auto"/>
        </w:rPr>
        <w:t>%；指标2：外出招商按计划完成率，指标值：≥</w:t>
      </w:r>
      <w:r>
        <w:rPr>
          <w:rFonts w:hint="eastAsia"/>
          <w:color w:val="auto"/>
          <w:lang w:val="en-US" w:eastAsia="zh-CN"/>
        </w:rPr>
        <w:t>9</w:t>
      </w:r>
      <w:r>
        <w:rPr>
          <w:rFonts w:hint="eastAsia"/>
          <w:color w:val="auto"/>
        </w:rPr>
        <w:t>0%，实际完成值</w:t>
      </w:r>
      <w:r>
        <w:rPr>
          <w:rFonts w:hint="eastAsia"/>
          <w:color w:val="auto"/>
          <w:lang w:val="en-US" w:eastAsia="zh-CN"/>
        </w:rPr>
        <w:t>9</w:t>
      </w:r>
      <w:r>
        <w:rPr>
          <w:rFonts w:hint="eastAsia"/>
          <w:color w:val="auto"/>
        </w:rPr>
        <w:t>0%，指标完成率</w:t>
      </w:r>
      <w:r>
        <w:rPr>
          <w:rFonts w:hint="eastAsia"/>
          <w:color w:val="auto"/>
          <w:lang w:val="en-US" w:eastAsia="zh-CN"/>
        </w:rPr>
        <w:t>100.00</w:t>
      </w:r>
      <w:r>
        <w:rPr>
          <w:rFonts w:hint="eastAsia"/>
          <w:color w:val="auto"/>
        </w:rPr>
        <w:t>%。</w:t>
      </w:r>
    </w:p>
    <w:p>
      <w:pPr>
        <w:spacing w:line="360" w:lineRule="auto"/>
        <w:ind w:firstLine="600" w:firstLineChars="200"/>
        <w:rPr>
          <w:rFonts w:hint="eastAsia" w:eastAsia="仿宋_GB2312"/>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指标1：路灯电费，指标值：</w:t>
      </w:r>
      <w:r>
        <w:rPr>
          <w:rFonts w:hint="eastAsia"/>
          <w:color w:val="auto"/>
          <w:lang w:val="en-US" w:eastAsia="zh-CN"/>
        </w:rPr>
        <w:t>≤45万元</w:t>
      </w:r>
      <w:r>
        <w:rPr>
          <w:rFonts w:hint="eastAsia"/>
          <w:color w:val="auto"/>
        </w:rPr>
        <w:t>，实际完成值</w:t>
      </w:r>
      <w:r>
        <w:rPr>
          <w:rFonts w:hint="eastAsia"/>
          <w:color w:val="auto"/>
          <w:lang w:val="en-US" w:eastAsia="zh-CN"/>
        </w:rPr>
        <w:t>45万元</w:t>
      </w:r>
      <w:r>
        <w:rPr>
          <w:rFonts w:hint="eastAsia"/>
          <w:color w:val="auto"/>
        </w:rPr>
        <w:t>，指标完成率</w:t>
      </w:r>
      <w:r>
        <w:rPr>
          <w:rFonts w:hint="eastAsia"/>
          <w:color w:val="auto"/>
          <w:lang w:val="en-US" w:eastAsia="zh-CN"/>
        </w:rPr>
        <w:t>100.00</w:t>
      </w:r>
      <w:r>
        <w:rPr>
          <w:rFonts w:hint="eastAsia"/>
          <w:color w:val="auto"/>
        </w:rPr>
        <w:t>%；指标2：招商专项经费，指标值：</w:t>
      </w:r>
      <w:r>
        <w:rPr>
          <w:rFonts w:hint="eastAsia"/>
          <w:color w:val="auto"/>
          <w:lang w:val="en-US" w:eastAsia="zh-CN"/>
        </w:rPr>
        <w:t>≤30万元</w:t>
      </w:r>
      <w:r>
        <w:rPr>
          <w:rFonts w:hint="eastAsia"/>
          <w:color w:val="auto"/>
        </w:rPr>
        <w:t>，实际完成值</w:t>
      </w:r>
      <w:r>
        <w:rPr>
          <w:rFonts w:hint="eastAsia"/>
          <w:color w:val="auto"/>
          <w:lang w:val="en-US" w:eastAsia="zh-CN"/>
        </w:rPr>
        <w:t>30万元</w:t>
      </w:r>
      <w:r>
        <w:rPr>
          <w:rFonts w:hint="eastAsia"/>
          <w:color w:val="auto"/>
        </w:rPr>
        <w:t>，指标完成率</w:t>
      </w:r>
      <w:r>
        <w:rPr>
          <w:rFonts w:hint="eastAsia"/>
          <w:color w:val="auto"/>
          <w:lang w:val="en-US" w:eastAsia="zh-CN"/>
        </w:rPr>
        <w:t>100.00</w:t>
      </w:r>
      <w:r>
        <w:rPr>
          <w:rFonts w:hint="eastAsia"/>
          <w:color w:val="auto"/>
        </w:rPr>
        <w:t>%。</w:t>
      </w:r>
    </w:p>
    <w:p>
      <w:pPr>
        <w:pStyle w:val="4"/>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rFonts w:hint="eastAsia" w:eastAsia="仿宋_GB2312"/>
          <w:lang w:eastAsia="zh-CN"/>
        </w:rPr>
      </w:pPr>
      <w:r>
        <w:rPr>
          <w:rFonts w:hint="eastAsia"/>
          <w:color w:val="auto"/>
          <w:lang w:val="en-US" w:eastAsia="zh-CN"/>
        </w:rPr>
        <w:t>1.</w:t>
      </w:r>
      <w:r>
        <w:rPr>
          <w:rFonts w:hint="eastAsia"/>
          <w:color w:val="auto"/>
        </w:rPr>
        <w:t>社会效益指标：指标1：项目收益人数，指标值：</w:t>
      </w:r>
      <w:r>
        <w:rPr>
          <w:rFonts w:hint="eastAsia"/>
          <w:color w:val="auto"/>
          <w:lang w:val="en-US" w:eastAsia="zh-CN"/>
        </w:rPr>
        <w:t>≥3万人</w:t>
      </w:r>
      <w:r>
        <w:rPr>
          <w:rFonts w:hint="eastAsia"/>
          <w:color w:val="auto"/>
        </w:rPr>
        <w:t>，实际完成值</w:t>
      </w:r>
      <w:r>
        <w:rPr>
          <w:rFonts w:hint="eastAsia"/>
          <w:color w:val="auto"/>
          <w:lang w:val="en-US" w:eastAsia="zh-CN"/>
        </w:rPr>
        <w:t>3万人</w:t>
      </w:r>
      <w:r>
        <w:rPr>
          <w:rFonts w:hint="eastAsia"/>
          <w:color w:val="auto"/>
        </w:rPr>
        <w:t>，指标完成率</w:t>
      </w:r>
      <w:r>
        <w:rPr>
          <w:rFonts w:hint="eastAsia"/>
          <w:color w:val="auto"/>
          <w:lang w:val="en-US" w:eastAsia="zh-CN"/>
        </w:rPr>
        <w:t>100.00</w:t>
      </w:r>
      <w:r>
        <w:rPr>
          <w:rFonts w:hint="eastAsia"/>
          <w:color w:val="auto"/>
        </w:rPr>
        <w:t>%；指标2：改善园区招商引资环境，指标值：</w:t>
      </w:r>
      <w:r>
        <w:rPr>
          <w:rFonts w:hint="eastAsia"/>
          <w:color w:val="auto"/>
          <w:lang w:val="en-US" w:eastAsia="zh-CN"/>
        </w:rPr>
        <w:t>有效改善</w:t>
      </w:r>
      <w:r>
        <w:rPr>
          <w:rFonts w:hint="eastAsia"/>
          <w:color w:val="auto"/>
        </w:rPr>
        <w:t>，实际完成值</w:t>
      </w:r>
      <w:r>
        <w:rPr>
          <w:rFonts w:hint="eastAsia"/>
          <w:color w:val="auto"/>
          <w:lang w:val="en-US" w:eastAsia="zh-CN"/>
        </w:rPr>
        <w:t>有效改善</w:t>
      </w:r>
      <w:r>
        <w:rPr>
          <w:rFonts w:hint="eastAsia"/>
          <w:color w:val="auto"/>
        </w:rPr>
        <w:t>，指标完成率</w:t>
      </w:r>
      <w:r>
        <w:rPr>
          <w:rFonts w:hint="eastAsia"/>
          <w:color w:val="auto"/>
          <w:lang w:val="en-US" w:eastAsia="zh-CN"/>
        </w:rPr>
        <w:t>100.00</w:t>
      </w:r>
      <w:r>
        <w:rPr>
          <w:rFonts w:hint="eastAsia"/>
          <w:color w:val="auto"/>
        </w:rPr>
        <w:t>%。</w:t>
      </w:r>
    </w:p>
    <w:p>
      <w:pPr>
        <w:spacing w:line="360" w:lineRule="auto"/>
        <w:ind w:firstLine="600" w:firstLineChars="200"/>
        <w:rPr>
          <w:rFonts w:hint="eastAsia" w:eastAsia="仿宋_GB2312"/>
          <w:lang w:eastAsia="zh-CN"/>
        </w:rPr>
      </w:pPr>
      <w:r>
        <w:rPr>
          <w:rFonts w:hint="eastAsia"/>
          <w:color w:val="auto"/>
          <w:lang w:val="en-US" w:eastAsia="zh-CN"/>
        </w:rPr>
        <w:t>2.</w:t>
      </w:r>
      <w:r>
        <w:rPr>
          <w:rFonts w:hint="eastAsia"/>
          <w:color w:val="auto"/>
        </w:rPr>
        <w:t>满意度指标：指标1：受益企业满意度，指标值：</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100.00</w:t>
      </w:r>
      <w:r>
        <w:rPr>
          <w:rFonts w:hint="eastAsia"/>
          <w:color w:val="auto"/>
        </w:rPr>
        <w:t>%；指标2：受益镇区居民满意度，指标值：</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100.00</w:t>
      </w:r>
      <w:r>
        <w:rPr>
          <w:rFonts w:hint="eastAsia"/>
          <w:color w:val="auto"/>
        </w:rPr>
        <w:t>%。</w:t>
      </w:r>
    </w:p>
    <w:p>
      <w:pPr>
        <w:pStyle w:val="3"/>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4"/>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numPr>
          <w:ilvl w:val="0"/>
          <w:numId w:val="0"/>
        </w:numPr>
        <w:spacing w:line="240" w:lineRule="auto"/>
        <w:ind w:firstLine="640" w:firstLineChars="200"/>
        <w:rPr>
          <w:rFonts w:hint="eastAsia"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预算编制前期根据专项资金安排</w:t>
      </w:r>
      <w:r>
        <w:rPr>
          <w:rFonts w:hint="eastAsia" w:ascii="仿宋_GB2312" w:hAnsiTheme="majorHAnsi" w:cstheme="majorBidi"/>
          <w:b w:val="0"/>
          <w:bCs w:val="0"/>
          <w:kern w:val="2"/>
          <w:sz w:val="32"/>
          <w:szCs w:val="32"/>
          <w:lang w:val="en-US" w:eastAsia="zh-CN" w:bidi="ar-SA"/>
        </w:rPr>
        <w:t>的</w:t>
      </w:r>
      <w:r>
        <w:rPr>
          <w:rFonts w:hint="eastAsia" w:ascii="仿宋_GB2312" w:eastAsia="仿宋_GB2312" w:hAnsiTheme="majorHAnsi" w:cstheme="majorBidi"/>
          <w:b w:val="0"/>
          <w:bCs w:val="0"/>
          <w:kern w:val="2"/>
          <w:sz w:val="32"/>
          <w:szCs w:val="32"/>
          <w:lang w:val="en-US" w:eastAsia="zh-CN" w:bidi="ar-SA"/>
        </w:rPr>
        <w:t>项目要求，开展了项目前期绩效评估工作，制定了项目实施工作方案；依据项目实施可预见的工作任务，确定了项目年度预算绩效目标，建立了细化量化的指标体系，细化了预算绩效目标的三级指标，增强了项目预算绩效管理的科学性和公正性。</w:t>
      </w:r>
    </w:p>
    <w:p>
      <w:pPr>
        <w:rPr>
          <w:color w:val="FF0000"/>
        </w:rPr>
      </w:pPr>
    </w:p>
    <w:p>
      <w:pPr>
        <w:pStyle w:val="4"/>
        <w:spacing w:line="360" w:lineRule="auto"/>
        <w:rPr>
          <w:rFonts w:hint="eastAsia" w:ascii="仿宋_GB2312" w:eastAsia="仿宋_GB2312"/>
          <w:b w:val="0"/>
          <w:bCs w:val="0"/>
        </w:rPr>
      </w:pPr>
      <w:bookmarkStart w:id="18" w:name="_Toc68703844"/>
      <w:r>
        <w:rPr>
          <w:rFonts w:hint="eastAsia" w:ascii="仿宋_GB2312" w:eastAsia="仿宋_GB2312"/>
          <w:b w:val="0"/>
          <w:bCs w:val="0"/>
        </w:rPr>
        <w:t>（二）存在的问题及原因分析</w:t>
      </w:r>
      <w:bookmarkEnd w:id="18"/>
    </w:p>
    <w:p>
      <w:pPr>
        <w:spacing w:line="360" w:lineRule="auto"/>
        <w:ind w:firstLine="600" w:firstLineChars="200"/>
        <w:rPr>
          <w:rFonts w:hint="eastAsia"/>
          <w:color w:val="auto"/>
          <w:lang w:val="en-US" w:eastAsia="zh-CN"/>
        </w:rPr>
      </w:pPr>
      <w:bookmarkStart w:id="19" w:name="_Toc68703845"/>
      <w:r>
        <w:rPr>
          <w:rFonts w:hint="eastAsia"/>
          <w:color w:val="auto"/>
          <w:lang w:val="en-US" w:eastAsia="zh-CN"/>
        </w:rPr>
        <w:t>1、对绩效目标申报不够重视，绩效目标设置量化程度进一步提高。</w:t>
      </w:r>
    </w:p>
    <w:p>
      <w:pPr>
        <w:spacing w:line="360" w:lineRule="auto"/>
        <w:ind w:firstLine="600" w:firstLineChars="200"/>
        <w:rPr>
          <w:rFonts w:hint="eastAsia"/>
          <w:color w:val="auto"/>
          <w:lang w:val="en-US" w:eastAsia="zh-CN"/>
        </w:rPr>
      </w:pPr>
      <w:r>
        <w:rPr>
          <w:rFonts w:hint="eastAsia"/>
          <w:color w:val="auto"/>
          <w:lang w:val="en-US" w:eastAsia="zh-CN"/>
        </w:rPr>
        <w:t>2、工作人员绩效观念模糊，绩效评价工作有待进一步加强和提高。</w:t>
      </w:r>
    </w:p>
    <w:p>
      <w:pPr>
        <w:spacing w:line="360" w:lineRule="auto"/>
        <w:ind w:firstLine="600" w:firstLineChars="200"/>
        <w:rPr>
          <w:rFonts w:hint="eastAsia"/>
          <w:color w:val="auto"/>
          <w:lang w:val="en-US" w:eastAsia="zh-CN"/>
        </w:rPr>
      </w:pPr>
      <w:r>
        <w:rPr>
          <w:rFonts w:hint="eastAsia"/>
          <w:color w:val="auto"/>
          <w:lang w:val="en-US" w:eastAsia="zh-CN"/>
        </w:rPr>
        <w:t>3、财政支出绩效管理工作还有待进一步提高。</w:t>
      </w:r>
    </w:p>
    <w:p>
      <w:pPr>
        <w:pStyle w:val="3"/>
        <w:spacing w:line="360" w:lineRule="auto"/>
        <w:rPr>
          <w:rFonts w:hint="eastAsia" w:ascii="宋体" w:hAnsi="宋体" w:eastAsia="宋体"/>
          <w:sz w:val="32"/>
          <w:szCs w:val="32"/>
        </w:rPr>
      </w:pPr>
      <w:r>
        <w:rPr>
          <w:rFonts w:hint="eastAsia" w:ascii="宋体" w:hAnsi="宋体" w:eastAsia="宋体"/>
          <w:sz w:val="32"/>
          <w:szCs w:val="32"/>
        </w:rPr>
        <w:t>六、有关建议</w:t>
      </w:r>
      <w:bookmarkEnd w:id="19"/>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政策制度方面，部门和单位主要负责同志对本部门本单位预算绩效负责，切实履行内部控制建设的主体责任，结合自身工作实际，加快建立健全科学高效的绩效管理内部管理制度建设，强化对预算执行层面和业务开展的内部流程控制，促进霍城经济开发区经济高质量发展。</w:t>
      </w:r>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项目管理方面，严格按照实施计划开展工作，确保本项目能够严格按照计划高质量完成相关工作。</w:t>
      </w:r>
      <w:bookmarkStart w:id="20" w:name="_Toc68703846"/>
    </w:p>
    <w:p>
      <w:pPr>
        <w:pStyle w:val="3"/>
        <w:spacing w:line="360" w:lineRule="auto"/>
        <w:rPr>
          <w:rFonts w:hint="eastAsia" w:ascii="宋体" w:hAnsi="宋体" w:eastAsia="宋体"/>
          <w:sz w:val="32"/>
          <w:szCs w:val="32"/>
        </w:rPr>
      </w:pPr>
      <w:r>
        <w:rPr>
          <w:rFonts w:hint="eastAsia" w:ascii="宋体" w:hAnsi="宋体" w:eastAsia="宋体"/>
          <w:sz w:val="32"/>
          <w:szCs w:val="32"/>
        </w:rPr>
        <w:t>七、其他需要说明的问题</w:t>
      </w:r>
      <w:bookmarkEnd w:id="20"/>
    </w:p>
    <w:p>
      <w:pPr>
        <w:spacing w:line="360" w:lineRule="auto"/>
        <w:rPr>
          <w:rFonts w:hint="eastAsia" w:eastAsia="仿宋_GB2312"/>
          <w:color w:val="auto"/>
          <w:lang w:eastAsia="zh-CN"/>
        </w:rPr>
      </w:pPr>
      <w:r>
        <w:rPr>
          <w:rFonts w:hint="eastAsia"/>
          <w:color w:val="auto"/>
          <w:lang w:val="en-US"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7D49C5"/>
    <w:rsid w:val="000D63FA"/>
    <w:rsid w:val="005B64E8"/>
    <w:rsid w:val="00614288"/>
    <w:rsid w:val="00792CFE"/>
    <w:rsid w:val="007D49C5"/>
    <w:rsid w:val="008175E0"/>
    <w:rsid w:val="008C631D"/>
    <w:rsid w:val="00A114ED"/>
    <w:rsid w:val="00B24331"/>
    <w:rsid w:val="05992F02"/>
    <w:rsid w:val="0A2A48E2"/>
    <w:rsid w:val="0D89157A"/>
    <w:rsid w:val="0F2A6BF7"/>
    <w:rsid w:val="0F8F5AEB"/>
    <w:rsid w:val="10787E48"/>
    <w:rsid w:val="139B7E45"/>
    <w:rsid w:val="168633E7"/>
    <w:rsid w:val="171463E5"/>
    <w:rsid w:val="1A546F92"/>
    <w:rsid w:val="1B614417"/>
    <w:rsid w:val="208A5C88"/>
    <w:rsid w:val="241E6047"/>
    <w:rsid w:val="2DD04CF1"/>
    <w:rsid w:val="338C4601"/>
    <w:rsid w:val="340A7571"/>
    <w:rsid w:val="35DD69EA"/>
    <w:rsid w:val="36B72533"/>
    <w:rsid w:val="3DB36958"/>
    <w:rsid w:val="3EB4107A"/>
    <w:rsid w:val="400464D2"/>
    <w:rsid w:val="4057649F"/>
    <w:rsid w:val="48E5199C"/>
    <w:rsid w:val="495A175F"/>
    <w:rsid w:val="4B072BFD"/>
    <w:rsid w:val="4B973541"/>
    <w:rsid w:val="4CA135DC"/>
    <w:rsid w:val="4D1779DF"/>
    <w:rsid w:val="50D93271"/>
    <w:rsid w:val="551A6479"/>
    <w:rsid w:val="56796849"/>
    <w:rsid w:val="572E193B"/>
    <w:rsid w:val="59647BAF"/>
    <w:rsid w:val="597579D4"/>
    <w:rsid w:val="5DA95371"/>
    <w:rsid w:val="6B531BB8"/>
    <w:rsid w:val="6B9B4A14"/>
    <w:rsid w:val="6C654E2B"/>
    <w:rsid w:val="6EC027CC"/>
    <w:rsid w:val="716862D4"/>
    <w:rsid w:val="7C0E2E70"/>
    <w:rsid w:val="7CBB38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rPr>
  </w:style>
  <w:style w:type="character" w:customStyle="1" w:styleId="12">
    <w:name w:val="标题 1 Char"/>
    <w:basedOn w:val="10"/>
    <w:link w:val="3"/>
    <w:qFormat/>
    <w:uiPriority w:val="9"/>
    <w:rPr>
      <w:rFonts w:ascii="Times New Roman" w:hAnsi="Times New Roman" w:eastAsia="仿宋_GB2312" w:cs="Times New Roman"/>
      <w:b/>
      <w:bCs/>
      <w:kern w:val="44"/>
      <w:sz w:val="44"/>
      <w:szCs w:val="44"/>
    </w:rPr>
  </w:style>
  <w:style w:type="character" w:customStyle="1" w:styleId="13">
    <w:name w:val="标题 2 Char"/>
    <w:basedOn w:val="10"/>
    <w:link w:val="4"/>
    <w:qFormat/>
    <w:uiPriority w:val="9"/>
    <w:rPr>
      <w:rFonts w:asciiTheme="majorHAnsi" w:hAnsiTheme="majorHAnsi" w:eastAsiaTheme="majorEastAsia" w:cstheme="majorBidi"/>
      <w:b/>
      <w:bCs/>
      <w:sz w:val="32"/>
      <w:szCs w:val="32"/>
    </w:rPr>
  </w:style>
  <w:style w:type="paragraph" w:customStyle="1" w:styleId="14">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5">
    <w:name w:val="页眉 Char"/>
    <w:basedOn w:val="10"/>
    <w:link w:val="6"/>
    <w:semiHidden/>
    <w:qFormat/>
    <w:uiPriority w:val="99"/>
    <w:rPr>
      <w:rFonts w:ascii="Times New Roman" w:hAnsi="Times New Roman" w:eastAsia="仿宋_GB2312" w:cs="Times New Roman"/>
      <w:sz w:val="18"/>
      <w:szCs w:val="18"/>
    </w:rPr>
  </w:style>
  <w:style w:type="character" w:customStyle="1" w:styleId="16">
    <w:name w:val="页脚 Char"/>
    <w:basedOn w:val="10"/>
    <w:link w:val="5"/>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5231</Words>
  <Characters>5478</Characters>
  <Lines>37</Lines>
  <Paragraphs>10</Paragraphs>
  <TotalTime>7</TotalTime>
  <ScaleCrop>false</ScaleCrop>
  <LinksUpToDate>false</LinksUpToDate>
  <CharactersWithSpaces>5483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2023-09-06T04:57:10Z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E736D6240DFC4E6698A79FA7BBBFAF89</vt:lpwstr>
  </property>
</Properties>
</file>