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48"/>
          <w:szCs w:val="48"/>
        </w:rPr>
      </w:pPr>
      <w:bookmarkStart w:id="21" w:name="_GoBack"/>
      <w:bookmarkEnd w:id="21"/>
    </w:p>
    <w:p>
      <w:pPr>
        <w:jc w:val="center"/>
        <w:rPr>
          <w:rFonts w:ascii="宋体" w:hAnsi="宋体" w:eastAsia="宋体" w:cs="Arial"/>
          <w:b/>
          <w:bCs/>
          <w:color w:val="auto"/>
          <w:sz w:val="48"/>
          <w:szCs w:val="48"/>
        </w:rPr>
      </w:pPr>
    </w:p>
    <w:p>
      <w:pPr>
        <w:jc w:val="center"/>
        <w:rPr>
          <w:rFonts w:ascii="宋体" w:hAnsi="宋体" w:eastAsia="宋体" w:cs="Arial"/>
          <w:b/>
          <w:bCs/>
          <w:color w:val="auto"/>
          <w:sz w:val="48"/>
          <w:szCs w:val="48"/>
        </w:rPr>
      </w:pPr>
    </w:p>
    <w:p>
      <w:pPr>
        <w:jc w:val="center"/>
        <w:rPr>
          <w:rFonts w:ascii="宋体" w:hAnsi="宋体" w:eastAsia="宋体" w:cs="Arial"/>
          <w:b/>
          <w:bCs/>
          <w:color w:val="auto"/>
          <w:sz w:val="52"/>
          <w:szCs w:val="52"/>
        </w:rPr>
      </w:pPr>
      <w:r>
        <w:rPr>
          <w:rFonts w:hint="eastAsia" w:ascii="宋体" w:hAnsi="宋体" w:eastAsia="宋体" w:cs="Arial"/>
          <w:b/>
          <w:bCs/>
          <w:color w:val="auto"/>
          <w:sz w:val="52"/>
          <w:szCs w:val="52"/>
        </w:rPr>
        <w:t>项目支出绩效评价报告</w:t>
      </w:r>
    </w:p>
    <w:p>
      <w:pPr>
        <w:jc w:val="center"/>
        <w:rPr>
          <w:rFonts w:ascii="宋体" w:hAnsi="宋体" w:eastAsia="宋体" w:cs="Arial"/>
          <w:b/>
          <w:bCs/>
          <w:color w:val="auto"/>
          <w:sz w:val="48"/>
          <w:szCs w:val="48"/>
        </w:rPr>
      </w:pPr>
    </w:p>
    <w:p>
      <w:pPr>
        <w:widowControl/>
        <w:spacing w:line="560" w:lineRule="exact"/>
        <w:jc w:val="center"/>
        <w:rPr>
          <w:rFonts w:ascii="仿宋_GB2312" w:hAnsi="仿宋_GB2312" w:cs="仿宋_GB2312"/>
          <w:b/>
          <w:color w:val="auto"/>
          <w:kern w:val="0"/>
          <w:sz w:val="50"/>
          <w:szCs w:val="50"/>
          <w:lang w:bidi="en-US"/>
        </w:rPr>
      </w:pPr>
      <w:r>
        <w:rPr>
          <w:rFonts w:hint="eastAsia" w:ascii="红豆小标宋简体" w:hAnsi="红豆小标宋简体" w:eastAsia="红豆小标宋简体" w:cs="红豆小标宋简体"/>
          <w:color w:val="auto"/>
          <w:kern w:val="0"/>
          <w:sz w:val="36"/>
          <w:szCs w:val="36"/>
        </w:rPr>
        <w:t>（2</w:t>
      </w:r>
      <w:r>
        <w:rPr>
          <w:rFonts w:ascii="红豆小标宋简体" w:hAnsi="红豆小标宋简体" w:eastAsia="红豆小标宋简体" w:cs="红豆小标宋简体"/>
          <w:color w:val="auto"/>
          <w:kern w:val="0"/>
          <w:sz w:val="36"/>
          <w:szCs w:val="36"/>
        </w:rPr>
        <w:t>02</w:t>
      </w:r>
      <w:r>
        <w:rPr>
          <w:rFonts w:hint="eastAsia" w:ascii="红豆小标宋简体" w:hAnsi="红豆小标宋简体" w:eastAsia="红豆小标宋简体" w:cs="红豆小标宋简体"/>
          <w:color w:val="auto"/>
          <w:kern w:val="0"/>
          <w:sz w:val="36"/>
          <w:szCs w:val="36"/>
          <w:lang w:val="en-US" w:eastAsia="zh-CN"/>
        </w:rPr>
        <w:t>2</w:t>
      </w:r>
      <w:r>
        <w:rPr>
          <w:rFonts w:hint="eastAsia" w:ascii="红豆小标宋简体" w:hAnsi="红豆小标宋简体" w:eastAsia="红豆小标宋简体" w:cs="红豆小标宋简体"/>
          <w:color w:val="auto"/>
          <w:kern w:val="0"/>
          <w:sz w:val="36"/>
          <w:szCs w:val="36"/>
        </w:rPr>
        <w:t>年度）</w:t>
      </w: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560" w:lineRule="exact"/>
        <w:ind w:firstLine="321" w:firstLineChars="100"/>
        <w:rPr>
          <w:rFonts w:hint="eastAsia" w:ascii="宋体" w:hAnsi="宋体" w:eastAsia="宋体" w:cs="仿宋_GB2312"/>
          <w:color w:val="auto"/>
          <w:kern w:val="0"/>
          <w:sz w:val="32"/>
          <w:szCs w:val="32"/>
          <w:lang w:val="en-US" w:eastAsia="zh-CN"/>
        </w:rPr>
      </w:pPr>
      <w:r>
        <w:rPr>
          <w:rFonts w:hint="eastAsia" w:ascii="宋体" w:hAnsi="宋体" w:eastAsia="宋体" w:cs="仿宋_GB2312"/>
          <w:b/>
          <w:bCs/>
          <w:color w:val="auto"/>
          <w:kern w:val="0"/>
          <w:sz w:val="32"/>
          <w:szCs w:val="32"/>
        </w:rPr>
        <w:t>项目名称：</w:t>
      </w:r>
      <w:r>
        <w:rPr>
          <w:rFonts w:hint="eastAsia" w:ascii="宋体" w:hAnsi="宋体" w:eastAsia="宋体" w:cs="仿宋_GB2312"/>
          <w:color w:val="auto"/>
          <w:kern w:val="0"/>
          <w:sz w:val="32"/>
          <w:szCs w:val="32"/>
          <w:lang w:val="en-US" w:eastAsia="zh-CN"/>
        </w:rPr>
        <w:t>霍城县水定镇综合服务中心建设项目</w:t>
      </w:r>
    </w:p>
    <w:p>
      <w:pPr>
        <w:spacing w:line="560" w:lineRule="exact"/>
        <w:ind w:firstLine="321" w:firstLineChars="100"/>
        <w:rPr>
          <w:rFonts w:hint="default"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rPr>
        <w:t>实施单位（公章）：</w:t>
      </w:r>
      <w:r>
        <w:rPr>
          <w:rFonts w:hint="eastAsia" w:ascii="宋体" w:hAnsi="宋体" w:eastAsia="宋体" w:cs="仿宋_GB2312"/>
          <w:b w:val="0"/>
          <w:bCs w:val="0"/>
          <w:color w:val="auto"/>
          <w:kern w:val="0"/>
          <w:sz w:val="32"/>
          <w:szCs w:val="32"/>
          <w:lang w:val="en-US" w:eastAsia="zh-CN"/>
        </w:rPr>
        <w:t>霍城县水定镇人民政府</w:t>
      </w:r>
    </w:p>
    <w:p>
      <w:pPr>
        <w:spacing w:line="560" w:lineRule="exact"/>
        <w:ind w:firstLine="321" w:firstLineChars="100"/>
        <w:rPr>
          <w:rFonts w:hint="default"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rPr>
        <w:t>主管部门（公章）：</w:t>
      </w:r>
      <w:r>
        <w:rPr>
          <w:rFonts w:hint="eastAsia" w:ascii="宋体" w:hAnsi="宋体" w:eastAsia="宋体" w:cs="仿宋_GB2312"/>
          <w:b w:val="0"/>
          <w:bCs w:val="0"/>
          <w:color w:val="auto"/>
          <w:kern w:val="0"/>
          <w:sz w:val="32"/>
          <w:szCs w:val="32"/>
          <w:lang w:val="en-US" w:eastAsia="zh-CN"/>
        </w:rPr>
        <w:t>霍城县水定镇人民政府</w:t>
      </w:r>
    </w:p>
    <w:p>
      <w:pPr>
        <w:spacing w:line="560" w:lineRule="exact"/>
        <w:ind w:firstLine="321" w:firstLineChars="100"/>
        <w:rPr>
          <w:rFonts w:hint="eastAsia"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rPr>
        <w:t>项目负责人（签章）：</w:t>
      </w:r>
      <w:r>
        <w:rPr>
          <w:rFonts w:hint="eastAsia" w:ascii="宋体" w:hAnsi="宋体" w:eastAsia="宋体" w:cs="仿宋_GB2312"/>
          <w:b w:val="0"/>
          <w:bCs w:val="0"/>
          <w:color w:val="auto"/>
          <w:kern w:val="0"/>
          <w:sz w:val="32"/>
          <w:szCs w:val="32"/>
          <w:lang w:val="en-US" w:eastAsia="zh-CN"/>
        </w:rPr>
        <w:t>丁大成</w:t>
      </w:r>
    </w:p>
    <w:p>
      <w:pPr>
        <w:spacing w:line="560" w:lineRule="exact"/>
        <w:ind w:firstLine="321" w:firstLineChars="100"/>
        <w:rPr>
          <w:rFonts w:ascii="宋体" w:hAnsi="宋体" w:eastAsia="宋体" w:cs="仿宋_GB2312"/>
          <w:color w:val="auto"/>
          <w:kern w:val="0"/>
          <w:sz w:val="32"/>
          <w:szCs w:val="32"/>
        </w:rPr>
      </w:pPr>
      <w:r>
        <w:rPr>
          <w:rFonts w:hint="eastAsia" w:ascii="宋体" w:hAnsi="宋体" w:eastAsia="宋体" w:cs="仿宋_GB2312"/>
          <w:b/>
          <w:bCs/>
          <w:color w:val="auto"/>
          <w:kern w:val="0"/>
          <w:sz w:val="32"/>
          <w:szCs w:val="32"/>
        </w:rPr>
        <w:t>填报时间：</w:t>
      </w:r>
      <w:r>
        <w:rPr>
          <w:rFonts w:hint="eastAsia" w:ascii="宋体" w:hAnsi="宋体" w:eastAsia="宋体" w:cs="仿宋_GB2312"/>
          <w:color w:val="auto"/>
          <w:kern w:val="0"/>
          <w:sz w:val="32"/>
          <w:szCs w:val="32"/>
        </w:rPr>
        <w:t>202</w:t>
      </w:r>
      <w:r>
        <w:rPr>
          <w:rFonts w:hint="eastAsia" w:ascii="宋体" w:hAnsi="宋体" w:eastAsia="宋体" w:cs="仿宋_GB2312"/>
          <w:color w:val="auto"/>
          <w:kern w:val="0"/>
          <w:sz w:val="32"/>
          <w:szCs w:val="32"/>
          <w:lang w:val="en-US" w:eastAsia="zh-CN"/>
        </w:rPr>
        <w:t>3</w:t>
      </w:r>
      <w:r>
        <w:rPr>
          <w:rFonts w:hint="eastAsia" w:ascii="宋体" w:hAnsi="宋体" w:eastAsia="宋体" w:cs="仿宋_GB2312"/>
          <w:color w:val="auto"/>
          <w:kern w:val="0"/>
          <w:sz w:val="32"/>
          <w:szCs w:val="32"/>
        </w:rPr>
        <w:t xml:space="preserve">年 </w:t>
      </w:r>
      <w:r>
        <w:rPr>
          <w:rFonts w:hint="eastAsia" w:ascii="宋体" w:hAnsi="宋体" w:eastAsia="宋体" w:cs="仿宋_GB2312"/>
          <w:color w:val="auto"/>
          <w:kern w:val="0"/>
          <w:sz w:val="32"/>
          <w:szCs w:val="32"/>
          <w:lang w:val="en-US" w:eastAsia="zh-CN"/>
        </w:rPr>
        <w:t>3</w:t>
      </w:r>
      <w:r>
        <w:rPr>
          <w:rFonts w:hint="eastAsia" w:ascii="宋体" w:hAnsi="宋体" w:eastAsia="宋体" w:cs="仿宋_GB2312"/>
          <w:color w:val="auto"/>
          <w:kern w:val="0"/>
          <w:sz w:val="32"/>
          <w:szCs w:val="32"/>
        </w:rPr>
        <w:t xml:space="preserve">  月  </w:t>
      </w:r>
      <w:r>
        <w:rPr>
          <w:rFonts w:hint="eastAsia" w:ascii="宋体" w:hAnsi="宋体" w:eastAsia="宋体" w:cs="仿宋_GB2312"/>
          <w:color w:val="auto"/>
          <w:kern w:val="0"/>
          <w:sz w:val="32"/>
          <w:szCs w:val="32"/>
          <w:lang w:val="en-US" w:eastAsia="zh-CN"/>
        </w:rPr>
        <w:t>25</w:t>
      </w:r>
      <w:r>
        <w:rPr>
          <w:rFonts w:hint="eastAsia" w:ascii="宋体" w:hAnsi="宋体" w:eastAsia="宋体" w:cs="仿宋_GB2312"/>
          <w:color w:val="auto"/>
          <w:kern w:val="0"/>
          <w:sz w:val="32"/>
          <w:szCs w:val="32"/>
        </w:rPr>
        <w:t xml:space="preserve"> 日</w:t>
      </w:r>
    </w:p>
    <w:p>
      <w:pPr>
        <w:widowControl/>
        <w:jc w:val="left"/>
        <w:rPr>
          <w:rFonts w:ascii="宋体" w:hAnsi="宋体" w:eastAsia="宋体" w:cs="Arial"/>
          <w:b/>
          <w:bCs/>
          <w:color w:val="auto"/>
          <w:sz w:val="36"/>
          <w:szCs w:val="36"/>
        </w:rPr>
      </w:pPr>
      <w:r>
        <w:rPr>
          <w:rFonts w:ascii="宋体" w:hAnsi="宋体" w:eastAsia="宋体" w:cs="Arial"/>
          <w:b/>
          <w:bCs/>
          <w:color w:val="auto"/>
          <w:sz w:val="36"/>
          <w:szCs w:val="36"/>
        </w:rPr>
        <w:br w:type="page"/>
      </w:r>
    </w:p>
    <w:p>
      <w:pPr>
        <w:jc w:val="center"/>
        <w:rPr>
          <w:rFonts w:ascii="仿宋_GB2312"/>
          <w:color w:val="auto"/>
        </w:rPr>
      </w:pPr>
      <w:r>
        <w:rPr>
          <w:rFonts w:hint="eastAsia" w:ascii="宋体" w:hAnsi="宋体" w:eastAsia="宋体" w:cs="Arial"/>
          <w:b/>
          <w:bCs/>
          <w:color w:val="auto"/>
          <w:sz w:val="36"/>
          <w:szCs w:val="36"/>
        </w:rPr>
        <w:t>项目支出</w:t>
      </w:r>
      <w:r>
        <w:rPr>
          <w:rFonts w:ascii="宋体" w:hAnsi="宋体" w:eastAsia="宋体" w:cs="Arial"/>
          <w:b/>
          <w:bCs/>
          <w:color w:val="auto"/>
          <w:sz w:val="36"/>
          <w:szCs w:val="36"/>
        </w:rPr>
        <w:t>绩效</w:t>
      </w:r>
      <w:r>
        <w:rPr>
          <w:rFonts w:hint="eastAsia" w:ascii="宋体" w:hAnsi="宋体" w:eastAsia="宋体" w:cs="Arial"/>
          <w:b/>
          <w:bCs/>
          <w:color w:val="auto"/>
          <w:sz w:val="36"/>
          <w:szCs w:val="36"/>
        </w:rPr>
        <w:t>评价报告</w:t>
      </w:r>
    </w:p>
    <w:p>
      <w:pPr>
        <w:pStyle w:val="5"/>
        <w:spacing w:line="360" w:lineRule="auto"/>
        <w:rPr>
          <w:rFonts w:ascii="宋体" w:hAnsi="宋体" w:eastAsia="宋体"/>
          <w:color w:val="auto"/>
          <w:sz w:val="32"/>
          <w:szCs w:val="32"/>
        </w:rPr>
      </w:pPr>
      <w:bookmarkStart w:id="0" w:name="_Toc68703827"/>
      <w:r>
        <w:rPr>
          <w:rFonts w:hint="eastAsia" w:ascii="宋体" w:hAnsi="宋体" w:eastAsia="宋体"/>
          <w:color w:val="auto"/>
          <w:sz w:val="32"/>
          <w:szCs w:val="32"/>
        </w:rPr>
        <w:t>一、基本情况</w:t>
      </w:r>
      <w:bookmarkEnd w:id="0"/>
    </w:p>
    <w:p>
      <w:pPr>
        <w:pStyle w:val="6"/>
        <w:spacing w:line="360" w:lineRule="auto"/>
        <w:rPr>
          <w:rFonts w:hint="eastAsia" w:ascii="仿宋_GB2312" w:eastAsia="仿宋_GB2312"/>
          <w:b w:val="0"/>
          <w:bCs w:val="0"/>
          <w:color w:val="auto"/>
        </w:rPr>
      </w:pPr>
      <w:bookmarkStart w:id="1" w:name="_Toc68703828"/>
      <w:r>
        <w:rPr>
          <w:rFonts w:hint="eastAsia" w:ascii="仿宋_GB2312" w:eastAsia="仿宋_GB2312"/>
          <w:b w:val="0"/>
          <w:bCs w:val="0"/>
          <w:color w:val="auto"/>
        </w:rPr>
        <w:t>（一）项目概况。</w:t>
      </w:r>
      <w:bookmarkEnd w:id="1"/>
    </w:p>
    <w:p>
      <w:pPr>
        <w:spacing w:line="360" w:lineRule="auto"/>
        <w:ind w:firstLine="600" w:firstLineChars="200"/>
        <w:rPr>
          <w:rFonts w:hint="eastAsia" w:ascii="仿宋_GB2312"/>
          <w:color w:val="auto"/>
        </w:rPr>
      </w:pPr>
      <w:r>
        <w:rPr>
          <w:rFonts w:hint="eastAsia" w:ascii="仿宋_GB2312"/>
          <w:color w:val="auto"/>
        </w:rPr>
        <w:t>1</w:t>
      </w:r>
      <w:r>
        <w:rPr>
          <w:rFonts w:hint="eastAsia" w:ascii="仿宋_GB2312"/>
          <w:color w:val="auto"/>
          <w:lang w:val="en-US" w:eastAsia="zh-CN"/>
        </w:rPr>
        <w:t>.</w:t>
      </w:r>
      <w:r>
        <w:rPr>
          <w:rFonts w:hint="eastAsia" w:ascii="仿宋_GB2312"/>
          <w:color w:val="auto"/>
        </w:rPr>
        <w:t>项目背景</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_GB2312"/>
          <w:color w:val="0000FF"/>
        </w:rPr>
      </w:pPr>
      <w:r>
        <w:rPr>
          <w:rFonts w:hint="eastAsia"/>
          <w:lang w:val="en-US" w:eastAsia="zh-CN"/>
        </w:rPr>
        <w:t>综合</w:t>
      </w:r>
      <w:r>
        <w:rPr>
          <w:rFonts w:hint="eastAsia"/>
        </w:rPr>
        <w:t>服务中心就是将政府职能转到经济调节、市场监管、社会管理和公共</w:t>
      </w:r>
      <w:r>
        <w:rPr>
          <w:rFonts w:hint="eastAsia"/>
          <w:lang w:val="en-US" w:eastAsia="zh-CN"/>
        </w:rPr>
        <w:t>服务</w:t>
      </w:r>
      <w:r>
        <w:rPr>
          <w:rFonts w:hint="eastAsia"/>
        </w:rPr>
        <w:t>上来，提高办事效率，降低单位成本，形成行为规范、运转协调、公正透明、廉洁高效的行政管理体制。建立便民服务中心是转变政府职能，打造服务型政府，改革管理体制的有益探索,也是提高行政效能，增强</w:t>
      </w:r>
      <w:r>
        <w:rPr>
          <w:rFonts w:hint="eastAsia"/>
          <w:lang w:val="en-US" w:eastAsia="zh-CN"/>
        </w:rPr>
        <w:t>政府公信力的重要举措。乡镇综合</w:t>
      </w:r>
      <w:r>
        <w:rPr>
          <w:rFonts w:hint="eastAsia"/>
        </w:rPr>
        <w:t>服务中心的宗旨就是便民、提高机关效能，提供优质服务，实行“一-站式”办公，阳光操作，规范运行，体现公开、公平、公正的原则，完善政府的社会管理和公共服务职能，提高公共服务质量，乡镇便民服务中心成为党和政府联系群众的纽带，服务群众的窗口，体现党和政府亲民爱民的良好形象。</w:t>
      </w:r>
      <w:r>
        <w:rPr>
          <w:rFonts w:hint="eastAsia" w:ascii="仿宋_GB2312"/>
          <w:color w:val="000000" w:themeColor="text1"/>
          <w14:textFill>
            <w14:solidFill>
              <w14:schemeClr w14:val="tx1"/>
            </w14:solidFill>
          </w14:textFill>
        </w:rPr>
        <w:t>根据县财政局下发《关于下达2022年部门预算指标的通知》（霍财预【2022】1号）文件要求，2022年我镇实施</w:t>
      </w:r>
      <w:r>
        <w:rPr>
          <w:rFonts w:hint="eastAsia" w:ascii="仿宋_GB2312"/>
          <w:color w:val="000000" w:themeColor="text1"/>
          <w:lang w:val="en-US" w:eastAsia="zh-CN"/>
          <w14:textFill>
            <w14:solidFill>
              <w14:schemeClr w14:val="tx1"/>
            </w14:solidFill>
          </w14:textFill>
        </w:rPr>
        <w:t>新建综合服务中心建设</w:t>
      </w:r>
      <w:r>
        <w:rPr>
          <w:rFonts w:hint="eastAsia" w:ascii="仿宋_GB2312"/>
          <w:color w:val="000000" w:themeColor="text1"/>
          <w14:textFill>
            <w14:solidFill>
              <w14:schemeClr w14:val="tx1"/>
            </w14:solidFill>
          </w14:textFill>
        </w:rPr>
        <w:t>项目。</w:t>
      </w:r>
    </w:p>
    <w:p>
      <w:pPr>
        <w:spacing w:line="360" w:lineRule="auto"/>
        <w:ind w:firstLine="600" w:firstLineChars="200"/>
        <w:rPr>
          <w:rFonts w:ascii="仿宋_GB2312"/>
          <w:color w:val="auto"/>
        </w:rPr>
      </w:pPr>
      <w:r>
        <w:rPr>
          <w:rFonts w:hint="eastAsia" w:ascii="仿宋_GB2312"/>
          <w:color w:val="auto"/>
        </w:rPr>
        <w:t>2</w:t>
      </w:r>
      <w:r>
        <w:rPr>
          <w:rFonts w:hint="eastAsia" w:ascii="仿宋_GB2312"/>
          <w:color w:val="auto"/>
          <w:lang w:val="en-US" w:eastAsia="zh-CN"/>
        </w:rPr>
        <w:t>.</w:t>
      </w:r>
      <w:r>
        <w:rPr>
          <w:rFonts w:hint="eastAsia" w:ascii="仿宋_GB2312"/>
          <w:color w:val="auto"/>
        </w:rPr>
        <w:t>主要内容</w:t>
      </w:r>
      <w:r>
        <w:rPr>
          <w:rFonts w:hint="eastAsia"/>
          <w:color w:val="auto"/>
        </w:rPr>
        <w:t>及</w:t>
      </w:r>
      <w:r>
        <w:rPr>
          <w:rFonts w:hint="eastAsia" w:ascii="仿宋_GB2312"/>
          <w:color w:val="auto"/>
        </w:rPr>
        <w:t>实施情况</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default" w:ascii="仿宋_GB2312" w:eastAsia="仿宋_GB2312"/>
          <w:color w:val="auto"/>
          <w:lang w:val="en-US" w:eastAsia="zh-CN"/>
        </w:rPr>
      </w:pPr>
      <w:r>
        <w:rPr>
          <w:rFonts w:hint="eastAsia" w:ascii="仿宋_GB2312"/>
          <w:color w:val="auto"/>
        </w:rPr>
        <w:t>主要内容：</w:t>
      </w:r>
      <w:r>
        <w:rPr>
          <w:rFonts w:hint="eastAsia" w:ascii="仿宋_GB2312"/>
          <w:color w:val="auto"/>
          <w:lang w:eastAsia="zh-CN"/>
        </w:rPr>
        <w:t>新建综合服务中心</w:t>
      </w:r>
      <w:r>
        <w:rPr>
          <w:rFonts w:hint="eastAsia" w:ascii="仿宋_GB2312"/>
          <w:color w:val="auto"/>
          <w:lang w:val="en-US" w:eastAsia="zh-CN"/>
        </w:rPr>
        <w:t>1座，开展便民利民的服务；提供政务信息、便民服务信息等咨询服务，整合资源、完善功能，对群众需要办理、咨询和服务的事项实行“一个大厅”，精简手续程序，公示办事流程，全方位为群众提供服务，建设人民满意的服务型政府。</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default" w:ascii="仿宋_GB2312" w:eastAsia="仿宋_GB2312"/>
          <w:color w:val="auto"/>
          <w:lang w:val="en-US" w:eastAsia="zh-CN"/>
        </w:rPr>
      </w:pPr>
      <w:r>
        <w:rPr>
          <w:rFonts w:hint="eastAsia" w:ascii="仿宋_GB2312"/>
          <w:color w:val="auto"/>
        </w:rPr>
        <w:t>实施情况：</w:t>
      </w:r>
      <w:r>
        <w:rPr>
          <w:rFonts w:hint="eastAsia" w:ascii="仿宋_GB2312"/>
          <w:color w:val="auto"/>
          <w:lang w:val="en-US" w:eastAsia="zh-CN"/>
        </w:rPr>
        <w:t>2022年已完成新建综合服务中心1座，总建筑面积1397平米，地上三层框架结构，每层465平米。</w:t>
      </w:r>
    </w:p>
    <w:p>
      <w:pPr>
        <w:spacing w:line="360" w:lineRule="auto"/>
        <w:ind w:firstLine="600" w:firstLineChars="200"/>
        <w:rPr>
          <w:rFonts w:ascii="仿宋_GB2312"/>
          <w:color w:val="auto"/>
        </w:rPr>
      </w:pPr>
      <w:r>
        <w:rPr>
          <w:rFonts w:ascii="仿宋_GB2312"/>
          <w:color w:val="auto"/>
        </w:rPr>
        <w:t>3</w:t>
      </w:r>
      <w:r>
        <w:rPr>
          <w:rFonts w:hint="eastAsia" w:ascii="仿宋_GB2312"/>
          <w:color w:val="auto"/>
          <w:lang w:val="en-US" w:eastAsia="zh-CN"/>
        </w:rPr>
        <w:t>.</w:t>
      </w:r>
      <w:r>
        <w:rPr>
          <w:rFonts w:hint="eastAsia" w:ascii="仿宋_GB2312"/>
          <w:color w:val="auto"/>
        </w:rPr>
        <w:t>资金投入和使用情况</w:t>
      </w:r>
    </w:p>
    <w:p>
      <w:pPr>
        <w:spacing w:line="360" w:lineRule="auto"/>
        <w:ind w:firstLine="600" w:firstLineChars="200"/>
        <w:rPr>
          <w:color w:val="auto"/>
        </w:rPr>
      </w:pPr>
      <w:r>
        <w:rPr>
          <w:rFonts w:hint="eastAsia"/>
          <w:color w:val="auto"/>
        </w:rPr>
        <w:t>资金投入情况：该项目年初预算数</w:t>
      </w:r>
      <w:r>
        <w:rPr>
          <w:rFonts w:hint="eastAsia"/>
          <w:color w:val="auto"/>
          <w:lang w:val="en-US" w:eastAsia="zh-CN"/>
        </w:rPr>
        <w:t>106.00</w:t>
      </w:r>
      <w:r>
        <w:rPr>
          <w:rFonts w:hint="eastAsia"/>
          <w:color w:val="auto"/>
        </w:rPr>
        <w:t>万元，全年预算数</w:t>
      </w:r>
      <w:r>
        <w:rPr>
          <w:rFonts w:hint="eastAsia"/>
          <w:color w:val="auto"/>
          <w:lang w:val="en-US" w:eastAsia="zh-CN"/>
        </w:rPr>
        <w:t>106.00</w:t>
      </w:r>
      <w:r>
        <w:rPr>
          <w:rFonts w:hint="eastAsia"/>
          <w:color w:val="auto"/>
        </w:rPr>
        <w:t>万元，实际总投入</w:t>
      </w:r>
      <w:r>
        <w:rPr>
          <w:rFonts w:hint="eastAsia"/>
          <w:color w:val="auto"/>
          <w:lang w:val="en-US" w:eastAsia="zh-CN"/>
        </w:rPr>
        <w:t>106.00</w:t>
      </w:r>
      <w:r>
        <w:rPr>
          <w:rFonts w:hint="eastAsia"/>
          <w:color w:val="auto"/>
        </w:rPr>
        <w:t>万元，该项目资金已全部落实到位，资金来源为</w:t>
      </w:r>
      <w:r>
        <w:rPr>
          <w:rFonts w:hint="eastAsia"/>
          <w:color w:val="auto"/>
          <w:lang w:val="en-US" w:eastAsia="zh-CN"/>
        </w:rPr>
        <w:t>财政拨款</w:t>
      </w:r>
      <w:r>
        <w:rPr>
          <w:rFonts w:hint="eastAsia"/>
          <w:color w:val="auto"/>
        </w:rPr>
        <w:t>。</w:t>
      </w:r>
    </w:p>
    <w:p>
      <w:pPr>
        <w:spacing w:line="360" w:lineRule="auto"/>
        <w:ind w:firstLine="600" w:firstLineChars="200"/>
        <w:rPr>
          <w:rFonts w:hint="eastAsia"/>
          <w:color w:val="auto"/>
        </w:rPr>
      </w:pPr>
      <w:r>
        <w:rPr>
          <w:rFonts w:hint="eastAsia"/>
          <w:color w:val="auto"/>
        </w:rPr>
        <w:t>资金使用情况：该项目年初预算数</w:t>
      </w:r>
      <w:r>
        <w:rPr>
          <w:rFonts w:hint="eastAsia"/>
          <w:color w:val="auto"/>
          <w:lang w:val="en-US" w:eastAsia="zh-CN"/>
        </w:rPr>
        <w:t>106.00</w:t>
      </w:r>
      <w:r>
        <w:rPr>
          <w:rFonts w:hint="eastAsia"/>
          <w:color w:val="auto"/>
        </w:rPr>
        <w:t>万元，全年预算数</w:t>
      </w:r>
      <w:r>
        <w:rPr>
          <w:rFonts w:hint="eastAsia"/>
          <w:color w:val="auto"/>
          <w:lang w:val="en-US" w:eastAsia="zh-CN"/>
        </w:rPr>
        <w:t>106.00</w:t>
      </w:r>
      <w:r>
        <w:rPr>
          <w:rFonts w:hint="eastAsia"/>
          <w:color w:val="auto"/>
        </w:rPr>
        <w:t>万元，全年执行数</w:t>
      </w:r>
      <w:r>
        <w:rPr>
          <w:rFonts w:hint="eastAsia"/>
          <w:color w:val="auto"/>
          <w:lang w:val="en-US" w:eastAsia="zh-CN"/>
        </w:rPr>
        <w:t>106.00</w:t>
      </w:r>
      <w:r>
        <w:rPr>
          <w:rFonts w:hint="eastAsia"/>
          <w:color w:val="auto"/>
        </w:rPr>
        <w:t>万元，预算执行率为</w:t>
      </w:r>
      <w:r>
        <w:rPr>
          <w:rFonts w:hint="eastAsia"/>
          <w:color w:val="auto"/>
          <w:lang w:val="en-US" w:eastAsia="zh-CN"/>
        </w:rPr>
        <w:t>100</w:t>
      </w:r>
      <w:r>
        <w:rPr>
          <w:rFonts w:hint="eastAsia"/>
          <w:color w:val="auto"/>
        </w:rPr>
        <w:t>%，用于：</w:t>
      </w:r>
      <w:r>
        <w:rPr>
          <w:rFonts w:hint="eastAsia"/>
          <w:color w:val="auto"/>
          <w:lang w:val="en-US" w:eastAsia="zh-CN"/>
        </w:rPr>
        <w:t>综合服务中心主体建设106.00</w:t>
      </w:r>
      <w:r>
        <w:rPr>
          <w:rFonts w:hint="eastAsia"/>
          <w:color w:val="auto"/>
        </w:rPr>
        <w:t>万元</w:t>
      </w:r>
      <w:r>
        <w:rPr>
          <w:rFonts w:hint="eastAsia"/>
          <w:color w:val="auto"/>
          <w:lang w:val="en-US" w:eastAsia="zh-CN"/>
        </w:rPr>
        <w:t>。</w:t>
      </w:r>
    </w:p>
    <w:p>
      <w:pPr>
        <w:pStyle w:val="6"/>
        <w:spacing w:line="360" w:lineRule="auto"/>
        <w:ind w:firstLine="640" w:firstLineChars="200"/>
        <w:rPr>
          <w:rFonts w:hint="eastAsia" w:ascii="仿宋_GB2312" w:eastAsia="仿宋_GB2312"/>
          <w:b w:val="0"/>
          <w:bCs w:val="0"/>
          <w:color w:val="auto"/>
        </w:rPr>
      </w:pPr>
      <w:bookmarkStart w:id="2" w:name="_Toc68703829"/>
      <w:r>
        <w:rPr>
          <w:rFonts w:hint="eastAsia" w:ascii="仿宋_GB2312" w:eastAsia="仿宋_GB2312"/>
          <w:b w:val="0"/>
          <w:bCs w:val="0"/>
          <w:color w:val="auto"/>
        </w:rPr>
        <w:t>（二）项目绩效目标。</w:t>
      </w:r>
      <w:bookmarkEnd w:id="2"/>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color w:val="auto"/>
        </w:rPr>
      </w:pPr>
      <w:r>
        <w:rPr>
          <w:rFonts w:hint="eastAsia"/>
          <w:color w:val="auto"/>
        </w:rPr>
        <w:t>1</w:t>
      </w:r>
      <w:r>
        <w:rPr>
          <w:rFonts w:hint="eastAsia"/>
          <w:color w:val="auto"/>
          <w:lang w:val="en-US" w:eastAsia="zh-CN"/>
        </w:rPr>
        <w:t>.</w:t>
      </w:r>
      <w:r>
        <w:rPr>
          <w:rFonts w:hint="eastAsia"/>
          <w:color w:val="auto"/>
        </w:rPr>
        <w:t>总体目标：新建水定镇综合服务中心1座。开展便民利民的服务；提供政务信息、便民服务信息等咨询服务，整合资源、完善功能，对群众需要办理、咨询和服务的事项实行“一个大厅”，精简手续程序，公示办事流程，全方位为群众提供服务，建设人民满意的服务型政府。</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default" w:eastAsia="仿宋_GB2312"/>
          <w:color w:val="auto"/>
          <w:lang w:val="en-US" w:eastAsia="zh-CN"/>
        </w:rPr>
      </w:pPr>
      <w:r>
        <w:rPr>
          <w:color w:val="auto"/>
        </w:rPr>
        <w:t>2</w:t>
      </w:r>
      <w:r>
        <w:rPr>
          <w:rFonts w:hint="eastAsia"/>
          <w:color w:val="auto"/>
          <w:lang w:val="en-US" w:eastAsia="zh-CN"/>
        </w:rPr>
        <w:t>.</w:t>
      </w:r>
      <w:r>
        <w:rPr>
          <w:rFonts w:hint="eastAsia"/>
          <w:color w:val="auto"/>
        </w:rPr>
        <w:t>阶段性目标：</w:t>
      </w:r>
      <w:r>
        <w:rPr>
          <w:rFonts w:hint="eastAsia" w:ascii="仿宋_GB2312"/>
          <w:color w:val="auto"/>
          <w:lang w:val="en-US" w:eastAsia="zh-CN"/>
        </w:rPr>
        <w:t>新建综合服务中心1座，总建筑面积1397平米，地上三层框架结构，每层465平米。</w:t>
      </w:r>
    </w:p>
    <w:p>
      <w:pPr>
        <w:pStyle w:val="5"/>
        <w:spacing w:line="360" w:lineRule="auto"/>
        <w:rPr>
          <w:rFonts w:ascii="宋体" w:hAnsi="宋体" w:eastAsia="宋体"/>
          <w:color w:val="auto"/>
          <w:sz w:val="32"/>
          <w:szCs w:val="32"/>
        </w:rPr>
      </w:pPr>
      <w:bookmarkStart w:id="3" w:name="_Toc68703830"/>
      <w:r>
        <w:rPr>
          <w:rFonts w:hint="eastAsia" w:ascii="宋体" w:hAnsi="宋体" w:eastAsia="宋体"/>
          <w:color w:val="auto"/>
          <w:sz w:val="32"/>
          <w:szCs w:val="32"/>
        </w:rPr>
        <w:t>二、绩效评价工作开展情况</w:t>
      </w:r>
      <w:bookmarkEnd w:id="3"/>
    </w:p>
    <w:p>
      <w:pPr>
        <w:pStyle w:val="6"/>
        <w:spacing w:line="360" w:lineRule="auto"/>
        <w:rPr>
          <w:rFonts w:hint="eastAsia" w:ascii="仿宋_GB2312" w:eastAsia="仿宋_GB2312"/>
          <w:b w:val="0"/>
          <w:bCs w:val="0"/>
          <w:color w:val="auto"/>
        </w:rPr>
      </w:pPr>
      <w:bookmarkStart w:id="4" w:name="_Toc68703831"/>
      <w:r>
        <w:rPr>
          <w:rFonts w:hint="eastAsia" w:ascii="仿宋_GB2312" w:eastAsia="仿宋_GB2312"/>
          <w:b w:val="0"/>
          <w:bCs w:val="0"/>
          <w:color w:val="auto"/>
        </w:rPr>
        <w:t>（一）绩效评价目的、对象和范围。</w:t>
      </w:r>
      <w:bookmarkEnd w:id="4"/>
    </w:p>
    <w:p>
      <w:pPr>
        <w:spacing w:line="360" w:lineRule="auto"/>
        <w:ind w:firstLine="600" w:firstLineChars="200"/>
        <w:rPr>
          <w:color w:val="auto"/>
        </w:rPr>
      </w:pPr>
      <w:r>
        <w:rPr>
          <w:rFonts w:hint="eastAsia"/>
          <w:color w:val="auto"/>
        </w:rPr>
        <w:t>1</w:t>
      </w:r>
      <w:r>
        <w:rPr>
          <w:rFonts w:hint="eastAsia"/>
          <w:color w:val="auto"/>
          <w:lang w:val="en-US" w:eastAsia="zh-CN"/>
        </w:rPr>
        <w:t>.</w:t>
      </w:r>
      <w:r>
        <w:rPr>
          <w:rFonts w:hint="eastAsia"/>
          <w:color w:val="auto"/>
        </w:rPr>
        <w:t>绩效评价目的：</w:t>
      </w:r>
    </w:p>
    <w:p>
      <w:pPr>
        <w:spacing w:line="360" w:lineRule="auto"/>
        <w:ind w:firstLine="600" w:firstLineChars="200"/>
        <w:jc w:val="left"/>
        <w:rPr>
          <w:rFonts w:ascii="仿宋_GB2312"/>
          <w:bCs/>
          <w:color w:val="auto"/>
          <w:sz w:val="30"/>
          <w:szCs w:val="30"/>
        </w:rPr>
      </w:pPr>
      <w:r>
        <w:rPr>
          <w:rFonts w:hint="eastAsia" w:ascii="仿宋_GB2312"/>
          <w:bCs/>
          <w:color w:val="auto"/>
          <w:sz w:val="30"/>
          <w:szCs w:val="30"/>
        </w:rPr>
        <w:t>通过绩效评价，客观地评判项目的管理绩效，了解和掌握</w:t>
      </w:r>
      <w:r>
        <w:rPr>
          <w:rFonts w:hint="eastAsia" w:ascii="仿宋_GB2312"/>
          <w:bCs/>
          <w:color w:val="auto"/>
          <w:sz w:val="30"/>
          <w:szCs w:val="30"/>
          <w:lang w:val="en-US" w:eastAsia="zh-CN"/>
        </w:rPr>
        <w:t>霍城县水定镇综合服务中心建设项目</w:t>
      </w:r>
      <w:r>
        <w:rPr>
          <w:rFonts w:hint="eastAsia" w:ascii="仿宋_GB2312"/>
          <w:bCs/>
          <w:color w:val="auto"/>
          <w:sz w:val="30"/>
          <w:szCs w:val="30"/>
        </w:rPr>
        <w:t>经费的具体情况，评价该项目资金安排的科学性、合理性、规范性和资金的使用成效，及时总结项目管理经验，完善项目管理办法，提高项目管理水平和资金使用效益。促使我</w:t>
      </w:r>
      <w:r>
        <w:rPr>
          <w:rFonts w:hint="eastAsia" w:ascii="仿宋_GB2312"/>
          <w:bCs/>
          <w:color w:val="auto"/>
          <w:sz w:val="30"/>
          <w:szCs w:val="30"/>
          <w:lang w:val="en-US" w:eastAsia="zh-CN"/>
        </w:rPr>
        <w:t>单位</w:t>
      </w:r>
      <w:r>
        <w:rPr>
          <w:rFonts w:hint="eastAsia" w:ascii="仿宋_GB2312"/>
          <w:bCs/>
          <w:color w:val="auto"/>
          <w:sz w:val="30"/>
          <w:szCs w:val="30"/>
        </w:rPr>
        <w:t>根据绩效评价中发现的问题，认真加以整改，及时调整和完善单位的工作计划并加强项目</w:t>
      </w:r>
      <w:r>
        <w:rPr>
          <w:rFonts w:hint="eastAsia" w:ascii="仿宋_GB2312"/>
          <w:bCs/>
          <w:color w:val="auto"/>
          <w:sz w:val="30"/>
          <w:szCs w:val="30"/>
          <w:lang w:val="en-US" w:eastAsia="zh-CN"/>
        </w:rPr>
        <w:t>绩效</w:t>
      </w:r>
      <w:r>
        <w:rPr>
          <w:rFonts w:hint="eastAsia" w:ascii="仿宋_GB2312"/>
          <w:bCs/>
          <w:color w:val="auto"/>
          <w:sz w:val="30"/>
          <w:szCs w:val="30"/>
        </w:rPr>
        <w:t>管理，同时为项目后续资金投入、分配和管理提供决策依据。</w:t>
      </w:r>
    </w:p>
    <w:p>
      <w:pPr>
        <w:spacing w:line="360" w:lineRule="auto"/>
        <w:ind w:firstLine="600" w:firstLineChars="200"/>
        <w:jc w:val="left"/>
        <w:rPr>
          <w:color w:val="auto"/>
        </w:rPr>
      </w:pPr>
      <w:r>
        <w:rPr>
          <w:rFonts w:hint="eastAsia"/>
          <w:color w:val="auto"/>
        </w:rPr>
        <w:t>2</w:t>
      </w:r>
      <w:r>
        <w:rPr>
          <w:rFonts w:hint="eastAsia"/>
          <w:color w:val="auto"/>
          <w:lang w:val="en-US" w:eastAsia="zh-CN"/>
        </w:rPr>
        <w:t>.</w:t>
      </w:r>
      <w:r>
        <w:rPr>
          <w:rFonts w:hint="eastAsia"/>
          <w:color w:val="auto"/>
        </w:rPr>
        <w:t>绩效评价对象：</w:t>
      </w:r>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霍城县水定镇综合服务中心建设项目</w:t>
      </w:r>
    </w:p>
    <w:p>
      <w:pPr>
        <w:spacing w:line="360" w:lineRule="auto"/>
        <w:ind w:firstLine="600" w:firstLineChars="200"/>
        <w:rPr>
          <w:color w:val="auto"/>
        </w:rPr>
      </w:pPr>
      <w:r>
        <w:rPr>
          <w:rFonts w:hint="eastAsia"/>
          <w:color w:val="auto"/>
        </w:rPr>
        <w:t>3</w:t>
      </w:r>
      <w:r>
        <w:rPr>
          <w:rFonts w:hint="eastAsia"/>
          <w:color w:val="auto"/>
          <w:lang w:val="en-US" w:eastAsia="zh-CN"/>
        </w:rPr>
        <w:t>.</w:t>
      </w:r>
      <w:r>
        <w:rPr>
          <w:rFonts w:hint="eastAsia"/>
          <w:color w:val="auto"/>
        </w:rPr>
        <w:t>绩效评价范围：</w:t>
      </w:r>
    </w:p>
    <w:p>
      <w:pPr>
        <w:spacing w:line="360" w:lineRule="auto"/>
        <w:ind w:firstLine="600" w:firstLineChars="200"/>
        <w:jc w:val="left"/>
        <w:rPr>
          <w:rFonts w:hint="eastAsia" w:ascii="仿宋_GB2312"/>
          <w:bCs/>
          <w:color w:val="auto"/>
          <w:sz w:val="32"/>
          <w:szCs w:val="32"/>
        </w:rPr>
      </w:pPr>
      <w:r>
        <w:rPr>
          <w:rFonts w:hint="eastAsia" w:ascii="仿宋_GB2312"/>
          <w:bCs/>
          <w:color w:val="auto"/>
          <w:sz w:val="30"/>
          <w:szCs w:val="30"/>
          <w:lang w:val="en-US" w:eastAsia="zh-CN"/>
        </w:rPr>
        <w:t>本次评价从项目决策（包括绩效目标、决策过程）、项目管理（包括项目资金、项目实施）、项目产出（包括项目产出数量、产出质量、产出时效和产出成本）项目效益四个维度进行霍城县水定镇综合服务中心建设项目评价，评价核心为资金的支出完成情况和效果。</w:t>
      </w:r>
    </w:p>
    <w:p>
      <w:pPr>
        <w:pStyle w:val="6"/>
        <w:spacing w:line="360" w:lineRule="auto"/>
        <w:rPr>
          <w:rFonts w:hint="eastAsia" w:ascii="仿宋_GB2312" w:eastAsia="仿宋_GB2312"/>
          <w:b w:val="0"/>
          <w:bCs w:val="0"/>
          <w:color w:val="auto"/>
        </w:rPr>
      </w:pPr>
      <w:bookmarkStart w:id="5" w:name="_Toc68703832"/>
      <w:r>
        <w:rPr>
          <w:rFonts w:hint="eastAsia" w:ascii="仿宋_GB2312" w:eastAsia="仿宋_GB2312"/>
          <w:b w:val="0"/>
          <w:bCs w:val="0"/>
          <w:color w:val="auto"/>
        </w:rPr>
        <w:t>（二）绩效评价原则、评价指标体系、评价方法、评价标准等。</w:t>
      </w:r>
      <w:bookmarkEnd w:id="5"/>
    </w:p>
    <w:p>
      <w:pPr>
        <w:spacing w:line="360" w:lineRule="auto"/>
        <w:ind w:firstLine="600" w:firstLineChars="200"/>
        <w:jc w:val="left"/>
        <w:rPr>
          <w:rFonts w:hint="eastAsia"/>
          <w:color w:val="auto"/>
        </w:rPr>
      </w:pPr>
      <w:r>
        <w:rPr>
          <w:rFonts w:hint="eastAsia"/>
          <w:color w:val="auto"/>
        </w:rPr>
        <w:t>1</w:t>
      </w:r>
      <w:r>
        <w:rPr>
          <w:rFonts w:hint="eastAsia"/>
          <w:color w:val="auto"/>
          <w:lang w:val="en-US" w:eastAsia="zh-CN"/>
        </w:rPr>
        <w:t>.</w:t>
      </w:r>
      <w:r>
        <w:rPr>
          <w:rFonts w:hint="eastAsia"/>
          <w:color w:val="auto"/>
        </w:rPr>
        <w:t>绩效评价原则</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（一）科学公正。本次项目支出绩效评价运用科学合理的方法，按照规范的程序，对项目绩效进行客观、公正的反映。</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（二）统筹兼顾。本次项目支出绩效评价由本单位自主实施，即“谁支出、谁自评”。</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（三）激励约束。本次项目支出绩效评价结果与预算安排、政策调整、改进管理实质性挂钩，体现奖优罚劣和激励相容导向，有效要安排、低效要压减、无效要问责。</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（四）公开透明。本次项目支出绩效评价结果已依法依规公开在霍城县政府网网站上，并自觉接受社会监督。</w:t>
      </w:r>
    </w:p>
    <w:p>
      <w:pPr>
        <w:spacing w:line="360" w:lineRule="auto"/>
        <w:ind w:firstLine="600" w:firstLineChars="200"/>
        <w:jc w:val="left"/>
        <w:rPr>
          <w:rFonts w:hint="eastAsia"/>
          <w:color w:val="auto"/>
        </w:rPr>
      </w:pPr>
      <w:r>
        <w:rPr>
          <w:rFonts w:hint="eastAsia"/>
          <w:color w:val="auto"/>
        </w:rPr>
        <w:t>2、评价指标体系（附表说明）</w:t>
      </w:r>
    </w:p>
    <w:p>
      <w:pPr>
        <w:pStyle w:val="6"/>
        <w:spacing w:before="0" w:after="0" w:line="240" w:lineRule="auto"/>
        <w:jc w:val="center"/>
        <w:rPr>
          <w:rFonts w:ascii="Times New Roman" w:hAnsi="Times New Roman" w:eastAsia="仿宋_GB2312" w:cs="Times New Roman"/>
          <w:b w:val="0"/>
          <w:bCs w:val="0"/>
          <w:color w:val="auto"/>
          <w:sz w:val="30"/>
          <w:szCs w:val="24"/>
        </w:rPr>
      </w:pPr>
      <w:r>
        <w:rPr>
          <w:rFonts w:hint="eastAsia" w:ascii="Times New Roman" w:hAnsi="Times New Roman" w:eastAsia="仿宋_GB2312" w:cs="Times New Roman"/>
          <w:b w:val="0"/>
          <w:bCs w:val="0"/>
          <w:color w:val="auto"/>
          <w:sz w:val="30"/>
          <w:szCs w:val="24"/>
          <w:lang w:val="en-US" w:eastAsia="zh-CN"/>
        </w:rPr>
        <w:t>霍城县水定镇综合服务中心建设项目</w:t>
      </w:r>
      <w:r>
        <w:rPr>
          <w:rFonts w:hint="eastAsia" w:ascii="Times New Roman" w:hAnsi="Times New Roman" w:eastAsia="仿宋_GB2312" w:cs="Times New Roman"/>
          <w:b w:val="0"/>
          <w:bCs w:val="0"/>
          <w:color w:val="auto"/>
          <w:sz w:val="30"/>
          <w:szCs w:val="24"/>
        </w:rPr>
        <w:t>支出绩效评价指标体系</w:t>
      </w:r>
    </w:p>
    <w:tbl>
      <w:tblPr>
        <w:tblStyle w:val="7"/>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分值</w:t>
            </w:r>
          </w:p>
        </w:tc>
        <w:tc>
          <w:tcPr>
            <w:tcW w:w="874" w:type="dxa"/>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立项依据</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立项程序</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绩效指标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资金投入</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预算编制</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资金分配</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资金使用</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组织实施</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管理制度</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制度执行</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w:t>
            </w: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9</w:t>
            </w:r>
          </w:p>
        </w:tc>
        <w:tc>
          <w:tcPr>
            <w:tcW w:w="874" w:type="dxa"/>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7</w:t>
            </w:r>
          </w:p>
        </w:tc>
        <w:tc>
          <w:tcPr>
            <w:tcW w:w="874" w:type="dxa"/>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7</w:t>
            </w:r>
          </w:p>
        </w:tc>
        <w:tc>
          <w:tcPr>
            <w:tcW w:w="874" w:type="dxa"/>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7</w:t>
            </w:r>
          </w:p>
        </w:tc>
        <w:tc>
          <w:tcPr>
            <w:tcW w:w="874" w:type="dxa"/>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b/>
                <w:bCs/>
                <w:color w:val="auto"/>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auto"/>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r>
    </w:tbl>
    <w:p>
      <w:pPr>
        <w:rPr>
          <w:color w:val="auto"/>
        </w:r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rFonts w:hint="eastAsia"/>
          <w:color w:val="auto"/>
        </w:rPr>
      </w:pPr>
      <w:r>
        <w:rPr>
          <w:rFonts w:hint="eastAsia"/>
          <w:color w:val="auto"/>
        </w:rPr>
        <w:t>3、评价方法</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本次项目支出绩效自评采用</w:t>
      </w:r>
      <w:r>
        <w:rPr>
          <w:rFonts w:hint="eastAsia"/>
          <w:bCs/>
          <w:color w:val="auto"/>
          <w:sz w:val="32"/>
          <w:szCs w:val="32"/>
          <w:lang w:eastAsia="zh-CN"/>
        </w:rPr>
        <w:t>比较</w:t>
      </w:r>
      <w:r>
        <w:rPr>
          <w:rFonts w:hint="eastAsia"/>
          <w:bCs/>
          <w:color w:val="auto"/>
          <w:sz w:val="32"/>
          <w:szCs w:val="32"/>
        </w:rPr>
        <w:t>法</w:t>
      </w:r>
      <w:r>
        <w:rPr>
          <w:rFonts w:hint="default" w:ascii="仿宋_GB2312"/>
          <w:bCs/>
          <w:color w:val="auto"/>
          <w:sz w:val="30"/>
          <w:szCs w:val="30"/>
          <w:lang w:val="en-US" w:eastAsia="zh-CN"/>
        </w:rPr>
        <w:t>、公众评判法</w:t>
      </w:r>
      <w:r>
        <w:rPr>
          <w:rFonts w:hint="eastAsia" w:ascii="仿宋_GB2312"/>
          <w:bCs/>
          <w:color w:val="auto"/>
          <w:sz w:val="30"/>
          <w:szCs w:val="30"/>
          <w:lang w:val="en-US" w:eastAsia="zh-CN"/>
        </w:rPr>
        <w:t>方法，原因是：霍城县水定镇综合服务中心建设项目主体实施情况与绩效目标进行比较，分析项目实施进展情况，对项目设立的科学性和严谨性，资金分配的合理性和规范性，政策和项目实施有效进行充分剖析。运用</w:t>
      </w:r>
      <w:r>
        <w:rPr>
          <w:rFonts w:hint="default" w:ascii="仿宋_GB2312"/>
          <w:bCs/>
          <w:color w:val="auto"/>
          <w:sz w:val="30"/>
          <w:szCs w:val="30"/>
          <w:lang w:val="en-US" w:eastAsia="zh-CN"/>
        </w:rPr>
        <w:t>公众评判法</w:t>
      </w:r>
      <w:r>
        <w:rPr>
          <w:rFonts w:hint="eastAsia" w:ascii="仿宋_GB2312"/>
          <w:bCs/>
          <w:color w:val="auto"/>
          <w:sz w:val="30"/>
          <w:szCs w:val="30"/>
          <w:lang w:val="en-US" w:eastAsia="zh-CN"/>
        </w:rPr>
        <w:t>，通过调查问卷了解群众对项目的满意度。</w:t>
      </w:r>
    </w:p>
    <w:p>
      <w:pPr>
        <w:spacing w:line="360" w:lineRule="auto"/>
        <w:ind w:firstLine="600" w:firstLineChars="200"/>
        <w:jc w:val="left"/>
        <w:rPr>
          <w:rFonts w:hint="eastAsia"/>
          <w:color w:val="auto"/>
        </w:rPr>
      </w:pPr>
      <w:r>
        <w:rPr>
          <w:rFonts w:hint="eastAsia"/>
          <w:color w:val="auto"/>
        </w:rPr>
        <w:t>4</w:t>
      </w:r>
      <w:r>
        <w:rPr>
          <w:rFonts w:hint="eastAsia"/>
          <w:color w:val="auto"/>
          <w:lang w:val="en-US" w:eastAsia="zh-CN"/>
        </w:rPr>
        <w:t>.</w:t>
      </w:r>
      <w:r>
        <w:rPr>
          <w:rFonts w:hint="eastAsia"/>
          <w:color w:val="auto"/>
        </w:rPr>
        <w:t>评价标准</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本次项目支出绩效自评采用计划标准，原因是：将霍城县水定镇综合服务中心项目预先制定的目标、计划、预算、定额等作为评价标准，针对绩效指标等方面进行改进提高，使得此次绩效评价更科学、更标准、更符合实际。</w:t>
      </w:r>
    </w:p>
    <w:p>
      <w:pPr>
        <w:pStyle w:val="6"/>
        <w:spacing w:line="360" w:lineRule="auto"/>
        <w:rPr>
          <w:rFonts w:hint="eastAsia" w:ascii="仿宋_GB2312" w:eastAsia="仿宋_GB2312"/>
          <w:b w:val="0"/>
          <w:bCs w:val="0"/>
          <w:color w:val="auto"/>
        </w:rPr>
      </w:pPr>
      <w:bookmarkStart w:id="6" w:name="_Toc68703833"/>
      <w:r>
        <w:rPr>
          <w:rFonts w:hint="eastAsia" w:ascii="仿宋_GB2312" w:eastAsia="仿宋_GB2312"/>
          <w:b w:val="0"/>
          <w:bCs w:val="0"/>
          <w:color w:val="auto"/>
        </w:rPr>
        <w:t>（三）绩效评价工作过程。</w:t>
      </w:r>
      <w:bookmarkEnd w:id="6"/>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1.前期准备：</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2023年3月17日，</w:t>
      </w:r>
      <w:r>
        <w:rPr>
          <w:rFonts w:hint="eastAsia" w:ascii="仿宋_GB2312"/>
          <w:bCs/>
          <w:color w:val="auto"/>
          <w:sz w:val="30"/>
          <w:szCs w:val="30"/>
          <w:lang w:val="zh-CN" w:eastAsia="zh-CN"/>
        </w:rPr>
        <w:t>开始前期准备工作，评价组通过前期调研</w:t>
      </w:r>
      <w:r>
        <w:rPr>
          <w:rFonts w:hint="eastAsia" w:ascii="仿宋_GB2312"/>
          <w:bCs/>
          <w:color w:val="auto"/>
          <w:sz w:val="30"/>
          <w:szCs w:val="30"/>
          <w:lang w:val="en-US" w:eastAsia="zh-CN"/>
        </w:rPr>
        <w:t>确定绩效评价对象和范围，</w:t>
      </w:r>
      <w:r>
        <w:rPr>
          <w:rFonts w:hint="eastAsia" w:ascii="仿宋_GB2312"/>
          <w:bCs/>
          <w:color w:val="auto"/>
          <w:sz w:val="30"/>
          <w:szCs w:val="30"/>
          <w:lang w:val="zh-CN" w:eastAsia="zh-CN"/>
        </w:rPr>
        <w:t>确定了评价的目的、方法以及评价的原则，根据项目的内容和特征制定了评价指标体系及评价标准以及评价实施方案，修正并确定所需资料清单，最终确定</w:t>
      </w:r>
      <w:r>
        <w:rPr>
          <w:rFonts w:hint="eastAsia" w:ascii="仿宋_GB2312"/>
          <w:bCs/>
          <w:color w:val="auto"/>
          <w:sz w:val="30"/>
          <w:szCs w:val="30"/>
          <w:lang w:val="en-US" w:eastAsia="zh-CN"/>
        </w:rPr>
        <w:t>绩效评价工作方案；</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2.组织实施：</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2023年3月20日，评价工作进入实施阶段，评价组收集绩效评价相关数据资料，进行现场调研、座谈；并与项目实施负责人沟通，了解资金的内容、操作流程、管理机制、资金使用方向等情况，分析形成初步结论。</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3.分析评价：</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2023年3月24日-3月30日，评价组按照绩效评价的原则和规范，对取得的资料进行审查核实，对采集的数据进行分析，按照绩效评价指标评分表逐项进行打分、分析，汇总各方评价结果，综合分析并形成评价结论。</w:t>
      </w:r>
    </w:p>
    <w:p>
      <w:pPr>
        <w:pStyle w:val="5"/>
        <w:spacing w:line="360" w:lineRule="auto"/>
        <w:rPr>
          <w:rFonts w:ascii="宋体" w:hAnsi="宋体" w:eastAsia="宋体"/>
          <w:color w:val="auto"/>
          <w:sz w:val="32"/>
          <w:szCs w:val="32"/>
        </w:rPr>
      </w:pPr>
      <w:bookmarkStart w:id="7" w:name="_Toc68703834"/>
      <w:r>
        <w:rPr>
          <w:rFonts w:hint="eastAsia" w:ascii="宋体" w:hAnsi="宋体" w:eastAsia="宋体"/>
          <w:color w:val="auto"/>
          <w:sz w:val="32"/>
          <w:szCs w:val="32"/>
        </w:rPr>
        <w:t>三、综合评价情况及评价结论</w:t>
      </w:r>
      <w:bookmarkEnd w:id="7"/>
    </w:p>
    <w:p>
      <w:pPr>
        <w:pStyle w:val="6"/>
        <w:spacing w:line="360" w:lineRule="auto"/>
        <w:rPr>
          <w:rFonts w:hint="eastAsia" w:ascii="仿宋_GB2312" w:eastAsia="仿宋_GB2312"/>
          <w:b w:val="0"/>
          <w:bCs w:val="0"/>
          <w:color w:val="auto"/>
        </w:rPr>
      </w:pPr>
      <w:bookmarkStart w:id="8" w:name="_Toc68703835"/>
      <w:r>
        <w:rPr>
          <w:rFonts w:hint="eastAsia" w:ascii="仿宋_GB2312" w:eastAsia="仿宋_GB2312"/>
          <w:b w:val="0"/>
          <w:bCs w:val="0"/>
          <w:color w:val="auto"/>
        </w:rPr>
        <w:t>（一）综合评价情况</w:t>
      </w:r>
      <w:bookmarkEnd w:id="8"/>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本项目严格按照科学公正、统筹兼顾、激励约束、公开透明的绩效评价原则，采用</w:t>
      </w:r>
      <w:r>
        <w:rPr>
          <w:rFonts w:hint="eastAsia" w:ascii="仿宋_GB2312"/>
          <w:bCs/>
          <w:color w:val="000000" w:themeColor="text1"/>
          <w:sz w:val="30"/>
          <w:szCs w:val="30"/>
          <w:lang w:val="en-US" w:eastAsia="zh-CN"/>
          <w14:textFill>
            <w14:solidFill>
              <w14:schemeClr w14:val="tx1"/>
            </w14:solidFill>
          </w14:textFill>
        </w:rPr>
        <w:t>比较法</w:t>
      </w:r>
      <w:r>
        <w:rPr>
          <w:rFonts w:hint="default" w:ascii="仿宋_GB2312"/>
          <w:bCs/>
          <w:color w:val="000000" w:themeColor="text1"/>
          <w:sz w:val="30"/>
          <w:szCs w:val="30"/>
          <w:lang w:val="en-US" w:eastAsia="zh-CN"/>
          <w14:textFill>
            <w14:solidFill>
              <w14:schemeClr w14:val="tx1"/>
            </w14:solidFill>
          </w14:textFill>
        </w:rPr>
        <w:t>、公众评判法</w:t>
      </w:r>
      <w:r>
        <w:rPr>
          <w:rFonts w:hint="eastAsia" w:ascii="仿宋_GB2312"/>
          <w:bCs/>
          <w:color w:val="000000" w:themeColor="text1"/>
          <w:sz w:val="30"/>
          <w:szCs w:val="30"/>
          <w:lang w:val="en-US" w:eastAsia="zh-CN"/>
          <w14:textFill>
            <w14:solidFill>
              <w14:schemeClr w14:val="tx1"/>
            </w14:solidFill>
          </w14:textFill>
        </w:rPr>
        <w:t>方法</w:t>
      </w:r>
      <w:r>
        <w:rPr>
          <w:rFonts w:hint="eastAsia" w:ascii="仿宋_GB2312"/>
          <w:bCs/>
          <w:color w:val="auto"/>
          <w:sz w:val="30"/>
          <w:szCs w:val="30"/>
          <w:lang w:val="en-US" w:eastAsia="zh-CN"/>
        </w:rPr>
        <w:t>，坚持采用计划标准对本项目的立项、绩效目标、资金投入、资金管理、组织实施、产出数量、产出质量、产出时效、产出成本、项目效益进行了综合评价。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ascii="仿宋_GB2312"/>
          <w:bCs/>
          <w:color w:val="auto"/>
          <w:sz w:val="30"/>
          <w:szCs w:val="30"/>
          <w:lang w:val="en-US" w:eastAsia="zh-CN"/>
        </w:rPr>
        <w:t>霍城县水定镇综合服务中心建设项目</w:t>
      </w:r>
      <w:r>
        <w:rPr>
          <w:rFonts w:hint="eastAsia"/>
          <w:color w:val="auto"/>
        </w:rPr>
        <w:t>评价得分情况</w:t>
      </w:r>
    </w:p>
    <w:tbl>
      <w:tblPr>
        <w:tblStyle w:val="7"/>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auto"/>
                <w:sz w:val="22"/>
              </w:rPr>
            </w:pPr>
            <w:r>
              <w:rPr>
                <w:rFonts w:hint="eastAsia" w:cs="宋体"/>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auto"/>
                <w:sz w:val="22"/>
                <w:lang w:val="en-US" w:eastAsia="zh-CN"/>
              </w:rPr>
            </w:pPr>
            <w:r>
              <w:rPr>
                <w:rFonts w:hint="eastAsia"/>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auto"/>
                <w:sz w:val="22"/>
                <w:lang w:val="en-US" w:eastAsia="zh-CN"/>
              </w:rPr>
            </w:pPr>
            <w:r>
              <w:rPr>
                <w:rFonts w:hint="eastAsia"/>
                <w:b/>
                <w:bCs/>
                <w:color w:val="auto"/>
                <w:sz w:val="22"/>
                <w:lang w:val="en-US" w:eastAsia="zh-CN"/>
              </w:rPr>
              <w:t>100</w:t>
            </w:r>
          </w:p>
        </w:tc>
      </w:tr>
    </w:tbl>
    <w:p>
      <w:pPr>
        <w:pStyle w:val="6"/>
        <w:spacing w:line="360" w:lineRule="auto"/>
        <w:rPr>
          <w:rFonts w:hint="eastAsia" w:ascii="仿宋_GB2312" w:eastAsia="仿宋_GB2312"/>
          <w:b w:val="0"/>
          <w:bCs w:val="0"/>
          <w:color w:val="auto"/>
        </w:rPr>
      </w:pPr>
      <w:bookmarkStart w:id="9" w:name="_Toc68703836"/>
      <w:r>
        <w:rPr>
          <w:rFonts w:hint="eastAsia" w:ascii="仿宋_GB2312" w:eastAsia="仿宋_GB2312"/>
          <w:b w:val="0"/>
          <w:bCs w:val="0"/>
          <w:color w:val="auto"/>
        </w:rPr>
        <w:t>（二）评价结论</w:t>
      </w:r>
      <w:bookmarkEnd w:id="9"/>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本项目的项目决策、项目过程、项目产出、项目效益均达到了预期要求，最终评分为100分，评价等级为“优”，项目达成年度指标。</w:t>
      </w:r>
    </w:p>
    <w:p>
      <w:pPr>
        <w:pStyle w:val="5"/>
        <w:spacing w:line="360" w:lineRule="auto"/>
        <w:rPr>
          <w:rFonts w:ascii="宋体" w:hAnsi="宋体" w:eastAsia="宋体"/>
          <w:color w:val="auto"/>
          <w:sz w:val="32"/>
          <w:szCs w:val="32"/>
        </w:rPr>
      </w:pPr>
      <w:bookmarkStart w:id="10" w:name="_Toc68703837"/>
      <w:r>
        <w:rPr>
          <w:rFonts w:hint="eastAsia" w:ascii="宋体" w:hAnsi="宋体" w:eastAsia="宋体"/>
          <w:color w:val="auto"/>
          <w:sz w:val="32"/>
          <w:szCs w:val="32"/>
        </w:rPr>
        <w:t>四、绩效评价指标分析</w:t>
      </w:r>
      <w:bookmarkEnd w:id="10"/>
    </w:p>
    <w:p>
      <w:pPr>
        <w:pStyle w:val="6"/>
        <w:spacing w:line="360" w:lineRule="auto"/>
        <w:rPr>
          <w:rFonts w:hint="eastAsia" w:ascii="仿宋_GB2312" w:eastAsia="仿宋_GB2312"/>
          <w:b w:val="0"/>
          <w:bCs w:val="0"/>
          <w:color w:val="auto"/>
        </w:rPr>
      </w:pPr>
      <w:bookmarkStart w:id="11" w:name="_Toc68703838"/>
      <w:r>
        <w:rPr>
          <w:rFonts w:hint="eastAsia" w:ascii="仿宋_GB2312" w:eastAsia="仿宋_GB2312"/>
          <w:b w:val="0"/>
          <w:bCs w:val="0"/>
          <w:color w:val="auto"/>
        </w:rPr>
        <w:t>（一）项目决策情况。</w:t>
      </w:r>
      <w:bookmarkEnd w:id="11"/>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1.立项依据充分性</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霍城县水定镇综合服务中心建设项目立项依据根据《水定镇2022年度工作计划》文件精神，新建综合服务中心，开展便民利民的服务；提供政务信息、便民服务信息等咨询服务，整合资源、完善功能，对群众需要办理、咨询和服务的事项实行“一个大厅”，精简手续程序，公示办事流程，全方位为群众提供服务，建设人民满意的服务型政府。项目立项符合行业发展规划和政策要求；项目立项与部门职责范围相符，属于部门履职所需；项目属于公共财政支持范围，符合中央、地方事权支出责任划分原则；项目不与相关部门同类项目或部门内部相关项目重复。</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2.立项程序规范性</w:t>
      </w:r>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霍城县水定镇综合服务中心建设项目由镇党委联席会议集体商议讨论决定。镇项目办负责项目方案的制定，项目资金测算、项目计划书编制、项目检查、项目验收、绩效评价等工作。镇财政所负责项目资金拨付、资金管理等工作。镇纪检办负责项目督查工作。</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3.绩效目标合理性</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霍城县水定镇综合服务中心建设项目设立了项目绩效目标，项目的预期产出效益和效果也均能符合正常的业绩水平，并且与预算确定的项目投资额或资金量相匹配。</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4.绩效指标明确性</w:t>
      </w:r>
    </w:p>
    <w:p>
      <w:pPr>
        <w:spacing w:line="360" w:lineRule="auto"/>
        <w:ind w:firstLine="600" w:firstLineChars="200"/>
        <w:jc w:val="left"/>
        <w:rPr>
          <w:rFonts w:hint="eastAsia" w:ascii="仿宋_GB2312"/>
          <w:bCs/>
          <w:color w:val="auto"/>
          <w:sz w:val="30"/>
          <w:szCs w:val="30"/>
          <w:lang w:val="en-US" w:eastAsia="zh-CN"/>
        </w:rPr>
      </w:pPr>
      <w:bookmarkStart w:id="12" w:name="_Hlk68699917"/>
      <w:r>
        <w:rPr>
          <w:rFonts w:hint="eastAsia" w:ascii="仿宋_GB2312"/>
          <w:bCs/>
          <w:color w:val="000000" w:themeColor="text1"/>
          <w:sz w:val="30"/>
          <w:szCs w:val="30"/>
          <w:lang w:val="en-US" w:eastAsia="zh-CN"/>
          <w14:textFill>
            <w14:solidFill>
              <w14:schemeClr w14:val="tx1"/>
            </w14:solidFill>
          </w14:textFill>
        </w:rPr>
        <w:t>霍城县水定镇综合服务中心建设项目绩效目标细化分解为具体的绩效指标，一级指标共3条，二级指标共7条，三级指标共11条，其中量化指标条数共11条，</w:t>
      </w:r>
      <w:r>
        <w:rPr>
          <w:rFonts w:hint="eastAsia" w:ascii="仿宋_GB2312"/>
          <w:bCs/>
          <w:color w:val="auto"/>
          <w:sz w:val="30"/>
          <w:szCs w:val="30"/>
          <w:lang w:val="en-US" w:eastAsia="zh-CN"/>
        </w:rPr>
        <w:t>所有绩效指标均通过清晰、可衡量的指标值予以体现，并且做到了与项目目标任务数或计划数相对应。</w:t>
      </w:r>
      <w:bookmarkEnd w:id="12"/>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5.预算编制科学性</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我单位严格按照财政部门预算编制与预算调整的工作要求，在预算编制、分配依据充分的条件下，切实做好“先定目标再编预算”，确保预算分配结果合理；预算确定的项目投资额或资金量与工作任务相匹配。</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6.资金分配合理性</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我单位按照财政要求基本支出分月度申报资金使用计划，由财政部门按照进度拨付，依照《霍城县水定镇人民政府财务支出》相关规定和《霍城县水定镇人民政府财务收入》规定流程，资金支出按照我部门内控体系中设定的流程申报审批进行；项目支出属于政府采购的，按照《霍城县采购与招标管理办法》组织人员制定招标计划，按照财政局采购部门批复，进行公开招标、邀请招标等方式进行；属于非政府采购的项目，按照“三重一大”制度规定，重大项目支出上党组会研究决定。</w:t>
      </w:r>
    </w:p>
    <w:p>
      <w:pPr>
        <w:pStyle w:val="6"/>
        <w:spacing w:line="360" w:lineRule="auto"/>
        <w:rPr>
          <w:rFonts w:hint="eastAsia" w:ascii="仿宋_GB2312" w:eastAsia="仿宋_GB2312"/>
          <w:b w:val="0"/>
          <w:bCs w:val="0"/>
          <w:color w:val="auto"/>
        </w:rPr>
      </w:pPr>
      <w:bookmarkStart w:id="13" w:name="_Toc68703839"/>
      <w:r>
        <w:rPr>
          <w:rFonts w:hint="eastAsia" w:ascii="仿宋_GB2312" w:eastAsia="仿宋_GB2312"/>
          <w:b w:val="0"/>
          <w:bCs w:val="0"/>
          <w:color w:val="auto"/>
        </w:rPr>
        <w:t>（二）项目过程情况。</w:t>
      </w:r>
      <w:bookmarkEnd w:id="13"/>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1.资金到位率：</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预算资金106.00万元，实际到位资金106.00万元，资金到位率100.00%。</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2.预算执行率</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年初预算数106.00万元，全年预算数106.00万元，全年执行数106.00万元，预算执行率为100%。</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3.资金使用合规性</w:t>
      </w:r>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霍城县水定镇综合服务中心建设项目资金的拨付严格履行《水定镇财务支出管理制度》，资金转款专用。拨付中由项目办干事初审，分管项目负责人签署意见，财政所所长审核，分管财务领导签批，审批流程完善。2022年支付霍城县水定镇综合服务中心建设项目资金支付凭证合规，由国库直接支付至施工方，不存在不合规票据支付，不存在资金截留、挤占、挪用、虚列支出等情况。</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4.管理制度健全性</w:t>
      </w:r>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霍城县水定镇综合服务中心建设项目实施过程中，严格执行《水定镇财务支出管理制度》，通过管理制度进行了明确的职责划分，严格执行项目申报、竣工验收、监督检查、资金管理等相关制度。</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5.制度执行有效性</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霍城县水定镇综合服务中心建设项目是通过公开招标实现的，项目完工后，由镇项目干事、镇纪检干事、镇财政所干事和施工方一起验收，验收合格后在验收单在签字。按照《水定镇项目管理制度》规定，项目干事按时收集整理项目档案，由分管领导审核后装订成册，妥善保管。</w:t>
      </w:r>
    </w:p>
    <w:p>
      <w:pPr>
        <w:pStyle w:val="6"/>
        <w:spacing w:line="360" w:lineRule="auto"/>
        <w:rPr>
          <w:rFonts w:hint="eastAsia" w:ascii="仿宋_GB2312" w:eastAsia="仿宋_GB2312"/>
          <w:b w:val="0"/>
          <w:bCs w:val="0"/>
          <w:color w:val="auto"/>
        </w:rPr>
      </w:pPr>
      <w:bookmarkStart w:id="14" w:name="_Toc68703840"/>
      <w:r>
        <w:rPr>
          <w:rFonts w:hint="eastAsia" w:ascii="仿宋_GB2312" w:eastAsia="仿宋_GB2312"/>
          <w:b w:val="0"/>
          <w:bCs w:val="0"/>
          <w:color w:val="auto"/>
        </w:rPr>
        <w:t>（三）项目产出情况。</w:t>
      </w:r>
      <w:bookmarkEnd w:id="14"/>
    </w:p>
    <w:p>
      <w:pPr>
        <w:spacing w:line="360" w:lineRule="auto"/>
        <w:ind w:firstLine="600" w:firstLineChars="200"/>
        <w:jc w:val="left"/>
        <w:rPr>
          <w:rFonts w:hint="eastAsia" w:ascii="仿宋_GB2312"/>
          <w:bCs/>
          <w:color w:val="000000" w:themeColor="text1"/>
          <w:sz w:val="30"/>
          <w:szCs w:val="30"/>
          <w:lang w:val="en-US" w:eastAsia="zh-CN"/>
          <w14:textFill>
            <w14:solidFill>
              <w14:schemeClr w14:val="tx1"/>
            </w14:solidFill>
          </w14:textFill>
        </w:rPr>
      </w:pPr>
      <w:r>
        <w:rPr>
          <w:rFonts w:hint="eastAsia" w:ascii="仿宋_GB2312"/>
          <w:bCs/>
          <w:color w:val="000000" w:themeColor="text1"/>
          <w:sz w:val="30"/>
          <w:szCs w:val="30"/>
          <w:lang w:val="en-US" w:eastAsia="zh-CN"/>
          <w14:textFill>
            <w14:solidFill>
              <w14:schemeClr w14:val="tx1"/>
            </w14:solidFill>
          </w14:textFill>
        </w:rPr>
        <w:t>1.数量指标：指标1：建筑面积，指标值：1397平方米，实际完成值：1397平方米，指标完成率100%；指标2：建筑数量，指标值：1个，实际完成值：1个，指标完成率100%；</w:t>
      </w:r>
    </w:p>
    <w:p>
      <w:pPr>
        <w:spacing w:line="360" w:lineRule="auto"/>
        <w:ind w:firstLine="600" w:firstLineChars="200"/>
        <w:jc w:val="left"/>
        <w:rPr>
          <w:rFonts w:hint="eastAsia" w:ascii="仿宋_GB2312"/>
          <w:bCs/>
          <w:color w:val="000000" w:themeColor="text1"/>
          <w:sz w:val="30"/>
          <w:szCs w:val="30"/>
          <w:lang w:val="en-US" w:eastAsia="zh-CN"/>
          <w14:textFill>
            <w14:solidFill>
              <w14:schemeClr w14:val="tx1"/>
            </w14:solidFill>
          </w14:textFill>
        </w:rPr>
      </w:pPr>
      <w:r>
        <w:rPr>
          <w:rFonts w:hint="eastAsia" w:ascii="仿宋_GB2312"/>
          <w:bCs/>
          <w:color w:val="000000" w:themeColor="text1"/>
          <w:sz w:val="30"/>
          <w:szCs w:val="30"/>
          <w:lang w:val="en-US" w:eastAsia="zh-CN"/>
          <w14:textFill>
            <w14:solidFill>
              <w14:schemeClr w14:val="tx1"/>
            </w14:solidFill>
          </w14:textFill>
        </w:rPr>
        <w:t>2.质量指标：指标1：项目设计变更率，指标值：&lt;=1%，实际完成值：0%，指标完成率100%；指标2：竣工验收合格率，指标值：100%，实际完成值：100%，指标完成率100%。</w:t>
      </w:r>
    </w:p>
    <w:p>
      <w:pPr>
        <w:spacing w:line="360" w:lineRule="auto"/>
        <w:ind w:firstLine="600" w:firstLineChars="200"/>
        <w:jc w:val="left"/>
        <w:rPr>
          <w:rFonts w:hint="eastAsia" w:ascii="仿宋_GB2312"/>
          <w:bCs/>
          <w:color w:val="000000" w:themeColor="text1"/>
          <w:sz w:val="30"/>
          <w:szCs w:val="30"/>
          <w:lang w:val="en-US" w:eastAsia="zh-CN"/>
          <w14:textFill>
            <w14:solidFill>
              <w14:schemeClr w14:val="tx1"/>
            </w14:solidFill>
          </w14:textFill>
        </w:rPr>
      </w:pPr>
      <w:r>
        <w:rPr>
          <w:rFonts w:hint="eastAsia" w:ascii="仿宋_GB2312"/>
          <w:bCs/>
          <w:color w:val="000000" w:themeColor="text1"/>
          <w:sz w:val="30"/>
          <w:szCs w:val="30"/>
          <w:lang w:val="en-US" w:eastAsia="zh-CN"/>
          <w14:textFill>
            <w14:solidFill>
              <w14:schemeClr w14:val="tx1"/>
            </w14:solidFill>
          </w14:textFill>
        </w:rPr>
        <w:t>3.时效指标：指标1：项目按计划开工时间，指标值：3月，实际完成值：3月，指标完成率100%；指标2：项目按计划竣工时间，指标值：5月，实际完成值：5月，指标完成率100%。</w:t>
      </w:r>
    </w:p>
    <w:p>
      <w:pPr>
        <w:spacing w:line="360" w:lineRule="auto"/>
        <w:ind w:firstLine="600" w:firstLineChars="200"/>
        <w:jc w:val="left"/>
        <w:rPr>
          <w:rFonts w:hint="default" w:ascii="仿宋_GB2312"/>
          <w:bCs/>
          <w:color w:val="000000" w:themeColor="text1"/>
          <w:sz w:val="30"/>
          <w:szCs w:val="30"/>
          <w:lang w:val="en-US" w:eastAsia="zh-CN"/>
          <w14:textFill>
            <w14:solidFill>
              <w14:schemeClr w14:val="tx1"/>
            </w14:solidFill>
          </w14:textFill>
        </w:rPr>
      </w:pPr>
      <w:r>
        <w:rPr>
          <w:rFonts w:hint="eastAsia" w:ascii="仿宋_GB2312"/>
          <w:bCs/>
          <w:color w:val="000000" w:themeColor="text1"/>
          <w:sz w:val="30"/>
          <w:szCs w:val="30"/>
          <w:lang w:val="en-US" w:eastAsia="zh-CN"/>
          <w14:textFill>
            <w14:solidFill>
              <w14:schemeClr w14:val="tx1"/>
            </w14:solidFill>
          </w14:textFill>
        </w:rPr>
        <w:t>4.成本指标：指标1：项目预算控制率，指标值：&lt;=100%，实际完成值：100%，指标完成率100% 。</w:t>
      </w:r>
    </w:p>
    <w:p>
      <w:pPr>
        <w:pStyle w:val="6"/>
        <w:spacing w:line="360" w:lineRule="auto"/>
        <w:rPr>
          <w:rFonts w:hint="eastAsia" w:ascii="仿宋_GB2312" w:eastAsia="仿宋_GB2312"/>
          <w:b w:val="0"/>
          <w:bCs w:val="0"/>
          <w:color w:val="auto"/>
        </w:rPr>
      </w:pPr>
      <w:bookmarkStart w:id="15" w:name="_Toc68703841"/>
      <w:r>
        <w:rPr>
          <w:rFonts w:hint="eastAsia" w:ascii="仿宋_GB2312" w:eastAsia="仿宋_GB2312"/>
          <w:b w:val="0"/>
          <w:bCs w:val="0"/>
          <w:color w:val="auto"/>
        </w:rPr>
        <w:t>（四）项目效益情况。</w:t>
      </w:r>
      <w:bookmarkEnd w:id="15"/>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1.社会效益指标：指标1：正常运转率，指标值：100%，实际完成值：100%，指标完成率100%。</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2.社会效益指标：指标1：项目受益人数，指标值：&gt;=3.80万人，实际完成值：&gt;=3.80万人，指标完成率100%。</w:t>
      </w:r>
    </w:p>
    <w:p>
      <w:pPr>
        <w:spacing w:line="360" w:lineRule="auto"/>
        <w:ind w:firstLine="600" w:firstLineChars="200"/>
        <w:jc w:val="left"/>
        <w:rPr>
          <w:rFonts w:hint="default"/>
          <w:lang w:val="en-US" w:eastAsia="zh-CN"/>
        </w:rPr>
      </w:pPr>
      <w:r>
        <w:rPr>
          <w:rFonts w:hint="eastAsia" w:ascii="仿宋_GB2312"/>
          <w:bCs/>
          <w:color w:val="auto"/>
          <w:sz w:val="30"/>
          <w:szCs w:val="30"/>
          <w:lang w:val="en-US" w:eastAsia="zh-CN"/>
        </w:rPr>
        <w:t xml:space="preserve"> 3.可持续影响指标：指标1：工程设计使用年限，指标值：&gt;=50年，实际完成值：50年，指标完成率100%。</w:t>
      </w:r>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4.满意度指标：指标1：镇区群众满意度，指标值：&gt;=95%，实际完成值：95%，指标完成率100%。</w:t>
      </w:r>
    </w:p>
    <w:p>
      <w:pPr>
        <w:pStyle w:val="5"/>
        <w:spacing w:line="360" w:lineRule="auto"/>
        <w:rPr>
          <w:rFonts w:ascii="宋体" w:hAnsi="宋体" w:eastAsia="宋体"/>
          <w:color w:val="auto"/>
          <w:sz w:val="32"/>
          <w:szCs w:val="32"/>
        </w:rPr>
      </w:pPr>
      <w:bookmarkStart w:id="16" w:name="_Toc68703842"/>
      <w:r>
        <w:rPr>
          <w:rFonts w:hint="eastAsia" w:ascii="宋体" w:hAnsi="宋体" w:eastAsia="宋体"/>
          <w:color w:val="auto"/>
          <w:sz w:val="32"/>
          <w:szCs w:val="32"/>
        </w:rPr>
        <w:t>五、主要经验及做法、存在的问题及原因分析</w:t>
      </w:r>
      <w:bookmarkEnd w:id="16"/>
    </w:p>
    <w:p>
      <w:pPr>
        <w:pStyle w:val="6"/>
        <w:spacing w:line="360" w:lineRule="auto"/>
        <w:rPr>
          <w:rFonts w:hint="eastAsia" w:ascii="仿宋_GB2312" w:eastAsia="仿宋_GB2312"/>
          <w:b w:val="0"/>
          <w:bCs w:val="0"/>
          <w:color w:val="auto"/>
        </w:rPr>
      </w:pPr>
      <w:bookmarkStart w:id="17" w:name="_Toc68703843"/>
      <w:r>
        <w:rPr>
          <w:rFonts w:hint="eastAsia" w:ascii="仿宋_GB2312" w:eastAsia="仿宋_GB2312"/>
          <w:b w:val="0"/>
          <w:bCs w:val="0"/>
          <w:color w:val="auto"/>
        </w:rPr>
        <w:t>（一）主要经验及做法</w:t>
      </w:r>
      <w:bookmarkEnd w:id="17"/>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加强预算资金管理，提高预算资金使用效率，同时严格项目档案的管理，督促项目能按时完成，确保资金按照项目施工进度及时支付。</w:t>
      </w:r>
    </w:p>
    <w:p>
      <w:pPr>
        <w:pStyle w:val="6"/>
        <w:spacing w:line="360" w:lineRule="auto"/>
        <w:rPr>
          <w:rFonts w:hint="eastAsia" w:ascii="仿宋_GB2312" w:eastAsia="仿宋_GB2312"/>
          <w:b w:val="0"/>
          <w:bCs w:val="0"/>
          <w:color w:val="auto"/>
        </w:rPr>
      </w:pPr>
      <w:bookmarkStart w:id="18" w:name="_Toc68703844"/>
      <w:r>
        <w:rPr>
          <w:rFonts w:hint="eastAsia" w:ascii="仿宋_GB2312" w:eastAsia="仿宋_GB2312"/>
          <w:b w:val="0"/>
          <w:bCs w:val="0"/>
          <w:color w:val="auto"/>
        </w:rPr>
        <w:t>（二）存在的问题及原因分析</w:t>
      </w:r>
      <w:bookmarkEnd w:id="18"/>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一是对绩效目标申报不够重视，绩效目标设置量化程度进一步提高。</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二是工作人员绩效观念模糊，绩效管理水平有待于提高。</w:t>
      </w:r>
    </w:p>
    <w:p>
      <w:pPr>
        <w:spacing w:line="360" w:lineRule="auto"/>
        <w:ind w:firstLine="600" w:firstLineChars="200"/>
        <w:jc w:val="left"/>
        <w:rPr>
          <w:rFonts w:hint="default" w:ascii="宋体" w:hAnsi="宋体" w:eastAsia="宋体" w:cs="Times New Roman"/>
          <w:b/>
          <w:bCs/>
          <w:color w:val="auto"/>
          <w:kern w:val="44"/>
          <w:sz w:val="32"/>
          <w:szCs w:val="32"/>
          <w:lang w:val="en-US" w:eastAsia="zh-CN" w:bidi="ar-SA"/>
        </w:rPr>
      </w:pPr>
      <w:r>
        <w:rPr>
          <w:rFonts w:hint="eastAsia" w:ascii="仿宋_GB2312"/>
          <w:bCs/>
          <w:color w:val="auto"/>
          <w:sz w:val="30"/>
          <w:szCs w:val="30"/>
          <w:lang w:val="en-US" w:eastAsia="zh-CN"/>
        </w:rPr>
        <w:t>三是财政支出绩效管理工作还有待进一步提高。</w:t>
      </w:r>
      <w:r>
        <w:rPr>
          <w:rFonts w:hint="eastAsia" w:ascii="仿宋_GB2312"/>
          <w:bCs/>
          <w:color w:val="auto"/>
          <w:sz w:val="30"/>
          <w:szCs w:val="30"/>
          <w:lang w:val="en-US" w:eastAsia="zh-CN"/>
        </w:rPr>
        <w:br w:type="textWrapping"/>
      </w:r>
      <w:bookmarkStart w:id="19" w:name="_Toc68703845"/>
      <w:r>
        <w:rPr>
          <w:rFonts w:hint="eastAsia" w:ascii="宋体" w:hAnsi="宋体" w:eastAsia="宋体" w:cs="Times New Roman"/>
          <w:b/>
          <w:bCs/>
          <w:color w:val="auto"/>
          <w:kern w:val="44"/>
          <w:sz w:val="32"/>
          <w:szCs w:val="32"/>
          <w:lang w:val="en-US" w:eastAsia="zh-CN" w:bidi="ar-SA"/>
        </w:rPr>
        <w:t>六、有关建议</w:t>
      </w:r>
      <w:bookmarkEnd w:id="19"/>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1.项目实施前加大群众需求调研，以提高项目和群众需求的契合度。</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2.组织业务培训,提高业务人员的业务能力。</w:t>
      </w:r>
    </w:p>
    <w:p>
      <w:pPr>
        <w:pStyle w:val="5"/>
        <w:spacing w:line="360" w:lineRule="auto"/>
        <w:rPr>
          <w:rFonts w:hint="eastAsia" w:ascii="宋体" w:hAnsi="宋体" w:eastAsia="宋体" w:cs="Times New Roman"/>
          <w:b/>
          <w:bCs/>
          <w:color w:val="auto"/>
          <w:kern w:val="44"/>
          <w:sz w:val="32"/>
          <w:szCs w:val="32"/>
          <w:lang w:val="en-US" w:eastAsia="zh-CN" w:bidi="ar-SA"/>
        </w:rPr>
      </w:pPr>
      <w:bookmarkStart w:id="20" w:name="_Toc68703846"/>
      <w:r>
        <w:rPr>
          <w:rFonts w:hint="eastAsia" w:ascii="宋体" w:hAnsi="宋体" w:eastAsia="宋体" w:cs="Times New Roman"/>
          <w:b/>
          <w:bCs/>
          <w:color w:val="auto"/>
          <w:kern w:val="44"/>
          <w:sz w:val="32"/>
          <w:szCs w:val="32"/>
          <w:lang w:val="en-US" w:eastAsia="zh-CN" w:bidi="ar-SA"/>
        </w:rPr>
        <w:t>七、其他需要说明的问题</w:t>
      </w:r>
      <w:bookmarkEnd w:id="20"/>
    </w:p>
    <w:p>
      <w:pPr>
        <w:spacing w:line="360" w:lineRule="auto"/>
        <w:ind w:firstLine="900" w:firstLineChars="300"/>
      </w:pPr>
      <w:r>
        <w:rPr>
          <w:rFonts w:hint="eastAsia"/>
          <w:color w:val="auto"/>
          <w:lang w:val="en-US" w:eastAsia="zh-CN"/>
        </w:rPr>
        <w:t>无。</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altName w:val="Calibri"/>
    <w:panose1 w:val="020F0302020204030204"/>
    <w:charset w:val="00"/>
    <w:family w:val="auto"/>
    <w:pitch w:val="default"/>
    <w:sig w:usb0="00000000" w:usb1="00000000" w:usb2="00000009" w:usb3="00000000" w:csb0="200001FF" w:csb1="00000000"/>
  </w:font>
  <w:font w:name="红豆小标宋简体">
    <w:altName w:val="宋体"/>
    <w:panose1 w:val="02000509000000000000"/>
    <w:charset w:val="86"/>
    <w:family w:val="auto"/>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1MzkwYjcyOGU0ZWQ0ODYxYTkxMjI1MjcxOGNlMTMifQ=="/>
  </w:docVars>
  <w:rsids>
    <w:rsidRoot w:val="2EDF4A6E"/>
    <w:rsid w:val="1BE9318E"/>
    <w:rsid w:val="2EDF4A6E"/>
    <w:rsid w:val="30E8129E"/>
    <w:rsid w:val="31164713"/>
    <w:rsid w:val="3AF36552"/>
    <w:rsid w:val="3CC21A87"/>
    <w:rsid w:val="4F283C26"/>
    <w:rsid w:val="57882A70"/>
    <w:rsid w:val="71AE2DD3"/>
    <w:rsid w:val="7D096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5">
    <w:name w:val="heading 1"/>
    <w:basedOn w:val="1"/>
    <w:next w:val="1"/>
    <w:qFormat/>
    <w:uiPriority w:val="9"/>
    <w:pPr>
      <w:keepNext/>
      <w:keepLines/>
      <w:spacing w:before="340" w:after="330" w:line="578" w:lineRule="auto"/>
      <w:outlineLvl w:val="0"/>
    </w:pPr>
    <w:rPr>
      <w:b/>
      <w:bCs/>
      <w:kern w:val="44"/>
      <w:sz w:val="44"/>
      <w:szCs w:val="44"/>
    </w:rPr>
  </w:style>
  <w:style w:type="paragraph" w:styleId="6">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before="100" w:beforeAutospacing="1"/>
      <w:ind w:left="0" w:firstLine="420" w:firstLineChars="200"/>
    </w:pPr>
    <w:rPr>
      <w:rFonts w:ascii="Times New Roman" w:hAnsi="Times New Roman"/>
    </w:rPr>
  </w:style>
  <w:style w:type="paragraph" w:styleId="3">
    <w:name w:val="Body Text Indent"/>
    <w:basedOn w:val="1"/>
    <w:next w:val="4"/>
    <w:qFormat/>
    <w:uiPriority w:val="0"/>
    <w:pPr>
      <w:spacing w:after="120"/>
      <w:ind w:left="420" w:leftChars="200"/>
    </w:pPr>
  </w:style>
  <w:style w:type="paragraph" w:styleId="4">
    <w:name w:val="index 6"/>
    <w:basedOn w:val="1"/>
    <w:next w:val="1"/>
    <w:qFormat/>
    <w:uiPriority w:val="0"/>
    <w:pPr>
      <w:tabs>
        <w:tab w:val="left" w:pos="665"/>
        <w:tab w:val="center" w:pos="4473"/>
      </w:tabs>
      <w:ind w:left="1000" w:leftChars="10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5445</Words>
  <Characters>5707</Characters>
  <Lines>0</Lines>
  <Paragraphs>0</Paragraphs>
  <TotalTime>21</TotalTime>
  <ScaleCrop>false</ScaleCrop>
  <LinksUpToDate>false</LinksUpToDate>
  <CharactersWithSpaces>5720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2023-03-31T04:18:00Z</dcterms:created>
  <dc:creator>lenovo</dc:creator>
  <cp:lastModifiedBy>Lenovo</cp:lastModifiedBy>
  <dcterms:modified xsi:type="dcterms:W3CDTF">2023-09-06T04:24:31Z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F186A9350E3744DC9B7000FC81BAA363</vt:lpwstr>
  </property>
</Properties>
</file>