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宋体" w:hAnsi="宋体" w:eastAsia="宋体" w:cs="Arial"/>
          <w:b/>
          <w:bCs/>
          <w:sz w:val="52"/>
          <w:szCs w:val="52"/>
        </w:rPr>
      </w:pPr>
      <w:r>
        <w:rPr>
          <w:rFonts w:hint="eastAsia" w:ascii="宋体" w:hAnsi="宋体" w:eastAsia="宋体" w:cs="Arial"/>
          <w:b/>
          <w:bCs/>
          <w:sz w:val="52"/>
          <w:szCs w:val="52"/>
        </w:rPr>
        <w:t>项目支出绩效评价报告</w:t>
      </w: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宋体" w:hAnsi="宋体" w:eastAsia="宋体" w:cs="Arial"/>
          <w:b/>
          <w:bCs/>
          <w:sz w:val="48"/>
          <w:szCs w:val="48"/>
        </w:rPr>
      </w:pPr>
    </w:p>
    <w:p>
      <w:pPr>
        <w:pageBreakBefore w:val="0"/>
        <w:widowControl/>
        <w:kinsoku/>
        <w:wordWrap/>
        <w:overflowPunct/>
        <w:topLinePunct w:val="0"/>
        <w:autoSpaceDE/>
        <w:autoSpaceDN/>
        <w:bidi w:val="0"/>
        <w:adjustRightInd/>
        <w:snapToGrid/>
        <w:spacing w:before="60" w:after="60" w:line="240" w:lineRule="auto"/>
        <w:ind w:left="0" w:leftChars="0" w:right="0" w:rightChars="0"/>
        <w:jc w:val="center"/>
        <w:textAlignment w:val="auto"/>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before="60" w:after="60" w:line="240" w:lineRule="auto"/>
        <w:ind w:left="0" w:leftChars="0" w:right="0" w:rightChars="0"/>
        <w:jc w:val="center"/>
        <w:textAlignment w:val="auto"/>
        <w:rPr>
          <w:rFonts w:ascii="仿宋_GB2312" w:hAnsi="仿宋_GB2312" w:cs="仿宋_GB2312"/>
          <w:b/>
          <w:kern w:val="0"/>
          <w:sz w:val="50"/>
          <w:szCs w:val="50"/>
          <w:lang w:bidi="en-US"/>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ascii="仿宋_GB2312" w:hAnsi="仿宋_GB2312" w:cs="仿宋_GB2312"/>
          <w:b/>
          <w:kern w:val="0"/>
          <w:sz w:val="50"/>
          <w:szCs w:val="50"/>
          <w:lang w:bidi="en-US"/>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1" w:firstLineChars="100"/>
        <w:textAlignment w:val="auto"/>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仿宋" w:hAnsi="仿宋" w:eastAsia="仿宋" w:cs="仿宋"/>
          <w:sz w:val="32"/>
          <w:szCs w:val="32"/>
          <w:lang w:val="en-US" w:eastAsia="zh-CN"/>
        </w:rPr>
        <w:t>生态护林员补助资金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1" w:firstLineChars="100"/>
        <w:textAlignment w:val="auto"/>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仿宋" w:hAnsi="仿宋" w:eastAsia="仿宋" w:cs="仿宋"/>
          <w:sz w:val="32"/>
          <w:szCs w:val="32"/>
          <w:lang w:val="en-US" w:eastAsia="zh-CN"/>
        </w:rPr>
        <w:t>霍城县林业和草原局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1" w:firstLineChars="100"/>
        <w:textAlignment w:val="auto"/>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仿宋" w:hAnsi="仿宋" w:eastAsia="仿宋" w:cs="仿宋"/>
          <w:sz w:val="32"/>
          <w:szCs w:val="32"/>
          <w:lang w:val="en-US" w:eastAsia="zh-CN"/>
        </w:rPr>
        <w:t>霍城县林业和草原局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1" w:firstLineChars="100"/>
        <w:textAlignment w:val="auto"/>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仿宋" w:hAnsi="仿宋" w:eastAsia="仿宋" w:cs="仿宋"/>
          <w:sz w:val="32"/>
          <w:szCs w:val="32"/>
          <w:lang w:val="en-US" w:eastAsia="zh-CN"/>
        </w:rPr>
        <w:t>李慧玲</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1" w:firstLineChars="100"/>
        <w:textAlignment w:val="auto"/>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仿宋" w:hAnsi="仿宋" w:eastAsia="仿宋" w:cs="仿宋"/>
          <w:sz w:val="32"/>
          <w:szCs w:val="32"/>
          <w:lang w:val="en-US" w:eastAsia="zh-CN"/>
        </w:rPr>
        <w:t>2023年3月31日</w:t>
      </w:r>
    </w:p>
    <w:p>
      <w:pPr>
        <w:pageBreakBefore w:val="0"/>
        <w:widowControl/>
        <w:kinsoku/>
        <w:wordWrap/>
        <w:overflowPunct/>
        <w:topLinePunct w:val="0"/>
        <w:autoSpaceDE/>
        <w:autoSpaceDN/>
        <w:bidi w:val="0"/>
        <w:adjustRightInd/>
        <w:snapToGrid/>
        <w:spacing w:before="60" w:after="60" w:line="240" w:lineRule="auto"/>
        <w:ind w:left="0" w:leftChars="0" w:right="0" w:rightChars="0"/>
        <w:jc w:val="left"/>
        <w:textAlignment w:val="auto"/>
        <w:rPr>
          <w:rFonts w:ascii="宋体" w:hAnsi="宋体" w:eastAsia="宋体" w:cs="Arial"/>
          <w:b/>
          <w:bCs/>
          <w:sz w:val="36"/>
          <w:szCs w:val="36"/>
        </w:rPr>
      </w:pPr>
      <w:r>
        <w:rPr>
          <w:rFonts w:ascii="宋体" w:hAnsi="宋体" w:eastAsia="宋体" w:cs="Arial"/>
          <w:b/>
          <w:bCs/>
          <w:sz w:val="36"/>
          <w:szCs w:val="36"/>
        </w:rPr>
        <w:br w:type="page"/>
      </w:r>
    </w:p>
    <w:p>
      <w:pPr>
        <w:keepNext w:val="0"/>
        <w:keepLines w:val="0"/>
        <w:pageBreakBefore w:val="0"/>
        <w:widowControl w:val="0"/>
        <w:kinsoku/>
        <w:wordWrap/>
        <w:overflowPunct/>
        <w:topLinePunct w:val="0"/>
        <w:autoSpaceDE/>
        <w:autoSpaceDN/>
        <w:bidi w:val="0"/>
        <w:adjustRightInd/>
        <w:snapToGrid/>
        <w:spacing w:before="60" w:after="60" w:line="240" w:lineRule="auto"/>
        <w:ind w:left="0" w:leftChars="0" w:right="0" w:rightChars="0"/>
        <w:jc w:val="center"/>
        <w:textAlignment w:val="auto"/>
        <w:rPr>
          <w:rFonts w:hint="eastAsia" w:ascii="仿宋" w:hAnsi="仿宋" w:eastAsia="仿宋" w:cs="仿宋"/>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60" w:after="60" w:line="240" w:lineRule="auto"/>
        <w:ind w:left="0" w:leftChars="0" w:right="0" w:rightChars="0"/>
        <w:jc w:val="center"/>
        <w:textAlignment w:val="auto"/>
        <w:rPr>
          <w:rFonts w:hint="eastAsia" w:ascii="宋体" w:hAnsi="宋体" w:eastAsia="宋体" w:cs="宋体"/>
          <w:sz w:val="36"/>
          <w:szCs w:val="36"/>
        </w:rPr>
      </w:pPr>
      <w:r>
        <w:rPr>
          <w:rFonts w:hint="eastAsia" w:ascii="宋体" w:hAnsi="宋体" w:eastAsia="宋体" w:cs="宋体"/>
          <w:b/>
          <w:bCs/>
          <w:sz w:val="36"/>
          <w:szCs w:val="36"/>
          <w:lang w:val="en-US" w:eastAsia="zh-CN"/>
        </w:rPr>
        <w:t>2022年霍城县林业和草原局生态护林员补助资金项目支出绩效评价报告</w:t>
      </w:r>
    </w:p>
    <w:p>
      <w:pPr>
        <w:keepNext w:val="0"/>
        <w:keepLines w:val="0"/>
        <w:pageBreakBefore w:val="0"/>
        <w:widowControl w:val="0"/>
        <w:kinsoku/>
        <w:wordWrap/>
        <w:overflowPunct/>
        <w:topLinePunct w:val="0"/>
        <w:autoSpaceDE/>
        <w:autoSpaceDN/>
        <w:bidi w:val="0"/>
        <w:adjustRightInd/>
        <w:snapToGrid/>
        <w:spacing w:before="60" w:after="60" w:line="240" w:lineRule="auto"/>
        <w:ind w:right="0" w:rightChars="0"/>
        <w:textAlignment w:val="auto"/>
        <w:rPr>
          <w:rFonts w:hint="eastAsia" w:ascii="宋体" w:hAnsi="宋体" w:eastAsia="宋体" w:cs="宋体"/>
          <w:b/>
          <w:bCs/>
          <w:sz w:val="32"/>
          <w:szCs w:val="32"/>
        </w:rPr>
      </w:pPr>
      <w:r>
        <w:rPr>
          <w:rFonts w:hint="eastAsia" w:ascii="宋体" w:hAnsi="宋体" w:eastAsia="宋体" w:cs="宋体"/>
          <w:b/>
          <w:bCs/>
          <w:sz w:val="32"/>
          <w:szCs w:val="32"/>
        </w:rPr>
        <w:t>一、基本情况</w:t>
      </w:r>
    </w:p>
    <w:p>
      <w:pPr>
        <w:spacing w:line="360" w:lineRule="auto"/>
        <w:ind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（一）项目概况</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1.项目背景</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十三五”期间，累计完成造林面积6133公顷，其中：人工造林4000公顷，封山（沙、河）育林面积2133公顷，森林抚育面积1333公顷。通过加大生态保护修复力度，全县生态环境明显改善。城区形成了点成景，线成荫、面成林的绿化景观带、片、网格相结合的绿化体系，营造了良好的城市生态环境和优美的宜居环境，围绕脱贫攻坚总目标，任务精准施策，大力推广“生态+脱贫”模式，落实林业产业发展政策措施，激活“龙头企业+合作社+农户</w:t>
      </w:r>
      <w:r>
        <w:rPr>
          <w:rFonts w:hint="default" w:ascii="Times New Roman" w:hAnsi="Times New Roman" w:eastAsia="仿宋_GB2312" w:cs="Times New Roman"/>
          <w:b w:val="0"/>
          <w:bCs w:val="0"/>
          <w:color w:val="auto"/>
          <w:kern w:val="2"/>
          <w:sz w:val="30"/>
          <w:szCs w:val="24"/>
          <w:lang w:val="en-US" w:eastAsia="zh-CN" w:bidi="ar-SA"/>
        </w:rPr>
        <w:t>”</w:t>
      </w:r>
      <w:r>
        <w:rPr>
          <w:rFonts w:hint="eastAsia" w:ascii="Times New Roman" w:hAnsi="Times New Roman" w:eastAsia="仿宋_GB2312" w:cs="Times New Roman"/>
          <w:b w:val="0"/>
          <w:bCs w:val="0"/>
          <w:color w:val="auto"/>
          <w:kern w:val="2"/>
          <w:sz w:val="30"/>
          <w:szCs w:val="24"/>
          <w:lang w:val="en-US" w:eastAsia="zh-CN" w:bidi="ar-SA"/>
        </w:rPr>
        <w:t>模式，支持贫困户发展特色养殖、经济林、森林旅游等产业，建设“林上采、林中养、林下种、林间游”产业体系，探索林业产业发展新途径，为贫困群众脱贫致富构筑稳固渠道。通过将建档立卡贫困人口转化为护林员，解决了62名有劳动能力贫困户就业问题，每人每年一万元，稳步增加其收入。</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2.主要内容及实施情况</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1.主要内容</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通过实施建档立卡贫困户生态护林员补助资金项目，有效助力全县天然林、国家公益林、集体公益林、退耕还林的生态林、草原的管护工作，确保全县森林防灭火灾害受灾率控制在8‰以下，林业有害生物成灾率控制在3‰以内，实现生态资源和脱贫增收双赢的目标。</w:t>
      </w:r>
    </w:p>
    <w:p>
      <w:pPr>
        <w:spacing w:line="360" w:lineRule="auto"/>
        <w:ind w:firstLine="600" w:firstLineChars="200"/>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 xml:space="preserve">生态护林员管护职责：1.积极宣传国家林草政策、法律法规，宣传林木采伐管理、森林防火等知识；2.责任区内的森林、林木和林地的巡护，制止乱砍滥伐林木，非法采挖古树名木和珍稀树木等行为；3.制止在林区违章用火行为，及时清除林火隐患，发现火情及时报告并协助当地政府组织群众扑灭森林火灾，协助执法部门对火灾案件进行查处；4.发现森林病虫灾害及时报告林草主管部门，并协助林草主管部门搞好调查与防治工作；5.制止乱采乱挖和乱捕乱猎国家和省级重点保护的野生动植物，协助森林公安依法收缴采挖猎捕工具和野生动植物；6.接受林草部门技术指导，配合林草部门在管护责任区开展林草各项工作；7.维护森林、草原保护管理宣传标志和设施；8.记录每天巡护日记，发现有价值的林草信息，及时向林草主管部门报告。 </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2.实施情况</w:t>
      </w:r>
    </w:p>
    <w:p>
      <w:pPr>
        <w:spacing w:line="360" w:lineRule="auto"/>
        <w:ind w:firstLine="600" w:firstLineChars="200"/>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经县扶贫办和11个乡镇林业站的配合，完成了62人建档立卡扶贫人员的续聘，由林草局审核，乡镇录入财政一卡通，实施资金的发放。</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3.资金投入和使用情况</w:t>
      </w:r>
    </w:p>
    <w:p>
      <w:pPr>
        <w:spacing w:line="360" w:lineRule="auto"/>
        <w:ind w:firstLine="600" w:firstLineChars="200"/>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（1）资金投入：该项目年初预算数62万元，全年预算数62万元，实际总投入62万元，该项目资金已全部落实到位，资金来源为财政拨款。</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（2）资金使用情况：该项目年初预算数62万元，全年预算数62万元，全年执行数62万元，预算执行率为100%，用于：生态护林员发放补助标准62人/10000元。</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（二）项目绩效目标</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1.总体目标</w:t>
      </w:r>
    </w:p>
    <w:p>
      <w:pPr>
        <w:spacing w:line="360" w:lineRule="auto"/>
        <w:ind w:firstLine="600" w:firstLineChars="200"/>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通过实施建档立卡贫困户生态护林员补助资金项目，有效助力全县天然林、国家公益林、集体公益林、退耕还林的生态林、草原的管护工作，确保全县森林防灭火灾害受灾率控制在8‰以下，林业有害生物成灾率控制在3‰以内，实现生态资源和脱贫增收双赢的目标。</w:t>
      </w:r>
    </w:p>
    <w:p>
      <w:pPr>
        <w:numPr>
          <w:ilvl w:val="0"/>
          <w:numId w:val="1"/>
        </w:numPr>
        <w:spacing w:line="360" w:lineRule="auto"/>
        <w:ind w:firstLine="600" w:firstLineChars="200"/>
        <w:rPr>
          <w:rFonts w:hint="eastAsia" w:ascii="Times New Roman" w:hAnsi="Times New Roman" w:eastAsia="仿宋_GB2312" w:cs="Times New Roman"/>
          <w:b w:val="0"/>
          <w:bCs w:val="0"/>
          <w:color w:val="auto"/>
          <w:kern w:val="2"/>
          <w:sz w:val="30"/>
          <w:szCs w:val="24"/>
          <w:highlight w:val="none"/>
          <w:lang w:val="en-US" w:eastAsia="zh-CN" w:bidi="ar-SA"/>
        </w:rPr>
      </w:pPr>
      <w:r>
        <w:rPr>
          <w:rFonts w:hint="eastAsia" w:ascii="Times New Roman" w:hAnsi="Times New Roman" w:eastAsia="仿宋_GB2312" w:cs="Times New Roman"/>
          <w:b w:val="0"/>
          <w:bCs w:val="0"/>
          <w:color w:val="auto"/>
          <w:kern w:val="2"/>
          <w:sz w:val="30"/>
          <w:szCs w:val="24"/>
          <w:highlight w:val="none"/>
          <w:lang w:val="en-US" w:eastAsia="zh-CN" w:bidi="ar-SA"/>
        </w:rPr>
        <w:t>阶段性目标：</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00" w:firstLineChars="200"/>
        <w:textAlignment w:val="auto"/>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通过补助资金的发放提高护林员工作积极性，对生态护林员大范围内培训，短期内能够达到人人都能够使用巡护APP进行巡护工作，每日上传巡护日志，实现巡护管理的数据化，合理保护生态资源。</w:t>
      </w:r>
    </w:p>
    <w:p>
      <w:pPr>
        <w:pStyle w:val="2"/>
        <w:numPr>
          <w:ilvl w:val="0"/>
          <w:numId w:val="0"/>
        </w:numPr>
        <w:rPr>
          <w:rFonts w:hint="eastAsia"/>
          <w:lang w:val="en-US" w:eastAsia="zh-CN"/>
        </w:rPr>
      </w:pPr>
    </w:p>
    <w:p>
      <w:pPr>
        <w:spacing w:line="360" w:lineRule="auto"/>
        <w:rPr>
          <w:rFonts w:hint="eastAsia" w:ascii="宋体" w:hAnsi="宋体" w:eastAsia="宋体" w:cs="宋体"/>
          <w:b/>
          <w:bCs/>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二、绩效评价工作开展情况</w:t>
      </w:r>
    </w:p>
    <w:p>
      <w:pPr>
        <w:spacing w:line="360" w:lineRule="auto"/>
        <w:ind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（一）绩效评价目的、对象和范围</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1.绩效评价目的：</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通过绩效评价，客观地评判项目的管理绩效，了解和掌握生态护林员补助资金项目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并加强项目绩效管理，同时为项目后续资金投入、分配和管理提供决策依据。</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2.绩效评价对象：</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生态护林员补助资金项目</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3.绩效评价范围：</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本次评价从项目决策（包括绩效目标、决策过程）、项目管理（包括项目资金、项目实施）、项目产出（包括项目产出数量、产出质量、产出时效和产出成本）项目效益四个维度进行生态护林员补助资金项目评价，评价核心为资金的支出完成情况和效果。</w:t>
      </w:r>
    </w:p>
    <w:p>
      <w:pPr>
        <w:spacing w:line="360" w:lineRule="auto"/>
        <w:ind w:firstLine="640" w:firstLineChars="20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（二）绩效评价原则、评价指标体系、评价方法、评级标准</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1.绩效评价原则</w:t>
      </w:r>
    </w:p>
    <w:p>
      <w:pPr>
        <w:spacing w:line="360" w:lineRule="auto"/>
        <w:ind w:firstLine="600" w:firstLineChars="200"/>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依据《中华人民共和国预算法》《中共中央国务院关于全面实施预算绩效管理的意见》《自治区党委自治区人民政府关于全面实施预算绩效管理的实施意见》《自治区本级财政支出绩效评价管理暂行办法》等系列文件的要求，本次绩效评价秉承科学规范、目标导向、公开公正、绩效相关等原则，结合指导组实地督导工作开展情况，运用定量和定性分析相结合的方法、总结经验做法，反思项目实施和管理中的问题，切实提升财政资金管理的科学化、规范化和精细化水平。</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2.评价指标体系（附表说明）</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生态护林员补助资金项目支出绩效评价指标体系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757"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决策</w:t>
            </w:r>
          </w:p>
        </w:tc>
        <w:tc>
          <w:tcPr>
            <w:tcW w:w="1478"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项目立项　</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立项依据</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Times New Roman" w:hAnsi="Times New Roman" w:eastAsia="仿宋_GB2312" w:cs="Times New Roman"/>
                <w:b w:val="0"/>
                <w:bCs w:val="0"/>
                <w:color w:val="auto"/>
                <w:kern w:val="2"/>
                <w:sz w:val="22"/>
                <w:szCs w:val="22"/>
                <w:lang w:val="en-US" w:eastAsia="zh-CN" w:bidi="ar-SA"/>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c>
          <w:tcPr>
            <w:tcW w:w="874" w:type="dxa"/>
            <w:tcBorders>
              <w:bottom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立项程序</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Times New Roman" w:hAnsi="Times New Roman" w:eastAsia="仿宋_GB2312" w:cs="Times New Roman"/>
                <w:b w:val="0"/>
                <w:bCs w:val="0"/>
                <w:color w:val="auto"/>
                <w:kern w:val="2"/>
                <w:sz w:val="22"/>
                <w:szCs w:val="22"/>
                <w:lang w:val="en-US" w:eastAsia="zh-CN" w:bidi="ar-SA"/>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c>
          <w:tcPr>
            <w:tcW w:w="874" w:type="dxa"/>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绩效目标</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绩效目标</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合理性</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c>
          <w:tcPr>
            <w:tcW w:w="874" w:type="dxa"/>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绩效指标</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明确性</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c>
          <w:tcPr>
            <w:tcW w:w="874" w:type="dxa"/>
            <w:tcBorders>
              <w:bottom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资金投入</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　</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预算编制</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科学性</w:t>
            </w:r>
          </w:p>
        </w:tc>
        <w:tc>
          <w:tcPr>
            <w:tcW w:w="388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tcBorders>
              <w:bottom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资金分配</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合理性</w:t>
            </w:r>
          </w:p>
        </w:tc>
        <w:tc>
          <w:tcPr>
            <w:tcW w:w="388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过程</w:t>
            </w:r>
          </w:p>
        </w:tc>
        <w:tc>
          <w:tcPr>
            <w:tcW w:w="1478"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资金管理</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tcBorders>
              <w:bottom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预算执行率</w:t>
            </w:r>
          </w:p>
        </w:tc>
        <w:tc>
          <w:tcPr>
            <w:tcW w:w="388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tcBorders>
              <w:bottom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资金管理</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资金使用</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合规性</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tcBorders>
              <w:bottom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组织实施</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　</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管理制度</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健全性</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tcBorders>
              <w:bottom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制度执行</w:t>
            </w:r>
          </w:p>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有效性</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c>
          <w:tcPr>
            <w:tcW w:w="874" w:type="dxa"/>
            <w:tcBorders>
              <w:bottom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产出</w:t>
            </w:r>
          </w:p>
        </w:tc>
        <w:tc>
          <w:tcPr>
            <w:tcW w:w="1478" w:type="dxa"/>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产出数量</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c>
          <w:tcPr>
            <w:tcW w:w="874" w:type="dxa"/>
            <w:shd w:val="clear" w:color="000000"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产出质量</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c>
          <w:tcPr>
            <w:tcW w:w="874" w:type="dxa"/>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产出时效</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c>
          <w:tcPr>
            <w:tcW w:w="874" w:type="dxa"/>
            <w:shd w:val="clear" w:color="000000"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产出成本</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成本节约率</w:t>
            </w:r>
          </w:p>
        </w:tc>
        <w:tc>
          <w:tcPr>
            <w:tcW w:w="388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c>
          <w:tcPr>
            <w:tcW w:w="874" w:type="dxa"/>
            <w:shd w:val="clear" w:color="auto" w:fill="FFFFFF"/>
            <w:vAlign w:val="top"/>
          </w:tcPr>
          <w:p>
            <w:pPr>
              <w:spacing w:line="480" w:lineRule="auto"/>
              <w:jc w:val="center"/>
              <w:rPr>
                <w:rFonts w:hint="eastAsia"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效益　</w:t>
            </w:r>
          </w:p>
        </w:tc>
        <w:tc>
          <w:tcPr>
            <w:tcW w:w="1478" w:type="dxa"/>
            <w:vMerge w:val="restart"/>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项目效益　</w:t>
            </w: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实施效益</w:t>
            </w:r>
          </w:p>
        </w:tc>
        <w:tc>
          <w:tcPr>
            <w:tcW w:w="388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项目实施所产生的效益。</w:t>
            </w:r>
          </w:p>
        </w:tc>
        <w:tc>
          <w:tcPr>
            <w:tcW w:w="990" w:type="dxa"/>
            <w:tcBorders>
              <w:left w:val="single" w:color="auto" w:sz="4" w:space="0"/>
            </w:tcBorders>
            <w:shd w:val="clear" w:color="auto"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15</w:t>
            </w:r>
          </w:p>
        </w:tc>
        <w:tc>
          <w:tcPr>
            <w:tcW w:w="874" w:type="dxa"/>
            <w:shd w:val="clear" w:color="auto"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478" w:type="dxa"/>
            <w:vMerge w:val="continue"/>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p>
        </w:tc>
        <w:tc>
          <w:tcPr>
            <w:tcW w:w="1875" w:type="dxa"/>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满意度</w:t>
            </w:r>
          </w:p>
        </w:tc>
        <w:tc>
          <w:tcPr>
            <w:tcW w:w="3885" w:type="dxa"/>
            <w:tcBorders>
              <w:right w:val="single" w:color="auto" w:sz="4" w:space="0"/>
            </w:tcBorders>
            <w:shd w:val="clear" w:color="000000"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社会公众或服务对象对项目实施效果的满意程度。</w:t>
            </w:r>
          </w:p>
        </w:tc>
        <w:tc>
          <w:tcPr>
            <w:tcW w:w="990" w:type="dxa"/>
            <w:tcBorders>
              <w:left w:val="single" w:color="auto" w:sz="4" w:space="0"/>
            </w:tcBorders>
            <w:shd w:val="clear" w:color="000000"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15</w:t>
            </w:r>
          </w:p>
        </w:tc>
        <w:tc>
          <w:tcPr>
            <w:tcW w:w="874" w:type="dxa"/>
            <w:shd w:val="clear" w:color="000000" w:fill="FFFFFF"/>
            <w:vAlign w:val="top"/>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hint="eastAsia" w:ascii="Times New Roman" w:hAnsi="Times New Roman" w:eastAsia="仿宋_GB2312" w:cs="Times New Roman"/>
                <w:b w:val="0"/>
                <w:bCs w:val="0"/>
                <w:color w:val="auto"/>
                <w:kern w:val="2"/>
                <w:sz w:val="22"/>
                <w:szCs w:val="22"/>
                <w:lang w:val="en-US" w:eastAsia="zh-CN" w:bidi="ar-SA"/>
              </w:rPr>
            </w:pPr>
            <w:r>
              <w:rPr>
                <w:rFonts w:hint="eastAsia" w:ascii="Times New Roman" w:hAnsi="Times New Roman" w:eastAsia="仿宋_GB2312" w:cs="Times New Roman"/>
                <w:b w:val="0"/>
                <w:bCs w:val="0"/>
                <w:color w:val="auto"/>
                <w:kern w:val="2"/>
                <w:sz w:val="22"/>
                <w:szCs w:val="22"/>
                <w:lang w:val="en-US" w:eastAsia="zh-CN" w:bidi="ar-SA"/>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100</w:t>
            </w:r>
          </w:p>
        </w:tc>
        <w:tc>
          <w:tcPr>
            <w:tcW w:w="874" w:type="dxa"/>
            <w:shd w:val="clear" w:color="auto" w:fill="FFFFFF"/>
            <w:vAlign w:val="center"/>
          </w:tcPr>
          <w:p>
            <w:pPr>
              <w:spacing w:line="480" w:lineRule="auto"/>
              <w:jc w:val="center"/>
              <w:rPr>
                <w:rFonts w:hint="default" w:ascii="Times New Roman" w:hAnsi="Times New Roman" w:eastAsia="仿宋_GB2312" w:cs="Times New Roman"/>
                <w:b w:val="0"/>
                <w:bCs w:val="0"/>
                <w:color w:val="auto"/>
                <w:kern w:val="2"/>
                <w:sz w:val="21"/>
                <w:szCs w:val="21"/>
                <w:lang w:val="en-US" w:eastAsia="zh-CN" w:bidi="ar-SA"/>
              </w:rPr>
            </w:pPr>
            <w:r>
              <w:rPr>
                <w:rFonts w:hint="eastAsia" w:ascii="Times New Roman" w:hAnsi="Times New Roman" w:eastAsia="仿宋_GB2312" w:cs="Times New Roman"/>
                <w:b w:val="0"/>
                <w:bCs w:val="0"/>
                <w:color w:val="auto"/>
                <w:kern w:val="2"/>
                <w:sz w:val="21"/>
                <w:szCs w:val="21"/>
                <w:lang w:val="en-US" w:eastAsia="zh-CN" w:bidi="ar-SA"/>
              </w:rPr>
              <w:t>100</w:t>
            </w:r>
          </w:p>
        </w:tc>
      </w:tr>
    </w:tbl>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sectPr>
          <w:pgSz w:w="11906" w:h="16838"/>
          <w:pgMar w:top="1928" w:right="1531" w:bottom="1701" w:left="1531" w:header="737" w:footer="851" w:gutter="0"/>
          <w:cols w:space="720" w:num="1"/>
          <w:docGrid w:type="lines" w:linePitch="408" w:charSpace="0"/>
        </w:sectPr>
      </w:pP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3.评价方法</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highlight w:val="none"/>
          <w:lang w:val="en-US" w:eastAsia="zh-CN" w:bidi="ar-SA"/>
        </w:rPr>
        <w:t>本次项目支出绩效自评采用的比较法，原因是：运用比较法与上年生态护林员资金补助情况和巡林管护工作情况进行比较分析，今年取得的成效优于上年，管护工作更加数据化，工作积极性更强。</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4.评级标准</w:t>
      </w:r>
    </w:p>
    <w:p>
      <w:pPr>
        <w:spacing w:line="360" w:lineRule="auto"/>
        <w:ind w:firstLine="600" w:firstLineChars="200"/>
        <w:rPr>
          <w:rFonts w:hint="eastAsia" w:ascii="Times New Roman" w:hAnsi="Times New Roman" w:eastAsia="仿宋_GB2312" w:cs="Times New Roman"/>
          <w:b w:val="0"/>
          <w:bCs w:val="0"/>
          <w:color w:val="auto"/>
          <w:kern w:val="2"/>
          <w:sz w:val="30"/>
          <w:szCs w:val="24"/>
          <w:highlight w:val="none"/>
          <w:lang w:val="en-US" w:eastAsia="zh-CN" w:bidi="ar-SA"/>
        </w:rPr>
      </w:pPr>
      <w:r>
        <w:rPr>
          <w:rFonts w:hint="eastAsia" w:ascii="Times New Roman" w:hAnsi="Times New Roman" w:eastAsia="仿宋_GB2312" w:cs="Times New Roman"/>
          <w:b w:val="0"/>
          <w:bCs w:val="0"/>
          <w:color w:val="auto"/>
          <w:kern w:val="2"/>
          <w:sz w:val="30"/>
          <w:szCs w:val="24"/>
          <w:highlight w:val="none"/>
          <w:lang w:val="en-US" w:eastAsia="zh-CN" w:bidi="ar-SA"/>
        </w:rPr>
        <w:t>本次项目支出绩效自评采用计划标准，原因是：该项目绩效目标是通过可以预先制定的目标、计划、预算、定额等与该项目是实施后达到的目标、计划、预算、定额等作出对比。</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（三）绩效评价工作过程</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1.前期准备</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2023年3月1日，</w:t>
      </w:r>
      <w:r>
        <w:rPr>
          <w:rFonts w:hint="eastAsia" w:ascii="Times New Roman" w:hAnsi="Times New Roman" w:eastAsia="仿宋_GB2312" w:cs="Times New Roman"/>
          <w:b w:val="0"/>
          <w:bCs w:val="0"/>
          <w:color w:val="auto"/>
          <w:kern w:val="2"/>
          <w:sz w:val="30"/>
          <w:szCs w:val="24"/>
          <w:lang w:val="zh-CN" w:eastAsia="zh-CN" w:bidi="ar-SA"/>
        </w:rPr>
        <w:t>开始前期准备工作，评价组通过前期调研</w:t>
      </w:r>
      <w:r>
        <w:rPr>
          <w:rFonts w:hint="eastAsia" w:ascii="Times New Roman" w:hAnsi="Times New Roman" w:eastAsia="仿宋_GB2312" w:cs="Times New Roman"/>
          <w:b w:val="0"/>
          <w:bCs w:val="0"/>
          <w:color w:val="auto"/>
          <w:kern w:val="2"/>
          <w:sz w:val="30"/>
          <w:szCs w:val="24"/>
          <w:lang w:val="en-US" w:eastAsia="zh-CN" w:bidi="ar-SA"/>
        </w:rPr>
        <w:t>确定绩效评价对象和范围，</w:t>
      </w:r>
      <w:r>
        <w:rPr>
          <w:rFonts w:hint="eastAsia" w:ascii="Times New Roman" w:hAnsi="Times New Roman" w:eastAsia="仿宋_GB2312" w:cs="Times New Roman"/>
          <w:b w:val="0"/>
          <w:bCs w:val="0"/>
          <w:color w:val="auto"/>
          <w:kern w:val="2"/>
          <w:sz w:val="30"/>
          <w:szCs w:val="24"/>
          <w:lang w:val="zh-CN" w:eastAsia="zh-CN" w:bidi="ar-SA"/>
        </w:rPr>
        <w:t>确定了评价的目的、方法以及评价的原则，根据项目的内容和特征制定了评价指标体系及评价标准以及评价实施方案，修正并确定所需资料清单，最终确定</w:t>
      </w:r>
      <w:r>
        <w:rPr>
          <w:rFonts w:hint="eastAsia" w:ascii="Times New Roman" w:hAnsi="Times New Roman" w:eastAsia="仿宋_GB2312" w:cs="Times New Roman"/>
          <w:b w:val="0"/>
          <w:bCs w:val="0"/>
          <w:color w:val="auto"/>
          <w:kern w:val="2"/>
          <w:sz w:val="30"/>
          <w:szCs w:val="24"/>
          <w:lang w:val="en-US" w:eastAsia="zh-CN" w:bidi="ar-SA"/>
        </w:rPr>
        <w:t>绩效评价工作方案；</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2.组织实施</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2023年3月15日，评价工作进入实施阶段，评价组收集绩效评价相关数据资料，进行现场调研、座谈；并与项目实施负责人沟通，了解资金的内容、操作流程、管理机制、资金使用方向等情况，分析形成初步结论。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3.分析评价</w:t>
      </w:r>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2023年3月16日-3月31日，评价组按照绩效评价的原则和规范，对取得的资料进行审查核实，对采集的数据进行分析，按照绩效评价指标评分表逐项进行打分、分析，汇总各方评价结果，综合分析并形成评价结论。</w:t>
      </w:r>
    </w:p>
    <w:p>
      <w:pPr>
        <w:pStyle w:val="2"/>
        <w:pageBreakBefore w:val="0"/>
        <w:kinsoku/>
        <w:wordWrap/>
        <w:overflowPunct/>
        <w:topLinePunct w:val="0"/>
        <w:autoSpaceDE/>
        <w:autoSpaceDN/>
        <w:bidi w:val="0"/>
        <w:adjustRightInd/>
        <w:snapToGrid/>
        <w:spacing w:before="60" w:after="60" w:line="240" w:lineRule="auto"/>
        <w:ind w:left="0" w:leftChars="0"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60" w:after="60" w:line="240" w:lineRule="auto"/>
        <w:ind w:right="0" w:rightChars="0"/>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三、综合评价情况及评价结论</w:t>
      </w:r>
    </w:p>
    <w:p>
      <w:pPr>
        <w:pStyle w:val="3"/>
        <w:pageBreakBefore w:val="0"/>
        <w:numPr>
          <w:ilvl w:val="0"/>
          <w:numId w:val="0"/>
        </w:numPr>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bookmarkStart w:id="0" w:name="_Toc68703835"/>
      <w:r>
        <w:rPr>
          <w:rFonts w:hint="eastAsia" w:ascii="Times New Roman" w:hAnsi="Times New Roman" w:eastAsia="仿宋_GB2312" w:cs="Times New Roman"/>
          <w:b w:val="0"/>
          <w:bCs w:val="0"/>
          <w:color w:val="auto"/>
          <w:kern w:val="2"/>
          <w:sz w:val="32"/>
          <w:szCs w:val="32"/>
          <w:lang w:val="en-US" w:eastAsia="zh-CN" w:bidi="ar-SA"/>
        </w:rPr>
        <w:t>（一）综合评价情况</w:t>
      </w:r>
      <w:bookmarkEnd w:id="0"/>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本项目严格按照科学公正、统筹兼顾、激励约束、公开透明的绩效评价原则，采用比较法，坚持计划标准作为绩效评价标准对本项目的立项、绩效目标、资金投入、资金管理、组织实施、产出数量、产出质量、产出时效、产出成本、项目效益进行了综合评价。</w:t>
      </w:r>
    </w:p>
    <w:p>
      <w:pPr>
        <w:spacing w:line="360" w:lineRule="auto"/>
        <w:ind w:firstLine="1500" w:firstLineChars="500"/>
        <w:rPr>
          <w:rFonts w:hint="eastAsia" w:ascii="Times New Roman" w:hAnsi="Times New Roman" w:eastAsia="仿宋_GB2312" w:cs="Times New Roman"/>
          <w:color w:val="auto"/>
          <w:sz w:val="30"/>
          <w:lang w:val="en-US" w:eastAsia="zh-CN"/>
        </w:rPr>
      </w:pPr>
      <w:r>
        <w:rPr>
          <w:rFonts w:hint="eastAsia" w:ascii="Times New Roman" w:hAnsi="Times New Roman" w:eastAsia="仿宋_GB2312" w:cs="Times New Roman"/>
          <w:color w:val="auto"/>
          <w:sz w:val="30"/>
          <w:lang w:val="en-US" w:eastAsia="zh-CN"/>
        </w:rPr>
        <w:t>生态护林员补助资金项目评价得分情况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spacing w:line="360" w:lineRule="auto"/>
              <w:ind w:firstLine="442" w:firstLineChars="200"/>
              <w:jc w:val="center"/>
              <w:rPr>
                <w:rFonts w:hint="eastAsia" w:ascii="Times New Roman" w:hAnsi="Times New Roman" w:eastAsia="仿宋_GB2312" w:cs="Times New Roman"/>
                <w:b/>
                <w:bCs/>
                <w:color w:val="auto"/>
                <w:sz w:val="22"/>
                <w:szCs w:val="22"/>
                <w:lang w:val="en-US" w:eastAsia="zh-CN"/>
              </w:rPr>
            </w:pPr>
            <w:r>
              <w:rPr>
                <w:rFonts w:hint="eastAsia" w:ascii="Times New Roman" w:hAnsi="Times New Roman" w:eastAsia="仿宋_GB2312" w:cs="Times New Roman"/>
                <w:b/>
                <w:bCs/>
                <w:color w:val="auto"/>
                <w:sz w:val="22"/>
                <w:szCs w:val="22"/>
                <w:lang w:val="en-US" w:eastAsia="zh-CN"/>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360" w:lineRule="auto"/>
              <w:ind w:firstLine="442" w:firstLineChars="200"/>
              <w:jc w:val="center"/>
              <w:rPr>
                <w:rFonts w:hint="eastAsia" w:ascii="Times New Roman" w:hAnsi="Times New Roman" w:eastAsia="仿宋_GB2312" w:cs="Times New Roman"/>
                <w:b/>
                <w:bCs/>
                <w:color w:val="auto"/>
                <w:sz w:val="22"/>
                <w:szCs w:val="22"/>
                <w:lang w:val="en-US" w:eastAsia="zh-CN"/>
              </w:rPr>
            </w:pPr>
            <w:r>
              <w:rPr>
                <w:rFonts w:hint="eastAsia" w:ascii="Times New Roman" w:hAnsi="Times New Roman" w:eastAsia="仿宋_GB2312" w:cs="Times New Roman"/>
                <w:b/>
                <w:bCs/>
                <w:color w:val="auto"/>
                <w:sz w:val="22"/>
                <w:szCs w:val="22"/>
                <w:lang w:val="en-US" w:eastAsia="zh-CN"/>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360" w:lineRule="auto"/>
              <w:ind w:firstLine="442" w:firstLineChars="200"/>
              <w:jc w:val="center"/>
              <w:rPr>
                <w:rFonts w:hint="eastAsia" w:ascii="Times New Roman" w:hAnsi="Times New Roman" w:eastAsia="仿宋_GB2312" w:cs="Times New Roman"/>
                <w:b/>
                <w:bCs/>
                <w:color w:val="auto"/>
                <w:sz w:val="22"/>
                <w:szCs w:val="22"/>
                <w:lang w:val="en-US" w:eastAsia="zh-CN"/>
              </w:rPr>
            </w:pPr>
            <w:r>
              <w:rPr>
                <w:rFonts w:hint="eastAsia" w:ascii="Times New Roman" w:hAnsi="Times New Roman" w:eastAsia="仿宋_GB2312" w:cs="Times New Roman"/>
                <w:b/>
                <w:bCs/>
                <w:color w:val="auto"/>
                <w:sz w:val="22"/>
                <w:szCs w:val="22"/>
                <w:lang w:val="en-US" w:eastAsia="zh-CN"/>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360" w:lineRule="auto"/>
              <w:ind w:firstLine="440" w:firstLineChars="200"/>
              <w:jc w:val="center"/>
              <w:rPr>
                <w:rFonts w:hint="eastAsia"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项目决策</w:t>
            </w:r>
          </w:p>
        </w:tc>
        <w:tc>
          <w:tcPr>
            <w:tcW w:w="216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360" w:lineRule="auto"/>
              <w:ind w:firstLine="440" w:firstLineChars="200"/>
              <w:jc w:val="center"/>
              <w:rPr>
                <w:rFonts w:hint="eastAsia"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项目过程</w:t>
            </w:r>
          </w:p>
        </w:tc>
        <w:tc>
          <w:tcPr>
            <w:tcW w:w="216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360" w:lineRule="auto"/>
              <w:ind w:firstLine="440" w:firstLineChars="200"/>
              <w:jc w:val="center"/>
              <w:rPr>
                <w:rFonts w:hint="eastAsia"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项目产出</w:t>
            </w:r>
          </w:p>
        </w:tc>
        <w:tc>
          <w:tcPr>
            <w:tcW w:w="216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30</w:t>
            </w:r>
          </w:p>
        </w:tc>
      </w:tr>
      <w:tr>
        <w:tblPrEx>
          <w:tblCellMar>
            <w:top w:w="0" w:type="dxa"/>
            <w:left w:w="108" w:type="dxa"/>
            <w:bottom w:w="0" w:type="dxa"/>
            <w:right w:w="108" w:type="dxa"/>
          </w:tblCellMar>
        </w:tblPrEx>
        <w:trPr>
          <w:trHeight w:val="9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360" w:lineRule="auto"/>
              <w:ind w:firstLine="440" w:firstLineChars="200"/>
              <w:jc w:val="center"/>
              <w:rPr>
                <w:rFonts w:hint="eastAsia"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项目效益</w:t>
            </w:r>
          </w:p>
        </w:tc>
        <w:tc>
          <w:tcPr>
            <w:tcW w:w="216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360" w:lineRule="auto"/>
              <w:ind w:firstLine="440" w:firstLineChars="200"/>
              <w:jc w:val="center"/>
              <w:rPr>
                <w:rFonts w:hint="eastAsia"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合计</w:t>
            </w:r>
          </w:p>
        </w:tc>
        <w:tc>
          <w:tcPr>
            <w:tcW w:w="216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spacing w:line="360" w:lineRule="auto"/>
              <w:ind w:firstLine="440" w:firstLineChars="200"/>
              <w:jc w:val="center"/>
              <w:rPr>
                <w:rFonts w:hint="default" w:ascii="Times New Roman" w:hAnsi="Times New Roman" w:eastAsia="仿宋_GB2312" w:cs="Times New Roman"/>
                <w:color w:val="auto"/>
                <w:sz w:val="22"/>
                <w:szCs w:val="22"/>
                <w:lang w:val="en-US" w:eastAsia="zh-CN"/>
              </w:rPr>
            </w:pPr>
            <w:r>
              <w:rPr>
                <w:rFonts w:hint="eastAsia" w:ascii="Times New Roman" w:hAnsi="Times New Roman" w:eastAsia="仿宋_GB2312" w:cs="Times New Roman"/>
                <w:color w:val="auto"/>
                <w:sz w:val="22"/>
                <w:szCs w:val="22"/>
                <w:lang w:val="en-US" w:eastAsia="zh-CN"/>
              </w:rPr>
              <w:t>100</w:t>
            </w:r>
          </w:p>
        </w:tc>
      </w:tr>
    </w:tbl>
    <w:p>
      <w:pPr>
        <w:pageBreakBefore w:val="0"/>
        <w:numPr>
          <w:ilvl w:val="0"/>
          <w:numId w:val="0"/>
        </w:numPr>
        <w:kinsoku/>
        <w:wordWrap/>
        <w:overflowPunct/>
        <w:topLinePunct w:val="0"/>
        <w:autoSpaceDE/>
        <w:autoSpaceDN/>
        <w:bidi w:val="0"/>
        <w:adjustRightInd/>
        <w:snapToGrid/>
        <w:spacing w:before="60" w:after="60" w:line="240" w:lineRule="auto"/>
        <w:ind w:left="0" w:leftChars="0" w:right="0" w:rightChars="0"/>
        <w:textAlignment w:val="auto"/>
        <w:rPr>
          <w:rFonts w:hint="eastAsia"/>
        </w:rPr>
      </w:pPr>
    </w:p>
    <w:p>
      <w:pPr>
        <w:spacing w:line="360" w:lineRule="auto"/>
        <w:ind w:firstLine="640" w:firstLineChars="200"/>
        <w:rPr>
          <w:rFonts w:hint="eastAsia" w:ascii="Times New Roman" w:hAnsi="Times New Roman" w:eastAsia="仿宋_GB2312" w:cs="Times New Roman"/>
          <w:color w:val="auto"/>
          <w:sz w:val="32"/>
          <w:szCs w:val="32"/>
          <w:lang w:val="en-US" w:eastAsia="zh-CN"/>
        </w:rPr>
      </w:pPr>
      <w:bookmarkStart w:id="1" w:name="_Toc68703836"/>
      <w:r>
        <w:rPr>
          <w:rFonts w:hint="eastAsia" w:ascii="Times New Roman" w:hAnsi="Times New Roman" w:eastAsia="仿宋_GB2312" w:cs="Times New Roman"/>
          <w:color w:val="auto"/>
          <w:sz w:val="32"/>
          <w:szCs w:val="32"/>
          <w:lang w:val="en-US" w:eastAsia="zh-CN"/>
        </w:rPr>
        <w:t>（二）评价结论</w:t>
      </w:r>
      <w:bookmarkEnd w:id="1"/>
    </w:p>
    <w:p>
      <w:pPr>
        <w:spacing w:line="360" w:lineRule="auto"/>
        <w:ind w:firstLine="600" w:firstLineChars="200"/>
        <w:rPr>
          <w:rFonts w:hint="eastAsia" w:ascii="Times New Roman" w:hAnsi="Times New Roman" w:eastAsia="仿宋_GB2312" w:cs="Times New Roman"/>
          <w:color w:val="auto"/>
          <w:sz w:val="30"/>
          <w:lang w:val="en-US" w:eastAsia="zh-CN"/>
        </w:rPr>
      </w:pPr>
      <w:r>
        <w:rPr>
          <w:rFonts w:hint="eastAsia" w:ascii="Times New Roman" w:hAnsi="Times New Roman" w:eastAsia="仿宋_GB2312" w:cs="Times New Roman"/>
          <w:color w:val="auto"/>
          <w:sz w:val="30"/>
          <w:lang w:val="en-US" w:eastAsia="zh-CN"/>
        </w:rPr>
        <w:t>本项目的项目决策、项目过程、项目产出、项目效益均达到了预期要求，最终评分为100分，评价等级为“优”，项目达成年度指标。</w:t>
      </w:r>
    </w:p>
    <w:p>
      <w:pPr>
        <w:keepNext w:val="0"/>
        <w:keepLines w:val="0"/>
        <w:pageBreakBefore w:val="0"/>
        <w:widowControl w:val="0"/>
        <w:numPr>
          <w:ilvl w:val="0"/>
          <w:numId w:val="0"/>
        </w:numPr>
        <w:kinsoku/>
        <w:wordWrap/>
        <w:overflowPunct/>
        <w:topLinePunct w:val="0"/>
        <w:autoSpaceDE/>
        <w:autoSpaceDN/>
        <w:bidi w:val="0"/>
        <w:adjustRightInd/>
        <w:snapToGrid/>
        <w:spacing w:before="60" w:after="60" w:line="240" w:lineRule="auto"/>
        <w:ind w:left="0" w:leftChars="0" w:right="0" w:rightChars="0"/>
        <w:textAlignment w:val="auto"/>
        <w:rPr>
          <w:rFonts w:hint="eastAsia" w:ascii="宋体" w:hAnsi="宋体" w:eastAsia="宋体" w:cs="宋体"/>
          <w:b/>
          <w:bCs/>
          <w:sz w:val="32"/>
          <w:szCs w:val="32"/>
        </w:rPr>
      </w:pPr>
      <w:r>
        <w:rPr>
          <w:rFonts w:hint="eastAsia" w:ascii="宋体" w:hAnsi="宋体" w:eastAsia="宋体" w:cs="宋体"/>
          <w:b/>
          <w:bCs/>
          <w:sz w:val="32"/>
          <w:szCs w:val="32"/>
          <w:lang w:val="en-US" w:eastAsia="zh-CN"/>
        </w:rPr>
        <w:t>四、</w:t>
      </w:r>
      <w:r>
        <w:rPr>
          <w:rFonts w:hint="eastAsia" w:ascii="宋体" w:hAnsi="宋体" w:eastAsia="宋体" w:cs="宋体"/>
          <w:b/>
          <w:bCs/>
          <w:sz w:val="32"/>
          <w:szCs w:val="32"/>
        </w:rPr>
        <w:t>绩效评价指标分析</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仿宋_GB2312" w:eastAsia="仿宋_GB2312" w:hAnsiTheme="majorHAnsi" w:cstheme="majorBidi"/>
          <w:b w:val="0"/>
          <w:bCs w:val="0"/>
          <w:kern w:val="2"/>
          <w:sz w:val="32"/>
          <w:szCs w:val="32"/>
          <w:lang w:val="en-US" w:eastAsia="zh-CN" w:bidi="ar-SA"/>
        </w:rPr>
      </w:pPr>
      <w:bookmarkStart w:id="2" w:name="_Toc68703838"/>
      <w:r>
        <w:rPr>
          <w:rFonts w:hint="eastAsia" w:ascii="仿宋_GB2312" w:eastAsia="仿宋_GB2312" w:hAnsiTheme="majorHAnsi" w:cstheme="majorBidi"/>
          <w:b w:val="0"/>
          <w:bCs w:val="0"/>
          <w:kern w:val="2"/>
          <w:sz w:val="32"/>
          <w:szCs w:val="32"/>
          <w:lang w:val="en-US" w:eastAsia="zh-CN" w:bidi="ar-SA"/>
        </w:rPr>
        <w:t>（一）项目决策情况</w:t>
      </w:r>
      <w:bookmarkEnd w:id="2"/>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1.立项依据充分性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为深入贯彻习近平总书记关于脱贫工作的重要论述和习近平</w:t>
      </w:r>
      <w:bookmarkStart w:id="6" w:name="_GoBack"/>
      <w:bookmarkEnd w:id="6"/>
      <w:r>
        <w:rPr>
          <w:rFonts w:hint="eastAsia" w:ascii="仿宋_GB2312" w:eastAsia="仿宋_GB2312" w:hAnsiTheme="majorHAnsi" w:cstheme="majorBidi"/>
          <w:b w:val="0"/>
          <w:bCs w:val="0"/>
          <w:kern w:val="2"/>
          <w:sz w:val="30"/>
          <w:szCs w:val="30"/>
          <w:lang w:val="en-US" w:eastAsia="zh-CN" w:bidi="ar-SA"/>
        </w:rPr>
        <w:t>生态文明思想，做好2022年建档立卡贫困户人口转化为生态护林员选聘工作，按照自治区《关于开展2020年度建档立卡贫困人口生态护林员选聘（续聘）工作的通知》（新林规发〔2020〕75号）要求，结合我县实际，制定方案。</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2.立项程序规范性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本项目均按照规定程序申请设立、审批文件符合相关要求；事前是否已经过必要的可行性研究、专家论证、风险评估、绩效评估、集体决策。</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3.绩效目标合理性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生态护林员资金补助项目设立了绩效目标，与生态巡林、森林火灾预警工作相符合，项目的产出效益和效果均符合正常业绩水平，并且与预算确定的项目投资额或资金量相匹配。</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4.绩效指标明确性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生态护林员资金补助项目将项目绩效目标细化分解为具体的绩效指标，一级指标共3条，二级指标共8条，三级指标共11条，其中量化指标条数共7条，所有绩效指标均通过清晰、可衡量的指标值予以体现，并且做到了与项目目标任务数或计划数相对应。</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5.预算编制科学性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预算编制经过科学论证；预算内容与项目内容相匹配；</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预算额度测算依据充分，按照标准编制；预算确定的项目投资额或资金量与工作任务相匹配。</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6.资金分配合理性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预算资金分配依据充分，资金分配额度合理，与项目单位实际相适应。</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仿宋_GB2312" w:eastAsia="仿宋_GB2312" w:hAnsiTheme="majorHAnsi" w:cstheme="majorBidi"/>
          <w:b w:val="0"/>
          <w:bCs w:val="0"/>
          <w:kern w:val="2"/>
          <w:sz w:val="32"/>
          <w:szCs w:val="32"/>
          <w:lang w:val="en-US" w:eastAsia="zh-CN" w:bidi="ar-SA"/>
        </w:rPr>
      </w:pPr>
      <w:bookmarkStart w:id="3" w:name="_Toc68703839"/>
      <w:r>
        <w:rPr>
          <w:rFonts w:hint="eastAsia" w:ascii="仿宋_GB2312" w:eastAsia="仿宋_GB2312" w:hAnsiTheme="majorHAnsi" w:cstheme="majorBidi"/>
          <w:b w:val="0"/>
          <w:bCs w:val="0"/>
          <w:kern w:val="2"/>
          <w:sz w:val="32"/>
          <w:szCs w:val="32"/>
          <w:lang w:val="en-US" w:eastAsia="zh-CN" w:bidi="ar-SA"/>
        </w:rPr>
        <w:t>（二）项目过程情况</w:t>
      </w:r>
      <w:bookmarkEnd w:id="3"/>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1.资金到位率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预算资金62.00万元，实际到位资金62.00万元，资金到位率100.00%。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2.预算执行率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年初预算数62.00万元，全年执行数62.00万元，预算执行率100.00%。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3.资金使用合规性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本项目资金使用符合国家财经法规和财务管理制度以及有关专项资金管理办法的规定；资金的拨付具有完整的审批程序和手续；符合项目预算批复或合同规定的用途；不存在截留、挤占、挪用、虚列支出等情况。</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4.管理制度健全性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本项目已制定或具有相应的财务和业务管理制度；财务和业务管理制度合法、合规、完整。</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5.制度执行有效性</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项目实施遵守法律法规和相关规定；项目调整及支出调整手续完备；项目合同书、验收报告、技术鉴定等资料齐全并及时归档；项目实施的人员条件、场地设备、信息支撑等落实到位。</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仿宋_GB2312" w:eastAsia="仿宋_GB2312" w:hAnsiTheme="majorHAnsi" w:cstheme="majorBidi"/>
          <w:b w:val="0"/>
          <w:bCs w:val="0"/>
          <w:kern w:val="2"/>
          <w:sz w:val="32"/>
          <w:szCs w:val="32"/>
          <w:lang w:val="en-US" w:eastAsia="zh-CN" w:bidi="ar-SA"/>
        </w:rPr>
      </w:pPr>
      <w:bookmarkStart w:id="4" w:name="_Toc68703840"/>
      <w:r>
        <w:rPr>
          <w:rFonts w:hint="eastAsia" w:ascii="仿宋_GB2312" w:eastAsia="仿宋_GB2312" w:hAnsiTheme="majorHAnsi" w:cstheme="majorBidi"/>
          <w:b w:val="0"/>
          <w:bCs w:val="0"/>
          <w:kern w:val="2"/>
          <w:sz w:val="32"/>
          <w:szCs w:val="32"/>
          <w:lang w:val="en-US" w:eastAsia="zh-CN" w:bidi="ar-SA"/>
        </w:rPr>
        <w:t>（一）项目产出情况</w:t>
      </w:r>
      <w:bookmarkEnd w:id="4"/>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1.数量指标：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指标1：生态护林员续聘人数，指标值：≥62人，实际完成值62人，指标完成率100%；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指标2：生态护林员续聘完成率，指标值：=100%，实际完成值100%，指标完成率100%；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2.质量指标：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指标1：年度开展生态护林员岗前培训次数，指标值：≥2次，实际完成值：2次，完成率100%。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指标2：生态护林员全部为脱贫人口，指标值：=100%，实际完成值100%，完成率100%。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3.时效指标：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指标1：生态护林员完成续聘工作时限，指标值：≤30天，实际完成值20天，完成率100%。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4.成本指标：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指标1：生态护林员补助标准，指标值：=10000元/年，实际完成值100%，完成率100%。</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仿宋_GB2312" w:eastAsia="仿宋_GB2312" w:hAnsiTheme="majorHAnsi" w:cstheme="majorBidi"/>
          <w:b w:val="0"/>
          <w:bCs w:val="0"/>
          <w:kern w:val="2"/>
          <w:sz w:val="32"/>
          <w:szCs w:val="32"/>
          <w:lang w:val="en-US" w:eastAsia="zh-CN" w:bidi="ar-SA"/>
        </w:rPr>
      </w:pPr>
      <w:bookmarkStart w:id="5" w:name="_Toc68703841"/>
      <w:r>
        <w:rPr>
          <w:rFonts w:hint="eastAsia" w:ascii="仿宋_GB2312" w:eastAsia="仿宋_GB2312" w:hAnsiTheme="majorHAnsi" w:cstheme="majorBidi"/>
          <w:b w:val="0"/>
          <w:bCs w:val="0"/>
          <w:kern w:val="2"/>
          <w:sz w:val="32"/>
          <w:szCs w:val="32"/>
          <w:lang w:val="en-US" w:eastAsia="zh-CN" w:bidi="ar-SA"/>
        </w:rPr>
        <w:t>（四）项目效益情况</w:t>
      </w:r>
      <w:bookmarkEnd w:id="5"/>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1.生态效益指标: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指标1：管护期内是否发生重大生态破坏事件，指标值：成效明显，实际完成值成效明显，完成率100%。指标2：项目区草原退化是否得到有限改善，指标值：显著，实际完成值显著，完成率100%。</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2.可持续影响指标：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default"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指标1：持续发挥生态作用显著，指标值：显著，实际完成值显著，完成率100%。</w:t>
      </w:r>
    </w:p>
    <w:p>
      <w:pPr>
        <w:pStyle w:val="3"/>
        <w:pageBreakBefore w:val="0"/>
        <w:numPr>
          <w:ilvl w:val="0"/>
          <w:numId w:val="0"/>
        </w:numPr>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3.满意度指标：</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指标1：退耕农户和牧民满意程度，指标值：≥95%，实际完成值98.08%，完成率103.24%。</w:t>
      </w:r>
    </w:p>
    <w:p>
      <w:pPr>
        <w:pageBreakBefore w:val="0"/>
        <w:numPr>
          <w:ilvl w:val="0"/>
          <w:numId w:val="0"/>
        </w:numPr>
        <w:kinsoku/>
        <w:wordWrap/>
        <w:overflowPunct/>
        <w:topLinePunct w:val="0"/>
        <w:autoSpaceDE/>
        <w:autoSpaceDN/>
        <w:bidi w:val="0"/>
        <w:adjustRightInd/>
        <w:snapToGrid/>
        <w:spacing w:before="60" w:after="60" w:line="240" w:lineRule="auto"/>
        <w:ind w:left="0" w:leftChars="0" w:right="0" w:rightChars="0"/>
        <w:textAlignment w:val="auto"/>
        <w:rPr>
          <w:rFonts w:hint="eastAsia" w:ascii="宋体" w:hAnsi="宋体" w:eastAsia="宋体" w:cs="宋体"/>
          <w:b/>
          <w:bCs/>
        </w:rPr>
      </w:pPr>
      <w:r>
        <w:rPr>
          <w:rFonts w:hint="eastAsia" w:ascii="宋体" w:hAnsi="宋体" w:eastAsia="宋体" w:cs="宋体"/>
          <w:b/>
          <w:bCs/>
          <w:sz w:val="32"/>
          <w:szCs w:val="32"/>
          <w:lang w:val="en-US" w:eastAsia="zh-CN"/>
        </w:rPr>
        <w:t>五、</w:t>
      </w:r>
      <w:r>
        <w:rPr>
          <w:rFonts w:hint="eastAsia" w:ascii="宋体" w:hAnsi="宋体" w:eastAsia="宋体" w:cs="宋体"/>
          <w:b/>
          <w:bCs/>
          <w:sz w:val="32"/>
          <w:szCs w:val="32"/>
        </w:rPr>
        <w:t>主要经验及做法、存在的问题及原因分析</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仿宋_GB2312" w:eastAsia="仿宋_GB2312" w:hAnsiTheme="majorHAnsi" w:cstheme="majorBidi"/>
          <w:b w:val="0"/>
          <w:bCs w:val="0"/>
          <w:kern w:val="2"/>
          <w:sz w:val="32"/>
          <w:szCs w:val="32"/>
          <w:lang w:val="en-US" w:eastAsia="zh-CN" w:bidi="ar-SA"/>
        </w:rPr>
      </w:pPr>
      <w:r>
        <w:rPr>
          <w:rFonts w:hint="eastAsia" w:ascii="仿宋_GB2312" w:eastAsia="仿宋_GB2312" w:hAnsiTheme="majorHAnsi" w:cstheme="majorBidi"/>
          <w:b w:val="0"/>
          <w:bCs w:val="0"/>
          <w:kern w:val="2"/>
          <w:sz w:val="32"/>
          <w:szCs w:val="32"/>
          <w:lang w:val="en-US" w:eastAsia="zh-CN" w:bidi="ar-SA"/>
        </w:rPr>
        <w:t>（一）主要经验及做法</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1.严格按照规定范围内选聘续聘。霍城县在生态护林员选聘续聘工作上坚持“精准、自愿、公开、公平、公正”的基本原则，严格执行国家林业和草原局办公室、财政部办公厅、国家乡村振兴局综合关于印发《生态护林员管理办法》的通知（办规字〔2021〕115号）第八条选聘条件。</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2.坚决落实生态护林员管理机制。由各乡镇人民政府与生态护林员签订管护承包协议，原则上一年一聘，实行季度考核，将巡护记录、管护情况纳入年度考核当中。</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_GB2312" w:eastAsia="仿宋_GB2312" w:hAnsiTheme="majorHAnsi" w:cstheme="majorBidi"/>
          <w:b w:val="0"/>
          <w:bCs w:val="0"/>
          <w:kern w:val="2"/>
          <w:sz w:val="30"/>
          <w:szCs w:val="30"/>
          <w:lang w:val="en-US" w:eastAsia="zh-CN" w:bidi="ar-SA"/>
        </w:rPr>
      </w:pPr>
      <w:r>
        <w:rPr>
          <w:rFonts w:hint="eastAsia" w:ascii="仿宋_GB2312" w:eastAsia="仿宋_GB2312" w:hAnsiTheme="majorHAnsi" w:cstheme="majorBidi"/>
          <w:b w:val="0"/>
          <w:bCs w:val="0"/>
          <w:kern w:val="2"/>
          <w:sz w:val="30"/>
          <w:szCs w:val="30"/>
          <w:lang w:val="en-US" w:eastAsia="zh-CN" w:bidi="ar-SA"/>
        </w:rPr>
        <w:t>3.及时拨付补助资金。严格核实核定补助名单及补助金额，实行一月一打卡，一拨付。</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default"/>
          <w:lang w:val="en-US" w:eastAsia="zh-CN"/>
        </w:rPr>
      </w:pPr>
      <w:r>
        <w:rPr>
          <w:rFonts w:hint="eastAsia" w:ascii="仿宋_GB2312" w:eastAsia="仿宋_GB2312" w:hAnsiTheme="majorHAnsi" w:cstheme="majorBidi"/>
          <w:b w:val="0"/>
          <w:bCs w:val="0"/>
          <w:kern w:val="2"/>
          <w:sz w:val="32"/>
          <w:szCs w:val="32"/>
          <w:lang w:val="en-US" w:eastAsia="zh-CN" w:bidi="ar-SA"/>
        </w:rPr>
        <w:t>（二）存在的问题及原因分析</w:t>
      </w:r>
    </w:p>
    <w:p>
      <w:pPr>
        <w:pageBreakBefore w:val="0"/>
        <w:kinsoku/>
        <w:wordWrap/>
        <w:overflowPunct/>
        <w:topLinePunct w:val="0"/>
        <w:autoSpaceDE/>
        <w:autoSpaceDN/>
        <w:bidi w:val="0"/>
        <w:adjustRightInd/>
        <w:snapToGrid/>
        <w:spacing w:before="60" w:after="60" w:line="240" w:lineRule="auto"/>
        <w:ind w:left="0" w:leftChars="0" w:right="0" w:rightChars="0" w:firstLine="600" w:firstLineChars="200"/>
        <w:textAlignment w:val="auto"/>
        <w:rPr>
          <w:rFonts w:hint="eastAsia" w:ascii="仿宋" w:hAnsi="仿宋" w:eastAsia="仿宋" w:cs="仿宋"/>
          <w:sz w:val="30"/>
          <w:szCs w:val="30"/>
          <w:lang w:val="en-US" w:eastAsia="zh-CN"/>
        </w:rPr>
      </w:pPr>
      <w:r>
        <w:rPr>
          <w:rFonts w:hint="eastAsia" w:ascii="仿宋_GB2312" w:eastAsia="仿宋_GB2312" w:hAnsiTheme="majorHAnsi" w:cstheme="majorBidi"/>
          <w:b w:val="0"/>
          <w:bCs w:val="0"/>
          <w:kern w:val="2"/>
          <w:sz w:val="30"/>
          <w:szCs w:val="30"/>
          <w:lang w:val="en-US" w:eastAsia="zh-CN" w:bidi="ar-SA"/>
        </w:rPr>
        <w:t>部分生态护林员文化素质不高，护林员补助发放不到位或补助偏低，造成对工作没有积极性，变动频繁不稳定，由于管护面积较大，管护站对护林员日常管理中存在监管不到位，无法满足当前生态保护需求，对达到项目实施效果不力</w:t>
      </w:r>
      <w:r>
        <w:rPr>
          <w:rFonts w:hint="eastAsia" w:ascii="仿宋" w:hAnsi="仿宋" w:eastAsia="仿宋" w:cs="仿宋"/>
          <w:sz w:val="30"/>
          <w:szCs w:val="30"/>
          <w:lang w:val="en-US" w:eastAsia="zh-CN"/>
        </w:rPr>
        <w:t>。</w:t>
      </w:r>
    </w:p>
    <w:p>
      <w:pPr>
        <w:pageBreakBefore w:val="0"/>
        <w:kinsoku/>
        <w:wordWrap/>
        <w:overflowPunct/>
        <w:topLinePunct w:val="0"/>
        <w:autoSpaceDE/>
        <w:autoSpaceDN/>
        <w:bidi w:val="0"/>
        <w:adjustRightInd/>
        <w:snapToGrid/>
        <w:spacing w:before="60" w:after="60" w:line="240" w:lineRule="auto"/>
        <w:ind w:left="0" w:leftChars="0" w:right="0" w:rightChars="0" w:firstLine="643" w:firstLineChars="20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六、有关建议</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ascii="仿宋_GB2312" w:eastAsia="仿宋_GB2312" w:hAnsiTheme="majorHAnsi" w:cstheme="majorBidi"/>
          <w:b w:val="0"/>
          <w:bCs w:val="0"/>
          <w:kern w:val="2"/>
          <w:sz w:val="32"/>
          <w:szCs w:val="32"/>
          <w:lang w:val="en-US" w:eastAsia="zh-CN" w:bidi="ar-SA"/>
        </w:rPr>
      </w:pPr>
      <w:r>
        <w:rPr>
          <w:rFonts w:hint="eastAsia" w:ascii="仿宋_GB2312" w:eastAsia="仿宋_GB2312" w:hAnsiTheme="majorHAnsi" w:cstheme="majorBidi"/>
          <w:b w:val="0"/>
          <w:bCs w:val="0"/>
          <w:kern w:val="2"/>
          <w:sz w:val="32"/>
          <w:szCs w:val="32"/>
          <w:lang w:val="en-US" w:eastAsia="zh-CN" w:bidi="ar-SA"/>
        </w:rPr>
        <w:t>（一）建议在今后项目绩效评价工作中，进一步加强对项目绩效工作的指导，组织培训，以更好地开展绩效评价工作。</w:t>
      </w:r>
    </w:p>
    <w:p>
      <w:pPr>
        <w:pStyle w:val="2"/>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default" w:ascii="仿宋_GB2312" w:eastAsia="仿宋_GB2312" w:hAnsiTheme="majorHAnsi" w:cstheme="majorBidi"/>
          <w:b w:val="0"/>
          <w:bCs w:val="0"/>
          <w:kern w:val="2"/>
          <w:sz w:val="32"/>
          <w:szCs w:val="32"/>
          <w:lang w:val="en-US" w:eastAsia="zh-CN" w:bidi="ar-SA"/>
        </w:rPr>
      </w:pPr>
      <w:r>
        <w:rPr>
          <w:rFonts w:hint="eastAsia" w:ascii="仿宋_GB2312" w:eastAsia="仿宋_GB2312" w:hAnsiTheme="majorHAnsi" w:cstheme="majorBidi"/>
          <w:b w:val="0"/>
          <w:bCs w:val="0"/>
          <w:kern w:val="2"/>
          <w:sz w:val="32"/>
          <w:szCs w:val="32"/>
          <w:lang w:val="en-US" w:eastAsia="zh-CN" w:bidi="ar-SA"/>
        </w:rPr>
        <w:t>（二）建议加大对林业产业建设项目的扶持力度。</w:t>
      </w:r>
    </w:p>
    <w:p>
      <w:pPr>
        <w:pageBreakBefore w:val="0"/>
        <w:kinsoku/>
        <w:wordWrap/>
        <w:overflowPunct/>
        <w:topLinePunct w:val="0"/>
        <w:autoSpaceDE/>
        <w:autoSpaceDN/>
        <w:bidi w:val="0"/>
        <w:adjustRightInd/>
        <w:snapToGrid/>
        <w:spacing w:before="60" w:after="60" w:line="240" w:lineRule="auto"/>
        <w:ind w:left="0" w:leftChars="0" w:right="0" w:rightChars="0"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七、其他需要说明的问题</w:t>
      </w:r>
    </w:p>
    <w:p>
      <w:pPr>
        <w:pageBreakBefore w:val="0"/>
        <w:kinsoku/>
        <w:wordWrap/>
        <w:overflowPunct/>
        <w:topLinePunct w:val="0"/>
        <w:autoSpaceDE/>
        <w:autoSpaceDN/>
        <w:bidi w:val="0"/>
        <w:adjustRightInd/>
        <w:snapToGrid/>
        <w:spacing w:before="60" w:after="60" w:line="240" w:lineRule="auto"/>
        <w:ind w:left="0" w:leftChars="0" w:right="0" w:rightChars="0" w:firstLine="640" w:firstLineChars="200"/>
        <w:textAlignment w:val="auto"/>
        <w:rPr>
          <w:rFonts w:hint="eastAsia" w:eastAsia="仿宋"/>
          <w:lang w:eastAsia="zh-CN"/>
        </w:rPr>
      </w:pPr>
      <w:r>
        <w:rPr>
          <w:rFonts w:hint="eastAsia" w:ascii="仿宋" w:hAnsi="仿宋" w:eastAsia="仿宋" w:cs="仿宋"/>
          <w:sz w:val="32"/>
          <w:szCs w:val="32"/>
        </w:rPr>
        <w:t>无</w:t>
      </w:r>
      <w:r>
        <w:rPr>
          <w:rFonts w:hint="eastAsia" w:ascii="仿宋" w:hAnsi="仿宋" w:eastAsia="仿宋" w:cs="仿宋"/>
          <w:sz w:val="32"/>
          <w:szCs w:val="32"/>
          <w:lang w:eastAsia="zh-CN"/>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F9140B"/>
    <w:multiLevelType w:val="singleLevel"/>
    <w:tmpl w:val="F1F9140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yN2FlYzYwOWJlMmZiNzI4NDQwMTcwYzhlMGY4ODIifQ=="/>
  </w:docVars>
  <w:rsids>
    <w:rsidRoot w:val="57121417"/>
    <w:rsid w:val="030F7D7B"/>
    <w:rsid w:val="03965182"/>
    <w:rsid w:val="044275DD"/>
    <w:rsid w:val="04485CFC"/>
    <w:rsid w:val="04950583"/>
    <w:rsid w:val="04E1644E"/>
    <w:rsid w:val="059B7284"/>
    <w:rsid w:val="06437894"/>
    <w:rsid w:val="06965AC9"/>
    <w:rsid w:val="07766F67"/>
    <w:rsid w:val="07DB0491"/>
    <w:rsid w:val="08FC190C"/>
    <w:rsid w:val="0A040989"/>
    <w:rsid w:val="0AF65A07"/>
    <w:rsid w:val="0B281FEB"/>
    <w:rsid w:val="0B7A6A7C"/>
    <w:rsid w:val="0B8225FB"/>
    <w:rsid w:val="0C6A432F"/>
    <w:rsid w:val="0F397C0E"/>
    <w:rsid w:val="10950AF2"/>
    <w:rsid w:val="11322971"/>
    <w:rsid w:val="12481C4D"/>
    <w:rsid w:val="12954C9D"/>
    <w:rsid w:val="12AD771C"/>
    <w:rsid w:val="14050F7E"/>
    <w:rsid w:val="158216CE"/>
    <w:rsid w:val="15EC2259"/>
    <w:rsid w:val="174A6DEC"/>
    <w:rsid w:val="17714180"/>
    <w:rsid w:val="17BF08DE"/>
    <w:rsid w:val="17DB6C53"/>
    <w:rsid w:val="1A351605"/>
    <w:rsid w:val="1AAF1FA7"/>
    <w:rsid w:val="1B522CC4"/>
    <w:rsid w:val="1C6A3317"/>
    <w:rsid w:val="1C965846"/>
    <w:rsid w:val="1CD02BD0"/>
    <w:rsid w:val="1D6B5375"/>
    <w:rsid w:val="1F726A4D"/>
    <w:rsid w:val="20377F7A"/>
    <w:rsid w:val="229F142A"/>
    <w:rsid w:val="23811AC9"/>
    <w:rsid w:val="268342C5"/>
    <w:rsid w:val="26EC39DB"/>
    <w:rsid w:val="26FE2008"/>
    <w:rsid w:val="27025B73"/>
    <w:rsid w:val="27102617"/>
    <w:rsid w:val="27905BFF"/>
    <w:rsid w:val="27AF7635"/>
    <w:rsid w:val="28B61016"/>
    <w:rsid w:val="2901634F"/>
    <w:rsid w:val="296675EE"/>
    <w:rsid w:val="2B9A3339"/>
    <w:rsid w:val="2DB32CF5"/>
    <w:rsid w:val="2DE12015"/>
    <w:rsid w:val="2FDE6799"/>
    <w:rsid w:val="2FF43AD0"/>
    <w:rsid w:val="31B04F60"/>
    <w:rsid w:val="31D503DA"/>
    <w:rsid w:val="32095C4E"/>
    <w:rsid w:val="32184587"/>
    <w:rsid w:val="33B264CA"/>
    <w:rsid w:val="35122739"/>
    <w:rsid w:val="357F5AC4"/>
    <w:rsid w:val="35E13E6F"/>
    <w:rsid w:val="36CE7E10"/>
    <w:rsid w:val="36D73D4E"/>
    <w:rsid w:val="373F3CB3"/>
    <w:rsid w:val="37416BFC"/>
    <w:rsid w:val="39CC72A6"/>
    <w:rsid w:val="3A3137C8"/>
    <w:rsid w:val="3AB0676D"/>
    <w:rsid w:val="3B51030C"/>
    <w:rsid w:val="3BB96FEC"/>
    <w:rsid w:val="3C62232C"/>
    <w:rsid w:val="3CB70F07"/>
    <w:rsid w:val="3CB8161F"/>
    <w:rsid w:val="3E451EAE"/>
    <w:rsid w:val="400111ED"/>
    <w:rsid w:val="40275544"/>
    <w:rsid w:val="40316A45"/>
    <w:rsid w:val="404F7269"/>
    <w:rsid w:val="40806279"/>
    <w:rsid w:val="41151DB4"/>
    <w:rsid w:val="41291B7A"/>
    <w:rsid w:val="419760ED"/>
    <w:rsid w:val="4223350D"/>
    <w:rsid w:val="42E525E3"/>
    <w:rsid w:val="42F24AC9"/>
    <w:rsid w:val="44CB5102"/>
    <w:rsid w:val="457C68A6"/>
    <w:rsid w:val="45A94104"/>
    <w:rsid w:val="46415302"/>
    <w:rsid w:val="46474157"/>
    <w:rsid w:val="465944E8"/>
    <w:rsid w:val="48147FB7"/>
    <w:rsid w:val="4C0166AC"/>
    <w:rsid w:val="4C1F7721"/>
    <w:rsid w:val="4C9C7D11"/>
    <w:rsid w:val="4D7E073E"/>
    <w:rsid w:val="4E3B5862"/>
    <w:rsid w:val="4FCE79F9"/>
    <w:rsid w:val="503A0CCE"/>
    <w:rsid w:val="51A82A0E"/>
    <w:rsid w:val="51CE2492"/>
    <w:rsid w:val="527A6995"/>
    <w:rsid w:val="52FB701E"/>
    <w:rsid w:val="535A4A8F"/>
    <w:rsid w:val="539112A1"/>
    <w:rsid w:val="539301F6"/>
    <w:rsid w:val="53DF2FA2"/>
    <w:rsid w:val="548513B6"/>
    <w:rsid w:val="54D258AC"/>
    <w:rsid w:val="55DD406C"/>
    <w:rsid w:val="56DA2A5F"/>
    <w:rsid w:val="56EA744B"/>
    <w:rsid w:val="57121417"/>
    <w:rsid w:val="57650A1F"/>
    <w:rsid w:val="582A6045"/>
    <w:rsid w:val="59A57D61"/>
    <w:rsid w:val="5A1A29E5"/>
    <w:rsid w:val="5AA3636C"/>
    <w:rsid w:val="5B35367F"/>
    <w:rsid w:val="5C9E0DBE"/>
    <w:rsid w:val="5CB11381"/>
    <w:rsid w:val="5CD908F6"/>
    <w:rsid w:val="618029C8"/>
    <w:rsid w:val="62CE682D"/>
    <w:rsid w:val="62F27FEE"/>
    <w:rsid w:val="63C431BC"/>
    <w:rsid w:val="65423B97"/>
    <w:rsid w:val="66C62C52"/>
    <w:rsid w:val="67A17CEF"/>
    <w:rsid w:val="67D97A47"/>
    <w:rsid w:val="685E0CE1"/>
    <w:rsid w:val="69703A6E"/>
    <w:rsid w:val="6A8F0D14"/>
    <w:rsid w:val="6B734BB6"/>
    <w:rsid w:val="6BCC42A3"/>
    <w:rsid w:val="6BCE2DF1"/>
    <w:rsid w:val="6CA464A6"/>
    <w:rsid w:val="6CAE69AB"/>
    <w:rsid w:val="6D156B14"/>
    <w:rsid w:val="6D7927BD"/>
    <w:rsid w:val="6E1E6F55"/>
    <w:rsid w:val="6EE65141"/>
    <w:rsid w:val="70005D27"/>
    <w:rsid w:val="70185E81"/>
    <w:rsid w:val="70B52D38"/>
    <w:rsid w:val="712758CB"/>
    <w:rsid w:val="723C309D"/>
    <w:rsid w:val="731A4538"/>
    <w:rsid w:val="74964C6E"/>
    <w:rsid w:val="74DD0069"/>
    <w:rsid w:val="750E5637"/>
    <w:rsid w:val="750E5845"/>
    <w:rsid w:val="771E7D29"/>
    <w:rsid w:val="7726192C"/>
    <w:rsid w:val="77A66770"/>
    <w:rsid w:val="77B03630"/>
    <w:rsid w:val="7A2B69B3"/>
    <w:rsid w:val="7A6F5DAB"/>
    <w:rsid w:val="7A761F41"/>
    <w:rsid w:val="7ADE0E07"/>
    <w:rsid w:val="7BA069D6"/>
    <w:rsid w:val="7CB05F3D"/>
    <w:rsid w:val="7E7D311C"/>
    <w:rsid w:val="7E88371F"/>
    <w:rsid w:val="7E9567D4"/>
    <w:rsid w:val="7EB037E6"/>
    <w:rsid w:val="7EEE0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0"/>
    <w:pPr>
      <w:spacing w:before="104" w:after="104"/>
      <w:outlineLvl w:val="2"/>
    </w:pPr>
    <w:rPr>
      <w:rFonts w:eastAsia="黑体"/>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99"/>
    <w:rPr>
      <w:b/>
      <w:bCs/>
    </w:rPr>
  </w:style>
  <w:style w:type="paragraph" w:customStyle="1" w:styleId="9">
    <w:name w:val="样式1"/>
    <w:basedOn w:val="1"/>
    <w:qFormat/>
    <w:uiPriority w:val="0"/>
  </w:style>
  <w:style w:type="character" w:customStyle="1" w:styleId="10">
    <w:name w:val="NormalCharacter"/>
    <w:qFormat/>
    <w:uiPriority w:val="0"/>
    <w:rPr>
      <w:rFonts w:ascii="Tahoma" w:hAnsi="Tahoma" w:eastAsia="微软雅黑"/>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4285</Words>
  <Characters>4491</Characters>
  <Lines>0</Lines>
  <Paragraphs>0</Paragraphs>
  <TotalTime>0</TotalTime>
  <ScaleCrop>false</ScaleCrop>
  <LinksUpToDate>false</LinksUpToDate>
  <CharactersWithSpaces>4536</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2020-04-21T04:15:00Z</dcterms:created>
  <dc:creator>ljd</dc:creator>
  <cp:lastModifiedBy>Administrator</cp:lastModifiedBy>
  <cp:lastPrinted>2020-05-18T03:20:00Z</cp:lastPrinted>
  <dcterms:modified xsi:type="dcterms:W3CDTF">2024-06-12T09:45:38Z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248BE0B698EA433FA22C3707C227C738</vt:lpwstr>
  </property>
</Properties>
</file>