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2</w:t>
      </w:r>
      <w:r>
        <w:rPr>
          <w:rFonts w:hint="eastAsia" w:ascii="红豆小标宋简体" w:hAnsi="红豆小标宋简体" w:eastAsia="红豆小标宋简体" w:cs="红豆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kern w:val="0"/>
          <w:sz w:val="32"/>
          <w:szCs w:val="32"/>
          <w:lang w:eastAsia="zh-CN"/>
        </w:rPr>
        <w:t>城乡义务教育补助经费</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bookmarkStart w:id="21" w:name="_GoBack"/>
      <w:r>
        <w:rPr>
          <w:rFonts w:hint="eastAsia" w:ascii="宋体" w:hAnsi="宋体" w:eastAsia="宋体" w:cs="仿宋_GB2312"/>
          <w:color w:val="000000"/>
          <w:kern w:val="0"/>
          <w:sz w:val="32"/>
          <w:szCs w:val="32"/>
          <w:lang w:eastAsia="zh-CN"/>
        </w:rPr>
        <w:t>霍城县教育局</w:t>
      </w:r>
    </w:p>
    <w:bookmarkEnd w:id="21"/>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eastAsia="zh-CN"/>
        </w:rPr>
        <w:t>霍城县教育局</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eastAsia="zh-CN"/>
        </w:rPr>
        <w:t>方哲</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16</w:t>
      </w:r>
      <w:r>
        <w:rPr>
          <w:rFonts w:hint="eastAsia" w:ascii="宋体" w:hAnsi="宋体" w:eastAsia="宋体" w:cs="仿宋_GB2312"/>
          <w:color w:val="000000"/>
          <w:kern w:val="0"/>
          <w:sz w:val="32"/>
          <w:szCs w:val="32"/>
        </w:rPr>
        <w:t xml:space="preserve"> 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hAnsi="Times New Roman" w:cs="Times New Roman"/>
        </w:rPr>
      </w:pPr>
      <w:r>
        <w:rPr>
          <w:rFonts w:hint="eastAsia" w:ascii="仿宋_GB2312" w:hAnsi="Times New Roman" w:cs="Times New Roman"/>
          <w:lang w:val="en-US" w:eastAsia="zh-CN"/>
        </w:rPr>
        <w:t>1.</w:t>
      </w:r>
      <w:r>
        <w:rPr>
          <w:rFonts w:hint="eastAsia" w:ascii="仿宋_GB2312" w:hAnsi="Times New Roman" w:cs="Times New Roman"/>
        </w:rPr>
        <w:t>项目背景</w:t>
      </w:r>
    </w:p>
    <w:p>
      <w:pPr>
        <w:spacing w:line="360" w:lineRule="auto"/>
        <w:ind w:firstLine="600" w:firstLineChars="200"/>
        <w:rPr>
          <w:rFonts w:hint="eastAsia" w:ascii="仿宋_GB2312" w:hAnsi="Times New Roman" w:cs="Times New Roman"/>
          <w:color w:val="auto"/>
        </w:rPr>
      </w:pPr>
      <w:r>
        <w:rPr>
          <w:rFonts w:hint="eastAsia" w:ascii="仿宋_GB2312" w:hAnsi="Times New Roman" w:cs="Times New Roman"/>
          <w:color w:val="auto"/>
          <w:lang w:eastAsia="zh-CN"/>
        </w:rPr>
        <w:t>义务教育是教育工作的重中之重，在全面建成小康社会进程中具有基础性、先导性和全局性的重要作用。自2006年起，国务院深化农村义务教育经费保障机制改革，对农村学生实行“两免一补”（免学杂费、免费提供教科书，对家庭经济困难寄宿生补助生活费），出台农村学校公用经费基准定额，建立健全农村学校校舍安全和维修改造长效机制，巩固完善农村教师工资保障机制，所需经费由中央和地方分担。农村学校办学条件明显改善，农村教师队伍建设得到加强，城乡免费义务教育全面实现，农民教育负担大幅减轻，极大地促进了教育公平。但随着我国新型城镇化建设和户籍制度改革的不断推进，学生流动性加大，现行义务教育经费保障机制已不能很好地适应新形势要求。城乡义务教育经费保障机制有关政策不统一、经费可携带性不强、资源配置不够均衡、综合改革有待深化等问题，亟需进一步采取措施，切实加以解决。</w:t>
      </w:r>
    </w:p>
    <w:p>
      <w:pPr>
        <w:spacing w:line="360" w:lineRule="auto"/>
        <w:ind w:firstLine="600" w:firstLineChars="200"/>
        <w:rPr>
          <w:rFonts w:hint="eastAsia" w:ascii="仿宋_GB2312" w:hAnsi="Times New Roman" w:cs="Times New Roman"/>
          <w:lang w:val="en-US" w:eastAsia="zh-CN"/>
        </w:rPr>
      </w:pPr>
      <w:r>
        <w:rPr>
          <w:rFonts w:hint="eastAsia" w:ascii="仿宋_GB2312" w:hAnsi="Times New Roman" w:cs="Times New Roman"/>
          <w:lang w:val="en-US" w:eastAsia="zh-CN"/>
        </w:rPr>
        <w:t>2.主要内容及实施情况</w:t>
      </w:r>
    </w:p>
    <w:p>
      <w:pPr>
        <w:spacing w:line="360" w:lineRule="auto"/>
        <w:ind w:firstLine="600" w:firstLineChars="200"/>
        <w:rPr>
          <w:rFonts w:hint="eastAsia" w:ascii="仿宋_GB2312" w:hAnsi="Times New Roman" w:cs="Times New Roman"/>
          <w:color w:val="auto"/>
          <w:lang w:eastAsia="zh-CN"/>
        </w:rPr>
      </w:pPr>
      <w:r>
        <w:rPr>
          <w:rFonts w:hint="eastAsia" w:ascii="仿宋_GB2312" w:hAnsi="Times New Roman" w:cs="Times New Roman"/>
          <w:color w:val="auto"/>
          <w:lang w:eastAsia="zh-CN"/>
        </w:rPr>
        <w:t>主要内容：</w:t>
      </w:r>
      <w:r>
        <w:rPr>
          <w:rFonts w:hint="eastAsia" w:ascii="仿宋_GB2312" w:hAnsi="Times New Roman" w:cs="Times New Roman"/>
          <w:color w:val="auto"/>
          <w:lang w:val="en-US" w:eastAsia="zh-CN"/>
        </w:rPr>
        <w:t>保证中小学正常运转，</w:t>
      </w:r>
      <w:r>
        <w:rPr>
          <w:rFonts w:hint="eastAsia" w:ascii="仿宋_GB2312" w:hAnsi="Times New Roman" w:cs="Times New Roman"/>
          <w:color w:val="auto"/>
          <w:lang w:eastAsia="zh-CN"/>
        </w:rPr>
        <w:t>用于支付教学业务与管理、教师培训、实验实习、文体活动、教学资料印刷、水电、取暖、交通差旅、邮电、网络服务维护，仪器设备、图书资料、教学软件(课件)及零星办公设备购置，日常开支的房屋、建筑物及仪器设备的维修维护及校园绿化保养等，合理安排学校公用经费，保障其正常教育教学；指导组织学校做好家庭经济困难学生认定和生活补助发放工作，提高资助的精准度，使家庭经济困难学生安心完成学业。同时要落实好</w:t>
      </w:r>
      <w:r>
        <w:rPr>
          <w:rFonts w:hint="eastAsia" w:ascii="仿宋_GB2312" w:hAnsi="Times New Roman" w:cs="Times New Roman"/>
          <w:color w:val="auto"/>
          <w:lang w:val="en-US" w:eastAsia="zh-CN"/>
        </w:rPr>
        <w:t>26名特岗教师工资发放</w:t>
      </w:r>
      <w:r>
        <w:rPr>
          <w:rFonts w:hint="eastAsia" w:ascii="仿宋_GB2312" w:hAnsi="Times New Roman" w:cs="Times New Roman"/>
          <w:color w:val="auto"/>
          <w:lang w:eastAsia="zh-CN"/>
        </w:rPr>
        <w:t xml:space="preserve">政策，确保工资按时发放到位。 </w:t>
      </w:r>
    </w:p>
    <w:p>
      <w:pPr>
        <w:spacing w:line="360" w:lineRule="auto"/>
        <w:ind w:firstLine="600" w:firstLineChars="200"/>
        <w:rPr>
          <w:rFonts w:hint="eastAsia" w:ascii="仿宋_GB2312" w:hAnsi="Times New Roman" w:cs="Times New Roman"/>
          <w:color w:val="auto"/>
          <w:lang w:val="en-US" w:eastAsia="zh-CN"/>
        </w:rPr>
      </w:pPr>
      <w:r>
        <w:rPr>
          <w:rFonts w:hint="eastAsia" w:ascii="仿宋_GB2312" w:hAnsi="Times New Roman" w:cs="Times New Roman"/>
          <w:color w:val="auto"/>
          <w:lang w:val="en-US" w:eastAsia="zh-CN"/>
        </w:rPr>
        <w:t>实施情况：2022</w:t>
      </w:r>
      <w:r>
        <w:rPr>
          <w:rFonts w:hint="eastAsia" w:ascii="仿宋_GB2312" w:hAnsi="Times New Roman" w:cs="Times New Roman"/>
          <w:color w:val="auto"/>
          <w:lang w:eastAsia="zh-CN"/>
        </w:rPr>
        <w:t>年，我县实施“义保”学校</w:t>
      </w:r>
      <w:r>
        <w:rPr>
          <w:rFonts w:hint="eastAsia" w:ascii="仿宋_GB2312" w:hAnsi="Times New Roman" w:cs="Times New Roman"/>
          <w:color w:val="auto"/>
          <w:lang w:val="en-US" w:eastAsia="zh-CN"/>
        </w:rPr>
        <w:t>60</w:t>
      </w:r>
      <w:r>
        <w:rPr>
          <w:rFonts w:hint="eastAsia" w:ascii="仿宋_GB2312" w:hAnsi="Times New Roman" w:cs="Times New Roman"/>
          <w:color w:val="auto"/>
          <w:lang w:eastAsia="zh-CN"/>
        </w:rPr>
        <w:t>所，其中小学</w:t>
      </w:r>
      <w:r>
        <w:rPr>
          <w:rFonts w:hint="eastAsia" w:ascii="仿宋_GB2312" w:hAnsi="Times New Roman" w:cs="Times New Roman"/>
          <w:color w:val="auto"/>
          <w:lang w:val="en-US" w:eastAsia="zh-CN"/>
        </w:rPr>
        <w:t>52</w:t>
      </w:r>
      <w:r>
        <w:rPr>
          <w:rFonts w:hint="eastAsia" w:ascii="仿宋_GB2312" w:hAnsi="Times New Roman" w:cs="Times New Roman"/>
          <w:color w:val="auto"/>
          <w:lang w:eastAsia="zh-CN"/>
        </w:rPr>
        <w:t>所、小学教学点</w:t>
      </w:r>
      <w:r>
        <w:rPr>
          <w:rFonts w:hint="eastAsia" w:ascii="仿宋_GB2312" w:hAnsi="Times New Roman" w:cs="Times New Roman"/>
          <w:color w:val="auto"/>
          <w:lang w:val="en-US" w:eastAsia="zh-CN"/>
        </w:rPr>
        <w:t>2</w:t>
      </w:r>
      <w:r>
        <w:rPr>
          <w:rFonts w:hint="eastAsia" w:ascii="仿宋_GB2312" w:hAnsi="Times New Roman" w:cs="Times New Roman"/>
          <w:color w:val="auto"/>
          <w:lang w:eastAsia="zh-CN"/>
        </w:rPr>
        <w:t>所，初中</w:t>
      </w:r>
      <w:r>
        <w:rPr>
          <w:rFonts w:hint="eastAsia" w:ascii="仿宋_GB2312" w:hAnsi="Times New Roman" w:cs="Times New Roman"/>
          <w:color w:val="auto"/>
          <w:lang w:val="en-US" w:eastAsia="zh-CN"/>
        </w:rPr>
        <w:t>5</w:t>
      </w:r>
      <w:r>
        <w:rPr>
          <w:rFonts w:hint="eastAsia" w:ascii="仿宋_GB2312" w:hAnsi="Times New Roman" w:cs="Times New Roman"/>
          <w:color w:val="auto"/>
          <w:lang w:eastAsia="zh-CN"/>
        </w:rPr>
        <w:t>所、特殊教育学校1所；在校学生</w:t>
      </w:r>
      <w:r>
        <w:rPr>
          <w:rFonts w:hint="eastAsia" w:ascii="仿宋_GB2312" w:hAnsi="Times New Roman" w:cs="Times New Roman"/>
          <w:color w:val="auto"/>
          <w:lang w:val="en-US" w:eastAsia="zh-CN"/>
        </w:rPr>
        <w:t>37765</w:t>
      </w:r>
      <w:r>
        <w:rPr>
          <w:rFonts w:hint="eastAsia" w:ascii="仿宋_GB2312" w:hAnsi="Times New Roman" w:cs="Times New Roman"/>
          <w:color w:val="auto"/>
          <w:lang w:eastAsia="zh-CN"/>
        </w:rPr>
        <w:t>人，其中小学</w:t>
      </w:r>
      <w:r>
        <w:rPr>
          <w:rFonts w:hint="eastAsia" w:ascii="仿宋_GB2312" w:hAnsi="Times New Roman" w:cs="Times New Roman"/>
          <w:color w:val="auto"/>
          <w:lang w:val="en-US" w:eastAsia="zh-CN"/>
        </w:rPr>
        <w:t>26087</w:t>
      </w:r>
      <w:r>
        <w:rPr>
          <w:rFonts w:hint="eastAsia" w:ascii="仿宋_GB2312" w:hAnsi="Times New Roman" w:cs="Times New Roman"/>
          <w:color w:val="auto"/>
          <w:lang w:eastAsia="zh-CN"/>
        </w:rPr>
        <w:t>人、初中</w:t>
      </w:r>
      <w:r>
        <w:rPr>
          <w:rFonts w:hint="eastAsia" w:ascii="仿宋_GB2312" w:hAnsi="Times New Roman" w:cs="Times New Roman"/>
          <w:color w:val="auto"/>
          <w:lang w:val="en-US" w:eastAsia="zh-CN"/>
        </w:rPr>
        <w:t>11594</w:t>
      </w:r>
      <w:r>
        <w:rPr>
          <w:rFonts w:hint="eastAsia" w:ascii="仿宋_GB2312" w:hAnsi="Times New Roman" w:cs="Times New Roman"/>
          <w:color w:val="auto"/>
          <w:lang w:eastAsia="zh-CN"/>
        </w:rPr>
        <w:t>人、特教</w:t>
      </w:r>
      <w:r>
        <w:rPr>
          <w:rFonts w:hint="eastAsia" w:ascii="仿宋_GB2312" w:hAnsi="Times New Roman" w:cs="Times New Roman"/>
          <w:color w:val="auto"/>
          <w:lang w:val="en-US" w:eastAsia="zh-CN"/>
        </w:rPr>
        <w:t>84</w:t>
      </w:r>
      <w:r>
        <w:rPr>
          <w:rFonts w:hint="eastAsia" w:ascii="仿宋_GB2312" w:hAnsi="Times New Roman" w:cs="Times New Roman"/>
          <w:color w:val="auto"/>
          <w:lang w:eastAsia="zh-CN"/>
        </w:rPr>
        <w:t>人。</w:t>
      </w:r>
      <w:r>
        <w:rPr>
          <w:rFonts w:hint="eastAsia" w:ascii="仿宋_GB2312" w:hAnsi="Times New Roman" w:cs="Times New Roman"/>
          <w:color w:val="auto"/>
          <w:lang w:val="en-US" w:eastAsia="zh-CN"/>
        </w:rPr>
        <w:t>2022</w:t>
      </w:r>
      <w:r>
        <w:rPr>
          <w:rFonts w:hint="eastAsia" w:ascii="仿宋_GB2312" w:hAnsi="Times New Roman" w:cs="Times New Roman"/>
          <w:color w:val="auto"/>
          <w:lang w:eastAsia="zh-CN"/>
        </w:rPr>
        <w:t>年，全县“义保”年度预算资金</w:t>
      </w:r>
      <w:r>
        <w:rPr>
          <w:rFonts w:hint="eastAsia" w:ascii="仿宋_GB2312" w:hAnsi="Times New Roman" w:cs="Times New Roman"/>
          <w:color w:val="auto"/>
          <w:lang w:val="en-US" w:eastAsia="zh-CN"/>
        </w:rPr>
        <w:t>4680.76</w:t>
      </w:r>
      <w:r>
        <w:rPr>
          <w:rFonts w:hint="eastAsia" w:ascii="仿宋_GB2312" w:hAnsi="Times New Roman" w:cs="Times New Roman"/>
          <w:color w:val="auto"/>
          <w:lang w:eastAsia="zh-CN"/>
        </w:rPr>
        <w:t>万元。</w:t>
      </w:r>
    </w:p>
    <w:p>
      <w:pPr>
        <w:spacing w:line="360" w:lineRule="auto"/>
        <w:ind w:firstLine="600" w:firstLineChars="200"/>
        <w:rPr>
          <w:rFonts w:hint="eastAsia" w:ascii="仿宋_GB2312" w:hAnsi="Times New Roman" w:cs="Times New Roman"/>
          <w:color w:val="auto"/>
          <w:lang w:eastAsia="zh-CN"/>
        </w:rPr>
      </w:pPr>
      <w:r>
        <w:rPr>
          <w:rFonts w:hint="eastAsia" w:ascii="仿宋_GB2312" w:hAnsi="Times New Roman" w:cs="Times New Roman"/>
          <w:color w:val="auto"/>
          <w:lang w:eastAsia="zh-CN"/>
        </w:rPr>
        <w:t>义务教育阶段保障机制公用经费项目于</w:t>
      </w:r>
      <w:r>
        <w:rPr>
          <w:rFonts w:hint="eastAsia" w:ascii="仿宋_GB2312" w:hAnsi="Times New Roman" w:cs="Times New Roman"/>
          <w:color w:val="auto"/>
          <w:lang w:val="en-US" w:eastAsia="zh-CN"/>
        </w:rPr>
        <w:t>2022</w:t>
      </w:r>
      <w:r>
        <w:rPr>
          <w:rFonts w:hint="eastAsia" w:ascii="仿宋_GB2312" w:hAnsi="Times New Roman" w:cs="Times New Roman"/>
          <w:color w:val="auto"/>
          <w:lang w:eastAsia="zh-CN"/>
        </w:rPr>
        <w:t>年1月立项，</w:t>
      </w:r>
      <w:r>
        <w:rPr>
          <w:rFonts w:hint="eastAsia" w:ascii="仿宋_GB2312" w:hAnsi="Times New Roman" w:cs="Times New Roman"/>
          <w:color w:val="auto"/>
          <w:lang w:val="en-US" w:eastAsia="zh-CN"/>
        </w:rPr>
        <w:t>2022</w:t>
      </w:r>
      <w:r>
        <w:rPr>
          <w:rFonts w:hint="eastAsia" w:ascii="仿宋_GB2312" w:hAnsi="Times New Roman" w:cs="Times New Roman"/>
          <w:color w:val="auto"/>
          <w:lang w:eastAsia="zh-CN"/>
        </w:rPr>
        <w:t>年12月完成绩效考评。项目实施按月按需严格按照有关文件精神组织实施，足额拨付。</w:t>
      </w:r>
    </w:p>
    <w:p>
      <w:pPr>
        <w:spacing w:line="360" w:lineRule="auto"/>
        <w:ind w:firstLine="600" w:firstLineChars="200"/>
        <w:rPr>
          <w:rFonts w:hint="eastAsia" w:ascii="仿宋" w:hAnsi="仿宋" w:eastAsia="仿宋" w:cs="仿宋"/>
          <w:color w:val="auto"/>
          <w:sz w:val="30"/>
          <w:szCs w:val="30"/>
        </w:rPr>
      </w:pPr>
      <w:r>
        <w:rPr>
          <w:rFonts w:hint="eastAsia" w:ascii="仿宋_GB2312" w:hAnsi="Times New Roman" w:cs="Times New Roman"/>
          <w:lang w:val="en-US" w:eastAsia="zh-CN"/>
        </w:rPr>
        <w:t>3.资金投入和使用情况</w:t>
      </w:r>
    </w:p>
    <w:p>
      <w:pPr>
        <w:spacing w:line="360" w:lineRule="auto"/>
        <w:ind w:firstLine="600" w:firstLineChars="200"/>
        <w:rPr>
          <w:rFonts w:hint="eastAsia" w:ascii="仿宋_GB2312" w:hAnsi="Times New Roman" w:cs="Times New Roman"/>
          <w:color w:val="auto"/>
          <w:lang w:eastAsia="zh-CN"/>
        </w:rPr>
      </w:pPr>
      <w:r>
        <w:rPr>
          <w:rFonts w:hint="eastAsia" w:ascii="仿宋_GB2312" w:hAnsi="Times New Roman" w:cs="Times New Roman"/>
          <w:color w:val="auto"/>
          <w:lang w:eastAsia="zh-CN"/>
        </w:rPr>
        <w:t>资金投入情况：该项目年初预算数</w:t>
      </w:r>
      <w:r>
        <w:rPr>
          <w:rFonts w:hint="eastAsia" w:ascii="仿宋_GB2312" w:cs="Times New Roman"/>
          <w:color w:val="auto"/>
          <w:lang w:val="en-US" w:eastAsia="zh-CN"/>
        </w:rPr>
        <w:t>0.00</w:t>
      </w:r>
      <w:r>
        <w:rPr>
          <w:rFonts w:hint="eastAsia" w:ascii="仿宋_GB2312" w:hAnsi="Times New Roman" w:cs="Times New Roman"/>
          <w:color w:val="auto"/>
          <w:lang w:eastAsia="zh-CN"/>
        </w:rPr>
        <w:t>万元，全年预算数</w:t>
      </w:r>
      <w:r>
        <w:rPr>
          <w:rFonts w:hint="eastAsia" w:ascii="仿宋_GB2312" w:hAnsi="Times New Roman" w:cs="Times New Roman"/>
          <w:color w:val="auto"/>
          <w:lang w:val="en-US" w:eastAsia="zh-CN"/>
        </w:rPr>
        <w:t>4680.76</w:t>
      </w:r>
      <w:r>
        <w:rPr>
          <w:rFonts w:hint="eastAsia" w:ascii="仿宋_GB2312" w:hAnsi="Times New Roman" w:cs="Times New Roman"/>
          <w:color w:val="auto"/>
          <w:lang w:eastAsia="zh-CN"/>
        </w:rPr>
        <w:t>万元</w:t>
      </w:r>
      <w:r>
        <w:rPr>
          <w:rFonts w:hint="eastAsia" w:ascii="仿宋_GB2312" w:hAnsi="Times New Roman" w:cs="Times New Roman"/>
          <w:color w:val="auto"/>
          <w:lang w:val="en-US" w:eastAsia="zh-CN"/>
        </w:rPr>
        <w:t>,年中追</w:t>
      </w:r>
      <w:r>
        <w:rPr>
          <w:rFonts w:hint="eastAsia" w:ascii="仿宋_GB2312" w:cs="Times New Roman"/>
          <w:color w:val="auto"/>
          <w:lang w:val="en-US" w:eastAsia="zh-CN"/>
        </w:rPr>
        <w:t>减</w:t>
      </w:r>
      <w:r>
        <w:rPr>
          <w:rFonts w:hint="eastAsia" w:ascii="仿宋_GB2312" w:hAnsi="Times New Roman" w:cs="Times New Roman"/>
          <w:color w:val="auto"/>
          <w:lang w:val="en-US" w:eastAsia="zh-CN"/>
        </w:rPr>
        <w:t>特岗教师工资97万元</w:t>
      </w:r>
      <w:r>
        <w:rPr>
          <w:rFonts w:hint="eastAsia" w:ascii="仿宋_GB2312" w:hAnsi="Times New Roman" w:cs="Times New Roman"/>
          <w:color w:val="auto"/>
          <w:lang w:eastAsia="zh-CN"/>
        </w:rPr>
        <w:t>，实际总投入</w:t>
      </w:r>
      <w:r>
        <w:rPr>
          <w:rFonts w:hint="eastAsia" w:ascii="仿宋_GB2312" w:hAnsi="Times New Roman" w:cs="Times New Roman"/>
          <w:color w:val="auto"/>
          <w:lang w:val="en-US" w:eastAsia="zh-CN"/>
        </w:rPr>
        <w:t>4680.76</w:t>
      </w:r>
      <w:r>
        <w:rPr>
          <w:rFonts w:hint="eastAsia" w:ascii="仿宋_GB2312" w:hAnsi="Times New Roman" w:cs="Times New Roman"/>
          <w:color w:val="auto"/>
          <w:lang w:eastAsia="zh-CN"/>
        </w:rPr>
        <w:t>万元，该项目资金落实到位</w:t>
      </w:r>
      <w:r>
        <w:rPr>
          <w:rFonts w:hint="eastAsia" w:ascii="仿宋_GB2312" w:hAnsi="Times New Roman" w:cs="Times New Roman"/>
          <w:color w:val="auto"/>
          <w:lang w:val="en-US" w:eastAsia="zh-CN"/>
        </w:rPr>
        <w:t>4349.22</w:t>
      </w:r>
      <w:r>
        <w:rPr>
          <w:rFonts w:hint="eastAsia" w:ascii="仿宋_GB2312" w:hAnsi="Times New Roman" w:cs="Times New Roman"/>
          <w:color w:val="auto"/>
          <w:lang w:eastAsia="zh-CN"/>
        </w:rPr>
        <w:t>万元，资金来源为财政拨款。</w:t>
      </w:r>
    </w:p>
    <w:p>
      <w:pPr>
        <w:spacing w:line="360" w:lineRule="auto"/>
        <w:ind w:firstLine="600" w:firstLineChars="200"/>
        <w:rPr>
          <w:rFonts w:hint="eastAsia" w:ascii="仿宋_GB2312" w:hAnsi="Times New Roman" w:cs="Times New Roman"/>
          <w:color w:val="auto"/>
          <w:lang w:val="en-US" w:eastAsia="zh-CN"/>
        </w:rPr>
      </w:pPr>
      <w:r>
        <w:rPr>
          <w:rFonts w:hint="eastAsia" w:ascii="仿宋_GB2312" w:hAnsi="Times New Roman" w:cs="Times New Roman"/>
          <w:color w:val="auto"/>
          <w:lang w:val="en-US" w:eastAsia="zh-CN"/>
        </w:rPr>
        <w:t>资金使用情况：</w:t>
      </w:r>
      <w:r>
        <w:rPr>
          <w:rFonts w:hint="eastAsia" w:ascii="仿宋_GB2312" w:hAnsi="Times New Roman" w:cs="Times New Roman"/>
          <w:color w:val="auto"/>
          <w:lang w:eastAsia="zh-CN"/>
        </w:rPr>
        <w:t>该项目年初预算数</w:t>
      </w:r>
      <w:r>
        <w:rPr>
          <w:rFonts w:hint="eastAsia" w:ascii="仿宋_GB2312" w:cs="Times New Roman"/>
          <w:color w:val="auto"/>
          <w:lang w:val="en-US" w:eastAsia="zh-CN"/>
        </w:rPr>
        <w:t>0.00</w:t>
      </w:r>
      <w:r>
        <w:rPr>
          <w:rFonts w:hint="eastAsia" w:ascii="仿宋_GB2312" w:hAnsi="Times New Roman" w:cs="Times New Roman"/>
          <w:color w:val="auto"/>
          <w:lang w:eastAsia="zh-CN"/>
        </w:rPr>
        <w:t>万元，全年预算数</w:t>
      </w:r>
      <w:r>
        <w:rPr>
          <w:rFonts w:hint="eastAsia" w:ascii="仿宋_GB2312" w:hAnsi="Times New Roman" w:cs="Times New Roman"/>
          <w:color w:val="auto"/>
          <w:lang w:val="en-US" w:eastAsia="zh-CN"/>
        </w:rPr>
        <w:t>4680.76</w:t>
      </w:r>
      <w:r>
        <w:rPr>
          <w:rFonts w:hint="eastAsia" w:ascii="仿宋_GB2312" w:hAnsi="Times New Roman" w:cs="Times New Roman"/>
          <w:color w:val="auto"/>
          <w:lang w:eastAsia="zh-CN"/>
        </w:rPr>
        <w:t>万元</w:t>
      </w:r>
      <w:r>
        <w:rPr>
          <w:rFonts w:hint="eastAsia" w:ascii="仿宋_GB2312" w:hAnsi="Times New Roman" w:cs="Times New Roman"/>
          <w:color w:val="auto"/>
          <w:lang w:val="en-US" w:eastAsia="zh-CN"/>
        </w:rPr>
        <w:t>,年中追</w:t>
      </w:r>
      <w:r>
        <w:rPr>
          <w:rFonts w:hint="eastAsia" w:ascii="仿宋_GB2312" w:cs="Times New Roman"/>
          <w:color w:val="auto"/>
          <w:lang w:val="en-US" w:eastAsia="zh-CN"/>
        </w:rPr>
        <w:t>减</w:t>
      </w:r>
      <w:r>
        <w:rPr>
          <w:rFonts w:hint="eastAsia" w:ascii="仿宋_GB2312" w:hAnsi="Times New Roman" w:cs="Times New Roman"/>
          <w:color w:val="auto"/>
          <w:lang w:val="en-US" w:eastAsia="zh-CN"/>
        </w:rPr>
        <w:t>特岗教师工资97万元</w:t>
      </w:r>
      <w:r>
        <w:rPr>
          <w:rFonts w:hint="eastAsia" w:ascii="仿宋_GB2312" w:hAnsi="Times New Roman" w:cs="Times New Roman"/>
          <w:color w:val="auto"/>
          <w:lang w:eastAsia="zh-CN"/>
        </w:rPr>
        <w:t>，全年执行数</w:t>
      </w:r>
      <w:r>
        <w:rPr>
          <w:rFonts w:hint="eastAsia" w:ascii="仿宋_GB2312" w:hAnsi="Times New Roman" w:cs="Times New Roman"/>
          <w:color w:val="auto"/>
          <w:lang w:val="en-US" w:eastAsia="zh-CN"/>
        </w:rPr>
        <w:t>4349.22</w:t>
      </w:r>
      <w:r>
        <w:rPr>
          <w:rFonts w:hint="eastAsia" w:ascii="仿宋_GB2312" w:hAnsi="Times New Roman" w:cs="Times New Roman"/>
          <w:color w:val="auto"/>
          <w:lang w:eastAsia="zh-CN"/>
        </w:rPr>
        <w:t>万元，预算执行率为</w:t>
      </w:r>
      <w:r>
        <w:rPr>
          <w:rFonts w:hint="eastAsia" w:ascii="仿宋_GB2312" w:hAnsi="Times New Roman" w:cs="Times New Roman"/>
          <w:color w:val="auto"/>
          <w:lang w:val="en-US" w:eastAsia="zh-CN"/>
        </w:rPr>
        <w:t>9</w:t>
      </w:r>
      <w:r>
        <w:rPr>
          <w:rFonts w:hint="eastAsia" w:ascii="仿宋_GB2312" w:cs="Times New Roman"/>
          <w:color w:val="auto"/>
          <w:lang w:val="en-US" w:eastAsia="zh-CN"/>
        </w:rPr>
        <w:t>2.92</w:t>
      </w:r>
      <w:r>
        <w:rPr>
          <w:rFonts w:hint="eastAsia" w:ascii="仿宋_GB2312" w:hAnsi="Times New Roman" w:cs="Times New Roman"/>
          <w:color w:val="auto"/>
          <w:lang w:eastAsia="zh-CN"/>
        </w:rPr>
        <w:t>%。用于：公用经费享受金额</w:t>
      </w:r>
      <w:r>
        <w:rPr>
          <w:rFonts w:hint="eastAsia" w:ascii="仿宋_GB2312" w:hAnsi="Times New Roman" w:cs="Times New Roman"/>
          <w:color w:val="auto"/>
          <w:lang w:val="en-US" w:eastAsia="zh-CN"/>
        </w:rPr>
        <w:t>2803.89</w:t>
      </w:r>
      <w:r>
        <w:rPr>
          <w:rFonts w:hint="eastAsia" w:ascii="仿宋_GB2312" w:hAnsi="Times New Roman" w:cs="Times New Roman"/>
          <w:color w:val="auto"/>
          <w:lang w:eastAsia="zh-CN"/>
        </w:rPr>
        <w:t>万元；家庭经济困难生活补助享受金额</w:t>
      </w:r>
      <w:r>
        <w:rPr>
          <w:rFonts w:hint="eastAsia" w:ascii="仿宋_GB2312" w:hAnsi="Times New Roman" w:cs="Times New Roman"/>
          <w:color w:val="auto"/>
          <w:lang w:val="en-US" w:eastAsia="zh-CN"/>
        </w:rPr>
        <w:t>332.87万元；特岗教师工资性经费424万元；校舍安全保障经费788.46万元。</w:t>
      </w:r>
    </w:p>
    <w:p>
      <w:pPr>
        <w:pStyle w:val="4"/>
        <w:spacing w:line="360" w:lineRule="auto"/>
        <w:ind w:firstLine="600" w:firstLineChars="200"/>
        <w:rPr>
          <w:rFonts w:hint="eastAsia" w:ascii="仿宋_GB2312" w:hAnsi="Times New Roman" w:eastAsia="仿宋_GB2312" w:cs="Times New Roman"/>
          <w:b w:val="0"/>
          <w:bCs w:val="0"/>
          <w:kern w:val="2"/>
          <w:sz w:val="30"/>
          <w:szCs w:val="24"/>
          <w:lang w:val="en-US" w:eastAsia="zh-CN" w:bidi="ar-SA"/>
        </w:rPr>
      </w:pPr>
      <w:bookmarkStart w:id="2" w:name="_Toc68703829"/>
      <w:r>
        <w:rPr>
          <w:rFonts w:hint="eastAsia" w:ascii="仿宋_GB2312" w:hAnsi="Times New Roman" w:eastAsia="仿宋_GB2312" w:cs="Times New Roman"/>
          <w:b w:val="0"/>
          <w:bCs w:val="0"/>
          <w:kern w:val="2"/>
          <w:sz w:val="30"/>
          <w:szCs w:val="24"/>
          <w:lang w:val="en-US" w:eastAsia="zh-CN" w:bidi="ar-SA"/>
        </w:rPr>
        <w:t>（二）项目绩效目标。</w:t>
      </w:r>
      <w:bookmarkEnd w:id="2"/>
    </w:p>
    <w:p>
      <w:pPr>
        <w:spacing w:line="360" w:lineRule="auto"/>
        <w:ind w:firstLine="600" w:firstLineChars="200"/>
        <w:rPr>
          <w:rFonts w:hint="eastAsia" w:ascii="仿宋_GB2312" w:hAnsi="Times New Roman" w:cs="Times New Roman"/>
          <w:color w:val="auto"/>
          <w:lang w:eastAsia="zh-CN"/>
        </w:rPr>
      </w:pPr>
      <w:r>
        <w:rPr>
          <w:rFonts w:hint="eastAsia" w:ascii="仿宋_GB2312" w:hAnsi="Times New Roman" w:cs="Times New Roman"/>
          <w:color w:val="auto"/>
          <w:lang w:val="en-US" w:eastAsia="zh-CN"/>
        </w:rPr>
        <w:t>1.</w:t>
      </w:r>
      <w:r>
        <w:rPr>
          <w:rFonts w:hint="eastAsia" w:ascii="仿宋_GB2312" w:hAnsi="Times New Roman" w:cs="Times New Roman"/>
          <w:color w:val="auto"/>
          <w:lang w:eastAsia="zh-CN"/>
        </w:rPr>
        <w:t>总体目标：一是落实城乡统一、重在农村的义务教育经费保障机制；二是实施农村义务教育学校教师特设岗位计划；三是到2022年底，学校校舍日常维修改造质量达标率100%，进一步保障校舍安全。</w:t>
      </w:r>
    </w:p>
    <w:p>
      <w:pPr>
        <w:spacing w:line="360" w:lineRule="auto"/>
        <w:ind w:firstLine="600" w:firstLineChars="200"/>
        <w:rPr>
          <w:rFonts w:hint="eastAsia" w:ascii="仿宋_GB2312" w:hAnsi="Times New Roman" w:cs="Times New Roman"/>
          <w:color w:val="auto"/>
          <w:lang w:val="en-US" w:eastAsia="zh-CN"/>
        </w:rPr>
      </w:pPr>
      <w:r>
        <w:rPr>
          <w:rFonts w:hint="eastAsia" w:ascii="仿宋_GB2312" w:hAnsi="Times New Roman" w:cs="Times New Roman"/>
          <w:color w:val="auto"/>
          <w:lang w:val="en-US" w:eastAsia="zh-CN"/>
        </w:rPr>
        <w:t>2.</w:t>
      </w:r>
      <w:r>
        <w:rPr>
          <w:rFonts w:hint="eastAsia" w:ascii="仿宋_GB2312" w:hAnsi="Times New Roman" w:cs="Times New Roman"/>
          <w:color w:val="auto"/>
          <w:lang w:eastAsia="zh-CN"/>
        </w:rPr>
        <w:t>阶段性目标：</w:t>
      </w:r>
      <w:r>
        <w:rPr>
          <w:rFonts w:hint="eastAsia" w:ascii="仿宋_GB2312" w:hAnsi="Times New Roman" w:cs="Times New Roman"/>
          <w:color w:val="auto"/>
          <w:lang w:val="en-US" w:eastAsia="zh-CN"/>
        </w:rPr>
        <w:t>以实际在校学生人数为依据，按月按不同类别的标准核定并拨付公用经费及家庭经济困难学生生活补助，按时、足额下达城乡义务教育学校生均公用经费补助资金，确保所有城乡义务教育学校经费补助资金能够有效保障学校正常运转；保证按时足额发放特岗教师工资；保证</w:t>
      </w:r>
      <w:r>
        <w:rPr>
          <w:rFonts w:hint="eastAsia" w:ascii="仿宋_GB2312" w:hAnsi="Times New Roman" w:cs="Times New Roman"/>
          <w:color w:val="auto"/>
          <w:lang w:eastAsia="zh-CN"/>
        </w:rPr>
        <w:t>学校校舍日常维修改造质量达标率100%，进一步保障校舍安全。</w:t>
      </w:r>
    </w:p>
    <w:p>
      <w:pPr>
        <w:pStyle w:val="3"/>
        <w:spacing w:line="360" w:lineRule="auto"/>
        <w:rPr>
          <w:rFonts w:hint="eastAsia" w:ascii="宋体" w:hAnsi="宋体" w:eastAsia="宋体" w:cs="Times New Roman"/>
          <w:sz w:val="32"/>
          <w:szCs w:val="32"/>
        </w:rPr>
      </w:pPr>
      <w:bookmarkStart w:id="3" w:name="_Toc68703830"/>
      <w:r>
        <w:rPr>
          <w:rFonts w:hint="eastAsia" w:ascii="宋体" w:hAnsi="宋体" w:eastAsia="宋体" w:cs="Times New Roman"/>
          <w:sz w:val="32"/>
          <w:szCs w:val="32"/>
        </w:rPr>
        <w:t>二、绩效评价工作开展情况</w:t>
      </w:r>
      <w:bookmarkEnd w:id="3"/>
    </w:p>
    <w:p>
      <w:pPr>
        <w:pStyle w:val="4"/>
        <w:spacing w:line="360" w:lineRule="auto"/>
        <w:rPr>
          <w:rFonts w:hint="eastAsia"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rPr>
        <w:t>绩效评价目的：</w:t>
      </w:r>
    </w:p>
    <w:p>
      <w:pPr>
        <w:spacing w:line="360" w:lineRule="auto"/>
        <w:ind w:firstLine="640" w:firstLineChars="200"/>
        <w:jc w:val="left"/>
        <w:rPr>
          <w:rFonts w:hint="eastAsia" w:ascii="仿宋_GB2312" w:hAnsi="Times New Roman" w:cs="Times New Roman"/>
          <w:bCs/>
          <w:color w:val="auto"/>
          <w:sz w:val="32"/>
          <w:szCs w:val="32"/>
        </w:rPr>
      </w:pPr>
      <w:r>
        <w:rPr>
          <w:rFonts w:hint="eastAsia" w:ascii="仿宋_GB2312" w:hAnsi="Times New Roman" w:cs="Times New Roman"/>
          <w:bCs/>
          <w:color w:val="auto"/>
          <w:sz w:val="32"/>
          <w:szCs w:val="32"/>
        </w:rPr>
        <w:t>通过绩效评价，客观地评判项目的管理绩效，了解和掌握</w:t>
      </w:r>
      <w:r>
        <w:rPr>
          <w:rFonts w:hint="eastAsia" w:ascii="仿宋_GB2312" w:hAnsi="Times New Roman" w:cs="Times New Roman"/>
          <w:bCs/>
          <w:color w:val="auto"/>
          <w:sz w:val="32"/>
          <w:szCs w:val="32"/>
          <w:lang w:eastAsia="zh-CN"/>
        </w:rPr>
        <w:t>城乡义务教育补助</w:t>
      </w:r>
      <w:r>
        <w:rPr>
          <w:rFonts w:hint="eastAsia" w:ascii="仿宋_GB2312" w:hAnsi="Times New Roman" w:cs="Times New Roman"/>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hAnsi="Times New Roman" w:cs="Times New Roman"/>
          <w:bCs/>
          <w:color w:val="auto"/>
          <w:sz w:val="32"/>
          <w:szCs w:val="32"/>
          <w:lang w:val="en-US" w:eastAsia="zh-CN"/>
        </w:rPr>
        <w:t>局</w:t>
      </w:r>
      <w:r>
        <w:rPr>
          <w:rFonts w:hint="eastAsia" w:ascii="仿宋_GB2312" w:hAnsi="Times New Roman" w:cs="Times New Roman"/>
          <w:bCs/>
          <w:color w:val="auto"/>
          <w:sz w:val="32"/>
          <w:szCs w:val="32"/>
        </w:rPr>
        <w:t>根据绩效评价中发现的问题，认真加以整改，及时调整和完善单位的工作计划并加强项目</w:t>
      </w:r>
      <w:r>
        <w:rPr>
          <w:rFonts w:hint="eastAsia" w:ascii="仿宋_GB2312" w:hAnsi="Times New Roman" w:cs="Times New Roman"/>
          <w:bCs/>
          <w:color w:val="auto"/>
          <w:sz w:val="32"/>
          <w:szCs w:val="32"/>
          <w:lang w:val="en-US" w:eastAsia="zh-CN"/>
        </w:rPr>
        <w:t>绩效</w:t>
      </w:r>
      <w:r>
        <w:rPr>
          <w:rFonts w:hint="eastAsia" w:ascii="仿宋_GB2312" w:hAnsi="Times New Roman" w:cs="Times New Roman"/>
          <w:bCs/>
          <w:color w:val="auto"/>
          <w:sz w:val="32"/>
          <w:szCs w:val="32"/>
        </w:rPr>
        <w:t>管理，同时为项目后续资金投入、分配和管理提供决策依据。</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w:t>
      </w:r>
      <w:r>
        <w:rPr>
          <w:rFonts w:hint="eastAsia" w:ascii="Times New Roman" w:hAnsi="Times New Roman" w:cs="Times New Roman"/>
        </w:rPr>
        <w:t>绩效评价对象：</w:t>
      </w:r>
    </w:p>
    <w:p>
      <w:pPr>
        <w:spacing w:line="360" w:lineRule="auto"/>
        <w:ind w:firstLine="640" w:firstLineChars="200"/>
        <w:jc w:val="left"/>
        <w:rPr>
          <w:rFonts w:hint="eastAsia" w:ascii="仿宋_GB2312" w:hAnsi="Times New Roman" w:cs="Times New Roman"/>
          <w:bCs/>
          <w:color w:val="auto"/>
          <w:sz w:val="32"/>
          <w:szCs w:val="32"/>
          <w:lang w:eastAsia="zh-CN"/>
        </w:rPr>
      </w:pPr>
      <w:r>
        <w:rPr>
          <w:rFonts w:hint="eastAsia" w:ascii="仿宋_GB2312" w:hAnsi="Times New Roman" w:cs="Times New Roman"/>
          <w:bCs/>
          <w:color w:val="auto"/>
          <w:sz w:val="32"/>
          <w:szCs w:val="32"/>
          <w:lang w:eastAsia="zh-CN"/>
        </w:rPr>
        <w:t>城乡义务教育补助经费</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3</w:t>
      </w:r>
      <w:r>
        <w:rPr>
          <w:rFonts w:hint="eastAsia" w:ascii="Times New Roman" w:hAnsi="Times New Roman" w:cs="Times New Roman"/>
          <w:lang w:val="en-US" w:eastAsia="zh-CN"/>
        </w:rPr>
        <w:t>.</w:t>
      </w:r>
      <w:r>
        <w:rPr>
          <w:rFonts w:hint="eastAsia" w:ascii="Times New Roman" w:hAnsi="Times New Roman" w:cs="Times New Roman"/>
        </w:rPr>
        <w:t>绩效评价范围：</w:t>
      </w:r>
    </w:p>
    <w:p>
      <w:pPr>
        <w:spacing w:line="360" w:lineRule="auto"/>
        <w:ind w:firstLine="640" w:firstLineChars="200"/>
        <w:jc w:val="left"/>
        <w:rPr>
          <w:rFonts w:hint="eastAsia" w:ascii="仿宋_GB2312" w:hAnsi="Times New Roman" w:cs="Times New Roman"/>
          <w:bCs/>
          <w:color w:val="auto"/>
          <w:sz w:val="32"/>
          <w:szCs w:val="32"/>
        </w:rPr>
      </w:pPr>
      <w:r>
        <w:rPr>
          <w:rFonts w:hint="eastAsia" w:ascii="仿宋_GB2312" w:hAnsi="Times New Roman" w:cs="Times New Roman"/>
          <w:bCs/>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仿宋_GB2312" w:hAnsi="Times New Roman" w:cs="Times New Roman"/>
          <w:bCs/>
          <w:color w:val="auto"/>
          <w:sz w:val="32"/>
          <w:szCs w:val="32"/>
          <w:lang w:eastAsia="zh-CN"/>
        </w:rPr>
        <w:t>城乡义务教育补助经费</w:t>
      </w:r>
      <w:r>
        <w:rPr>
          <w:rFonts w:hint="eastAsia" w:ascii="仿宋_GB2312" w:hAnsi="Times New Roman" w:cs="Times New Roman"/>
          <w:bCs/>
          <w:color w:val="auto"/>
          <w:sz w:val="32"/>
          <w:szCs w:val="32"/>
        </w:rPr>
        <w:t>评价，评价核心为资金的支出完成情况和效果。</w:t>
      </w:r>
    </w:p>
    <w:p>
      <w:pPr>
        <w:pStyle w:val="4"/>
        <w:spacing w:line="360" w:lineRule="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rPr>
        <w:t>绩效评价原则</w:t>
      </w:r>
    </w:p>
    <w:p>
      <w:pPr>
        <w:spacing w:line="360" w:lineRule="auto"/>
        <w:ind w:firstLine="640" w:firstLineChars="200"/>
        <w:jc w:val="left"/>
        <w:rPr>
          <w:rFonts w:hint="eastAsia" w:ascii="仿宋_GB2312" w:hAnsi="Times New Roman" w:cs="Times New Roman"/>
          <w:bCs/>
          <w:color w:val="auto"/>
          <w:sz w:val="32"/>
          <w:szCs w:val="32"/>
        </w:rPr>
      </w:pPr>
      <w:r>
        <w:rPr>
          <w:rFonts w:hint="eastAsia" w:ascii="仿宋_GB2312" w:hAnsi="Times New Roman" w:cs="Times New Roman"/>
          <w:bCs/>
          <w:color w:val="auto"/>
          <w:sz w:val="32"/>
          <w:szCs w:val="32"/>
        </w:rPr>
        <w:t>（一）科学公正。本次项目支出绩效评价运用科学合理的方法，按照规范的程序，对项目绩效进行客观、公正的反映。</w:t>
      </w:r>
    </w:p>
    <w:p>
      <w:pPr>
        <w:spacing w:line="360" w:lineRule="auto"/>
        <w:ind w:firstLine="640" w:firstLineChars="200"/>
        <w:jc w:val="left"/>
        <w:rPr>
          <w:rFonts w:hint="eastAsia" w:ascii="仿宋_GB2312" w:hAnsi="Times New Roman" w:cs="Times New Roman"/>
          <w:bCs/>
          <w:color w:val="auto"/>
          <w:sz w:val="32"/>
          <w:szCs w:val="32"/>
        </w:rPr>
      </w:pPr>
      <w:r>
        <w:rPr>
          <w:rFonts w:hint="eastAsia" w:ascii="仿宋_GB2312" w:hAnsi="Times New Roman" w:cs="Times New Roman"/>
          <w:bCs/>
          <w:color w:val="auto"/>
          <w:sz w:val="32"/>
          <w:szCs w:val="32"/>
        </w:rPr>
        <w:t>（二）统筹兼顾。本次项目支出绩效评价由本单位自主实施，即“谁支出、谁自评”。</w:t>
      </w:r>
    </w:p>
    <w:p>
      <w:pPr>
        <w:spacing w:line="360" w:lineRule="auto"/>
        <w:ind w:firstLine="640" w:firstLineChars="200"/>
        <w:jc w:val="left"/>
        <w:rPr>
          <w:rFonts w:hint="eastAsia" w:ascii="仿宋_GB2312" w:hAnsi="Times New Roman" w:cs="Times New Roman"/>
          <w:bCs/>
          <w:color w:val="auto"/>
          <w:sz w:val="32"/>
          <w:szCs w:val="32"/>
        </w:rPr>
      </w:pPr>
      <w:r>
        <w:rPr>
          <w:rFonts w:hint="eastAsia" w:ascii="仿宋_GB2312" w:hAnsi="Times New Roman" w:cs="Times New Roman"/>
          <w:bCs/>
          <w:color w:val="auto"/>
          <w:sz w:val="32"/>
          <w:szCs w:val="32"/>
        </w:rPr>
        <w:t>（三）激励约束。本次项目支出绩效评价结果与预算安排、政策调整、改进管理实质性挂钩，体现奖优罚劣和激励相容导向，有效要安排、低效要压减、无效要问责。</w:t>
      </w:r>
    </w:p>
    <w:p>
      <w:pPr>
        <w:spacing w:line="360" w:lineRule="auto"/>
        <w:ind w:firstLine="640" w:firstLineChars="200"/>
        <w:jc w:val="left"/>
        <w:rPr>
          <w:rFonts w:hint="eastAsia" w:ascii="仿宋" w:hAnsi="仿宋" w:eastAsia="仿宋" w:cs="仿宋"/>
          <w:color w:val="auto"/>
          <w:sz w:val="30"/>
          <w:szCs w:val="30"/>
        </w:rPr>
      </w:pPr>
      <w:r>
        <w:rPr>
          <w:rFonts w:hint="eastAsia" w:ascii="仿宋_GB2312" w:hAnsi="Times New Roman" w:cs="Times New Roman"/>
          <w:bCs/>
          <w:color w:val="auto"/>
          <w:sz w:val="32"/>
          <w:szCs w:val="32"/>
        </w:rPr>
        <w:t>（四）公开透明。本次项目支出绩效评价结果已依法依规公开在</w:t>
      </w:r>
      <w:r>
        <w:rPr>
          <w:rFonts w:hint="eastAsia" w:ascii="仿宋_GB2312" w:hAnsi="Times New Roman" w:cs="Times New Roman"/>
          <w:bCs/>
          <w:color w:val="auto"/>
          <w:sz w:val="32"/>
          <w:szCs w:val="32"/>
          <w:lang w:eastAsia="zh-CN"/>
        </w:rPr>
        <w:t>政府门户</w:t>
      </w:r>
      <w:r>
        <w:rPr>
          <w:rFonts w:hint="eastAsia" w:ascii="仿宋_GB2312" w:hAnsi="Times New Roman" w:cs="Times New Roman"/>
          <w:bCs/>
          <w:color w:val="auto"/>
          <w:sz w:val="32"/>
          <w:szCs w:val="32"/>
        </w:rPr>
        <w:t>网站上，并自觉接受社会监督。</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2、评价指标体系（附表说明）</w:t>
      </w:r>
    </w:p>
    <w:p>
      <w:pPr>
        <w:spacing w:line="360" w:lineRule="auto"/>
        <w:ind w:firstLine="600" w:firstLineChars="200"/>
        <w:jc w:val="center"/>
        <w:rPr>
          <w:rFonts w:hint="eastAsia" w:ascii="Times New Roman" w:hAnsi="Times New Roman" w:cs="Times New Roman"/>
        </w:rPr>
      </w:pPr>
      <w:r>
        <w:rPr>
          <w:rFonts w:hint="eastAsia" w:ascii="Times New Roman" w:hAnsi="Times New Roman" w:cs="Times New Roman"/>
          <w:lang w:eastAsia="zh-CN"/>
        </w:rPr>
        <w:t>城乡义务教育补助经费</w:t>
      </w:r>
      <w:r>
        <w:rPr>
          <w:rFonts w:hint="eastAsia" w:ascii="Times New Roman" w:hAnsi="Times New Roman" w:cs="Times New Roman"/>
        </w:rPr>
        <w:t>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2</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2</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3.72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3.52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20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98.24</w:t>
            </w:r>
          </w:p>
        </w:tc>
      </w:tr>
    </w:tbl>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3、评价方法</w:t>
      </w:r>
    </w:p>
    <w:p>
      <w:pPr>
        <w:spacing w:line="360" w:lineRule="auto"/>
        <w:ind w:firstLine="640" w:firstLineChars="200"/>
        <w:rPr>
          <w:rFonts w:hint="eastAsia" w:ascii="Times New Roman" w:hAnsi="Times New Roman" w:cs="Times New Roman"/>
          <w:bCs/>
          <w:color w:val="auto"/>
          <w:sz w:val="32"/>
          <w:szCs w:val="32"/>
          <w:highlight w:val="yellow"/>
          <w:lang w:val="en-US" w:eastAsia="zh-CN"/>
        </w:rPr>
      </w:pPr>
      <w:r>
        <w:rPr>
          <w:rFonts w:hint="eastAsia" w:ascii="Times New Roman" w:hAnsi="Times New Roman" w:cs="Times New Roman"/>
          <w:bCs/>
          <w:color w:val="auto"/>
          <w:sz w:val="32"/>
          <w:szCs w:val="32"/>
        </w:rPr>
        <w:t>本次项目支出</w:t>
      </w:r>
      <w:r>
        <w:rPr>
          <w:rFonts w:hint="eastAsia" w:ascii="Times New Roman" w:hAnsi="Times New Roman" w:cs="Times New Roman"/>
          <w:bCs/>
          <w:color w:val="auto"/>
          <w:sz w:val="32"/>
          <w:szCs w:val="32"/>
          <w:highlight w:val="none"/>
        </w:rPr>
        <w:t>绩效自评采用</w:t>
      </w:r>
      <w:r>
        <w:rPr>
          <w:rFonts w:hint="eastAsia" w:ascii="Times New Roman" w:hAnsi="Times New Roman" w:cs="Times New Roman"/>
          <w:bCs/>
          <w:color w:val="auto"/>
          <w:sz w:val="32"/>
          <w:szCs w:val="32"/>
          <w:highlight w:val="none"/>
          <w:lang w:val="en-US" w:eastAsia="zh-CN"/>
        </w:rPr>
        <w:t>比较法、因素分析方法</w:t>
      </w:r>
      <w:r>
        <w:rPr>
          <w:rFonts w:hint="eastAsia" w:ascii="Times New Roman" w:hAnsi="Times New Roman" w:cs="Times New Roman"/>
          <w:bCs/>
          <w:color w:val="auto"/>
          <w:sz w:val="32"/>
          <w:szCs w:val="32"/>
          <w:highlight w:val="none"/>
        </w:rPr>
        <w:t>，原因是：</w:t>
      </w:r>
      <w:r>
        <w:rPr>
          <w:rFonts w:hint="eastAsia" w:ascii="Times New Roman" w:hAnsi="Times New Roman" w:cs="Times New Roman"/>
          <w:bCs/>
          <w:color w:val="auto"/>
          <w:sz w:val="32"/>
          <w:szCs w:val="32"/>
          <w:highlight w:val="none"/>
          <w:lang w:val="en-US" w:eastAsia="zh-CN"/>
        </w:rPr>
        <w:t>年初，核算中心根据财政部、教育部相关文件补助标准，依据各乡镇教育统计年报学生数，按照分配因素及计算公式，将城乡义务教育补助经费实行分配。</w:t>
      </w:r>
    </w:p>
    <w:p>
      <w:pPr>
        <w:spacing w:line="360" w:lineRule="auto"/>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4</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评价标准</w:t>
      </w:r>
    </w:p>
    <w:p>
      <w:pPr>
        <w:spacing w:line="360" w:lineRule="auto"/>
        <w:ind w:firstLine="640" w:firstLineChars="200"/>
        <w:rPr>
          <w:rFonts w:hint="eastAsia" w:ascii="Times New Roman" w:hAnsi="Times New Roman" w:cs="Times New Roman"/>
          <w:bCs/>
          <w:color w:val="auto"/>
          <w:sz w:val="32"/>
          <w:szCs w:val="32"/>
          <w:highlight w:val="none"/>
          <w:lang w:val="en-US" w:eastAsia="zh-CN"/>
        </w:rPr>
      </w:pPr>
      <w:r>
        <w:rPr>
          <w:rFonts w:hint="eastAsia" w:ascii="Times New Roman" w:hAnsi="Times New Roman" w:cs="Times New Roman"/>
          <w:bCs/>
          <w:color w:val="auto"/>
          <w:sz w:val="32"/>
          <w:szCs w:val="32"/>
          <w:highlight w:val="none"/>
          <w:lang w:val="en-US" w:eastAsia="zh-CN"/>
        </w:rPr>
        <w:t>本次项目支出绩效自评采用计划标准，原因是：</w:t>
      </w:r>
      <w:r>
        <w:rPr>
          <w:rFonts w:hint="eastAsia" w:cs="Times New Roman"/>
          <w:bCs/>
          <w:color w:val="auto"/>
          <w:sz w:val="32"/>
          <w:szCs w:val="32"/>
          <w:highlight w:val="none"/>
          <w:lang w:val="en-US" w:eastAsia="zh-CN"/>
        </w:rPr>
        <w:t>对小学、初中、特殊教育学校享受公用经费学生每年根据上一年事业年报统计人数</w:t>
      </w:r>
      <w:r>
        <w:rPr>
          <w:rFonts w:hint="eastAsia" w:ascii="Times New Roman" w:hAnsi="Times New Roman" w:cs="Times New Roman"/>
          <w:bCs/>
          <w:color w:val="auto"/>
          <w:sz w:val="32"/>
          <w:szCs w:val="32"/>
          <w:highlight w:val="none"/>
          <w:lang w:val="en-US" w:eastAsia="zh-CN"/>
        </w:rPr>
        <w:t>将公用经费、家庭经济困难学生生活补助、特岗教师工资性补助年初就按定额标准</w:t>
      </w:r>
      <w:r>
        <w:rPr>
          <w:rFonts w:hint="eastAsia" w:cs="Times New Roman"/>
          <w:bCs/>
          <w:color w:val="auto"/>
          <w:sz w:val="32"/>
          <w:szCs w:val="32"/>
          <w:highlight w:val="none"/>
          <w:lang w:val="en-US" w:eastAsia="zh-CN"/>
        </w:rPr>
        <w:t>分配到各个学校，保障资金合理有效使用</w:t>
      </w:r>
      <w:r>
        <w:rPr>
          <w:rFonts w:hint="eastAsia" w:ascii="Times New Roman" w:hAnsi="Times New Roman" w:cs="Times New Roman"/>
          <w:bCs/>
          <w:color w:val="auto"/>
          <w:sz w:val="32"/>
          <w:szCs w:val="32"/>
          <w:highlight w:val="none"/>
          <w:lang w:val="en-US" w:eastAsia="zh-CN"/>
        </w:rPr>
        <w:t>。</w:t>
      </w:r>
    </w:p>
    <w:p>
      <w:pPr>
        <w:pStyle w:val="4"/>
        <w:spacing w:line="360" w:lineRule="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rPr>
        <w:t>前期准备：</w:t>
      </w:r>
    </w:p>
    <w:p>
      <w:pPr>
        <w:spacing w:line="360" w:lineRule="auto"/>
        <w:ind w:firstLine="640" w:firstLineChars="200"/>
        <w:rPr>
          <w:rFonts w:hint="eastAsia" w:ascii="Times New Roman" w:hAnsi="Times New Roman" w:cs="Times New Roman"/>
          <w:bCs/>
          <w:color w:val="auto"/>
          <w:sz w:val="32"/>
          <w:szCs w:val="32"/>
        </w:rPr>
      </w:pPr>
      <w:r>
        <w:rPr>
          <w:rFonts w:hint="eastAsia" w:ascii="Times New Roman" w:hAnsi="Times New Roman" w:cs="Times New Roman"/>
          <w:bCs/>
          <w:color w:val="auto"/>
          <w:sz w:val="32"/>
          <w:szCs w:val="32"/>
        </w:rPr>
        <w:t>202</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年</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月</w:t>
      </w:r>
      <w:r>
        <w:rPr>
          <w:rFonts w:hint="eastAsia" w:ascii="Times New Roman" w:hAnsi="Times New Roman" w:cs="Times New Roman"/>
          <w:bCs/>
          <w:color w:val="auto"/>
          <w:sz w:val="32"/>
          <w:szCs w:val="32"/>
          <w:lang w:val="en-US" w:eastAsia="zh-CN"/>
        </w:rPr>
        <w:t>1</w:t>
      </w:r>
      <w:r>
        <w:rPr>
          <w:rFonts w:hint="eastAsia" w:ascii="Times New Roman" w:hAnsi="Times New Roman" w:cs="Times New Roman"/>
          <w:bCs/>
          <w:color w:val="auto"/>
          <w:sz w:val="32"/>
          <w:szCs w:val="32"/>
        </w:rPr>
        <w:t>日，</w:t>
      </w:r>
      <w:r>
        <w:rPr>
          <w:rFonts w:hint="eastAsia" w:ascii="Times New Roman" w:hAnsi="Times New Roman" w:cs="Times New Roman"/>
          <w:bCs/>
          <w:color w:val="auto"/>
          <w:sz w:val="32"/>
          <w:szCs w:val="32"/>
          <w:lang w:val="zh-CN"/>
        </w:rPr>
        <w:t>开始前期准备工作，评价组通过前期调研</w:t>
      </w:r>
      <w:r>
        <w:rPr>
          <w:rFonts w:hint="eastAsia" w:ascii="Times New Roman" w:hAnsi="Times New Roman" w:cs="Times New Roman"/>
          <w:bCs/>
          <w:color w:val="auto"/>
          <w:sz w:val="32"/>
          <w:szCs w:val="32"/>
        </w:rPr>
        <w:t>确定绩效评价对象和范围，</w:t>
      </w:r>
      <w:r>
        <w:rPr>
          <w:rFonts w:hint="eastAsia" w:ascii="Times New Roman" w:hAnsi="Times New Roman" w:cs="Times New Roman"/>
          <w:bCs/>
          <w:color w:val="auto"/>
          <w:sz w:val="32"/>
          <w:szCs w:val="32"/>
          <w:lang w:val="zh-CN"/>
        </w:rPr>
        <w:t>确定了评价的目的、方法以及评价的原则，根据项目的内容和特征制定了评价指标体系及评价标准以及评价实施方案，修正并确定所需资料清单，最终确定</w:t>
      </w:r>
      <w:r>
        <w:rPr>
          <w:rFonts w:hint="eastAsia" w:ascii="Times New Roman" w:hAnsi="Times New Roman" w:cs="Times New Roman"/>
          <w:bCs/>
          <w:color w:val="auto"/>
          <w:sz w:val="32"/>
          <w:szCs w:val="32"/>
        </w:rPr>
        <w:t>绩效评价工作方案；</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w:t>
      </w:r>
      <w:r>
        <w:rPr>
          <w:rFonts w:hint="eastAsia" w:ascii="Times New Roman" w:hAnsi="Times New Roman" w:cs="Times New Roman"/>
        </w:rPr>
        <w:t>组织实施：</w:t>
      </w:r>
    </w:p>
    <w:p>
      <w:pPr>
        <w:spacing w:line="360" w:lineRule="auto"/>
        <w:ind w:firstLine="640" w:firstLineChars="200"/>
        <w:rPr>
          <w:rFonts w:hint="eastAsia" w:ascii="Times New Roman" w:hAnsi="Times New Roman" w:cs="Times New Roman"/>
          <w:bCs/>
          <w:color w:val="auto"/>
          <w:sz w:val="32"/>
          <w:szCs w:val="32"/>
        </w:rPr>
      </w:pPr>
      <w:r>
        <w:rPr>
          <w:rFonts w:hint="eastAsia" w:ascii="Times New Roman" w:hAnsi="Times New Roman" w:cs="Times New Roman"/>
          <w:bCs/>
          <w:color w:val="auto"/>
          <w:sz w:val="32"/>
          <w:szCs w:val="32"/>
        </w:rPr>
        <w:t>202</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年</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月</w:t>
      </w:r>
      <w:r>
        <w:rPr>
          <w:rFonts w:hint="eastAsia" w:ascii="Times New Roman" w:hAnsi="Times New Roman" w:cs="Times New Roman"/>
          <w:bCs/>
          <w:color w:val="auto"/>
          <w:sz w:val="32"/>
          <w:szCs w:val="32"/>
          <w:lang w:val="en-US" w:eastAsia="zh-CN"/>
        </w:rPr>
        <w:t>5</w:t>
      </w:r>
      <w:r>
        <w:rPr>
          <w:rFonts w:hint="eastAsia" w:ascii="Times New Roman" w:hAnsi="Times New Roman" w:cs="Times New Roman"/>
          <w:bCs/>
          <w:color w:val="auto"/>
          <w:sz w:val="32"/>
          <w:szCs w:val="32"/>
        </w:rPr>
        <w:t>日</w:t>
      </w:r>
      <w:r>
        <w:rPr>
          <w:rFonts w:hint="eastAsia" w:ascii="Times New Roman" w:hAnsi="Times New Roman" w:cs="Times New Roman"/>
          <w:bCs/>
          <w:color w:val="auto"/>
          <w:sz w:val="32"/>
          <w:szCs w:val="32"/>
          <w:lang w:val="en-US" w:eastAsia="zh-CN"/>
        </w:rPr>
        <w:t>-3月10日</w:t>
      </w:r>
      <w:r>
        <w:rPr>
          <w:rFonts w:hint="eastAsia" w:ascii="Times New Roman" w:hAnsi="Times New Roman" w:cs="Times New Roman"/>
          <w:bCs/>
          <w:color w:val="auto"/>
          <w:sz w:val="32"/>
          <w:szCs w:val="32"/>
        </w:rPr>
        <w:t>，评价工作进入实施阶段，评价组收集绩效评价相关数据资料，进行现场调研、座谈；并与项目实施负责人沟通，了解资金的内容、操作流程、管理机制、资金使用方向等情况，分析形成初步结论。</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3</w:t>
      </w:r>
      <w:r>
        <w:rPr>
          <w:rFonts w:hint="eastAsia" w:ascii="Times New Roman" w:hAnsi="Times New Roman" w:cs="Times New Roman"/>
          <w:lang w:val="en-US" w:eastAsia="zh-CN"/>
        </w:rPr>
        <w:t>.</w:t>
      </w:r>
      <w:r>
        <w:rPr>
          <w:rFonts w:hint="eastAsia" w:ascii="Times New Roman" w:hAnsi="Times New Roman" w:cs="Times New Roman"/>
        </w:rPr>
        <w:t>分析评价：</w:t>
      </w:r>
    </w:p>
    <w:p>
      <w:pPr>
        <w:spacing w:line="360" w:lineRule="auto"/>
        <w:ind w:firstLine="640" w:firstLineChars="200"/>
        <w:rPr>
          <w:rFonts w:hint="eastAsia" w:ascii="Times New Roman" w:hAnsi="Times New Roman" w:cs="Times New Roman"/>
          <w:bCs/>
          <w:color w:val="FF0000"/>
          <w:sz w:val="32"/>
          <w:szCs w:val="32"/>
        </w:rPr>
      </w:pPr>
      <w:r>
        <w:rPr>
          <w:rFonts w:hint="eastAsia" w:ascii="Times New Roman" w:hAnsi="Times New Roman" w:cs="Times New Roman"/>
          <w:bCs/>
          <w:color w:val="auto"/>
          <w:sz w:val="32"/>
          <w:szCs w:val="32"/>
        </w:rPr>
        <w:t>202</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年</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月</w:t>
      </w:r>
      <w:r>
        <w:rPr>
          <w:rFonts w:hint="eastAsia" w:ascii="Times New Roman" w:hAnsi="Times New Roman" w:cs="Times New Roman"/>
          <w:bCs/>
          <w:color w:val="auto"/>
          <w:sz w:val="32"/>
          <w:szCs w:val="32"/>
          <w:lang w:val="en-US" w:eastAsia="zh-CN"/>
        </w:rPr>
        <w:t>10</w:t>
      </w:r>
      <w:r>
        <w:rPr>
          <w:rFonts w:hint="eastAsia" w:ascii="Times New Roman" w:hAnsi="Times New Roman" w:cs="Times New Roman"/>
          <w:bCs/>
          <w:color w:val="auto"/>
          <w:sz w:val="32"/>
          <w:szCs w:val="32"/>
        </w:rPr>
        <w:t>日-</w:t>
      </w:r>
      <w:r>
        <w:rPr>
          <w:rFonts w:hint="eastAsia" w:ascii="Times New Roman" w:hAnsi="Times New Roman" w:cs="Times New Roman"/>
          <w:bCs/>
          <w:color w:val="auto"/>
          <w:sz w:val="32"/>
          <w:szCs w:val="32"/>
          <w:lang w:val="en-US" w:eastAsia="zh-CN"/>
        </w:rPr>
        <w:t>3</w:t>
      </w:r>
      <w:r>
        <w:rPr>
          <w:rFonts w:hint="eastAsia" w:ascii="Times New Roman" w:hAnsi="Times New Roman" w:cs="Times New Roman"/>
          <w:bCs/>
          <w:color w:val="auto"/>
          <w:sz w:val="32"/>
          <w:szCs w:val="32"/>
        </w:rPr>
        <w:t>月</w:t>
      </w:r>
      <w:r>
        <w:rPr>
          <w:rFonts w:hint="eastAsia" w:ascii="Times New Roman" w:hAnsi="Times New Roman" w:cs="Times New Roman"/>
          <w:bCs/>
          <w:color w:val="auto"/>
          <w:sz w:val="32"/>
          <w:szCs w:val="32"/>
          <w:lang w:val="en-US" w:eastAsia="zh-CN"/>
        </w:rPr>
        <w:t>20</w:t>
      </w:r>
      <w:r>
        <w:rPr>
          <w:rFonts w:hint="eastAsia" w:ascii="Times New Roman" w:hAnsi="Times New Roman" w:cs="Times New Roman"/>
          <w:bCs/>
          <w:color w:val="auto"/>
          <w:sz w:val="32"/>
          <w:szCs w:val="32"/>
        </w:rPr>
        <w:t>日，评价组按照绩效评价的原则和规范，对取得的资料进行审查核实，对采集的数据进行分析，按照绩效评价指标评分表逐项进行打分、分析，汇总各方评价结果，综合分析并形成评价结论。</w:t>
      </w:r>
    </w:p>
    <w:p>
      <w:pPr>
        <w:pStyle w:val="3"/>
        <w:spacing w:line="360" w:lineRule="auto"/>
        <w:rPr>
          <w:rFonts w:hint="eastAsia" w:ascii="宋体" w:hAnsi="宋体" w:eastAsia="宋体" w:cs="Times New Roman"/>
          <w:sz w:val="32"/>
          <w:szCs w:val="32"/>
        </w:rPr>
      </w:pPr>
      <w:bookmarkStart w:id="7" w:name="_Toc68703834"/>
      <w:r>
        <w:rPr>
          <w:rFonts w:hint="eastAsia" w:ascii="宋体" w:hAnsi="宋体" w:eastAsia="宋体" w:cs="Times New Roman"/>
          <w:sz w:val="32"/>
          <w:szCs w:val="32"/>
        </w:rPr>
        <w:t>三、综合评价情况及评价结论</w:t>
      </w:r>
      <w:bookmarkEnd w:id="7"/>
    </w:p>
    <w:p>
      <w:pPr>
        <w:pStyle w:val="4"/>
        <w:spacing w:line="360" w:lineRule="auto"/>
        <w:rPr>
          <w:rFonts w:hint="eastAsia"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40" w:firstLineChars="200"/>
        <w:rPr>
          <w:rFonts w:hint="eastAsia" w:ascii="仿宋_GB2312" w:hAnsi="Times New Roman" w:cs="Times New Roman"/>
          <w:bCs/>
          <w:color w:val="auto"/>
          <w:kern w:val="0"/>
          <w:sz w:val="32"/>
          <w:szCs w:val="32"/>
          <w:lang w:eastAsia="zh-CN"/>
        </w:rPr>
      </w:pPr>
      <w:r>
        <w:rPr>
          <w:rFonts w:hint="eastAsia" w:ascii="仿宋_GB2312" w:hAnsi="Times New Roman" w:cs="Times New Roman"/>
          <w:bCs/>
          <w:color w:val="auto"/>
          <w:kern w:val="0"/>
          <w:sz w:val="32"/>
          <w:szCs w:val="32"/>
        </w:rPr>
        <w:t>本项目严格按照科学公正、统筹兼顾、激励约束、公开透明的绩效评价原则，采用</w:t>
      </w:r>
      <w:r>
        <w:rPr>
          <w:rFonts w:hint="eastAsia" w:ascii="仿宋_GB2312" w:hAnsi="Times New Roman" w:cs="Times New Roman"/>
          <w:bCs/>
          <w:color w:val="auto"/>
          <w:kern w:val="0"/>
          <w:sz w:val="32"/>
          <w:szCs w:val="32"/>
          <w:lang w:val="en-US" w:eastAsia="zh-CN"/>
        </w:rPr>
        <w:t>比较法、因素分析法</w:t>
      </w:r>
      <w:r>
        <w:rPr>
          <w:rFonts w:hint="eastAsia" w:ascii="仿宋_GB2312" w:hAnsi="Times New Roman" w:cs="Times New Roman"/>
          <w:bCs/>
          <w:color w:val="auto"/>
          <w:kern w:val="0"/>
          <w:sz w:val="32"/>
          <w:szCs w:val="32"/>
        </w:rPr>
        <w:t>，坚持</w:t>
      </w:r>
      <w:r>
        <w:rPr>
          <w:rFonts w:hint="eastAsia" w:ascii="仿宋_GB2312" w:hAnsi="Times New Roman" w:cs="Times New Roman"/>
          <w:bCs/>
          <w:color w:val="auto"/>
          <w:kern w:val="0"/>
          <w:sz w:val="32"/>
          <w:szCs w:val="32"/>
          <w:lang w:val="en-US" w:eastAsia="zh-CN"/>
        </w:rPr>
        <w:t>计划标准</w:t>
      </w:r>
      <w:r>
        <w:rPr>
          <w:rFonts w:hint="eastAsia" w:ascii="仿宋_GB2312" w:hAnsi="Times New Roman" w:cs="Times New Roman"/>
          <w:bCs/>
          <w:color w:val="auto"/>
          <w:kern w:val="0"/>
          <w:sz w:val="32"/>
          <w:szCs w:val="32"/>
        </w:rPr>
        <w:t>对本项目的立项、绩效目标、资金投入、资金管理、组织实施、产出数量、产出质量、产出时效、产出成本、项目效益进行了综合评价。</w:t>
      </w:r>
    </w:p>
    <w:p>
      <w:pPr>
        <w:spacing w:line="360" w:lineRule="auto"/>
        <w:ind w:firstLine="640" w:firstLineChars="200"/>
        <w:jc w:val="center"/>
        <w:rPr>
          <w:rFonts w:hint="eastAsia" w:ascii="仿宋_GB2312" w:hAnsi="Times New Roman" w:cs="Times New Roman"/>
          <w:bCs/>
          <w:color w:val="auto"/>
          <w:kern w:val="0"/>
          <w:sz w:val="32"/>
          <w:szCs w:val="32"/>
        </w:rPr>
      </w:pPr>
      <w:r>
        <w:rPr>
          <w:rFonts w:hint="eastAsia" w:ascii="仿宋_GB2312" w:hAnsi="Times New Roman" w:cs="Times New Roman"/>
          <w:bCs/>
          <w:color w:val="auto"/>
          <w:kern w:val="0"/>
          <w:sz w:val="32"/>
          <w:szCs w:val="32"/>
          <w:lang w:eastAsia="zh-CN"/>
        </w:rPr>
        <w:t>城乡义务教育补助经费</w:t>
      </w:r>
      <w:r>
        <w:rPr>
          <w:rFonts w:hint="eastAsia" w:ascii="仿宋_GB2312" w:hAnsi="Times New Roman" w:cs="Times New Roman"/>
          <w:bCs/>
          <w:color w:val="auto"/>
          <w:kern w:val="0"/>
          <w:sz w:val="32"/>
          <w:szCs w:val="32"/>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19.72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35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33.52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98.24</w:t>
            </w:r>
          </w:p>
        </w:tc>
      </w:tr>
    </w:tbl>
    <w:p>
      <w:pPr>
        <w:pStyle w:val="4"/>
        <w:spacing w:line="360" w:lineRule="auto"/>
        <w:rPr>
          <w:rFonts w:hint="eastAsia"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40" w:firstLineChars="200"/>
        <w:rPr>
          <w:rFonts w:hint="eastAsia" w:ascii="仿宋_GB2312" w:hAnsi="Times New Roman" w:cs="Times New Roman"/>
          <w:bCs/>
          <w:color w:val="auto"/>
          <w:kern w:val="0"/>
          <w:sz w:val="32"/>
          <w:szCs w:val="32"/>
          <w:lang w:val="en-US" w:eastAsia="zh-CN"/>
        </w:rPr>
      </w:pPr>
      <w:r>
        <w:rPr>
          <w:rFonts w:hint="eastAsia" w:ascii="仿宋_GB2312" w:hAnsi="Times New Roman" w:cs="Times New Roman"/>
          <w:bCs/>
          <w:color w:val="auto"/>
          <w:kern w:val="0"/>
          <w:sz w:val="32"/>
          <w:szCs w:val="32"/>
        </w:rPr>
        <w:t>本项目的项目决策、项目过程、项目产出、项目效益均达到了预期要求，最终</w:t>
      </w:r>
      <w:r>
        <w:rPr>
          <w:rFonts w:hint="eastAsia" w:ascii="仿宋_GB2312" w:hAnsi="Times New Roman" w:cs="Times New Roman"/>
          <w:bCs/>
          <w:color w:val="auto"/>
          <w:kern w:val="0"/>
          <w:sz w:val="32"/>
          <w:szCs w:val="32"/>
          <w:lang w:val="en-US" w:eastAsia="zh-CN"/>
        </w:rPr>
        <w:t>评</w:t>
      </w:r>
      <w:r>
        <w:rPr>
          <w:rFonts w:hint="eastAsia" w:ascii="仿宋_GB2312" w:hAnsi="Times New Roman" w:cs="Times New Roman"/>
          <w:bCs/>
          <w:color w:val="auto"/>
          <w:kern w:val="0"/>
          <w:sz w:val="32"/>
          <w:szCs w:val="32"/>
        </w:rPr>
        <w:t>分为</w:t>
      </w:r>
      <w:r>
        <w:rPr>
          <w:rFonts w:hint="eastAsia" w:ascii="仿宋_GB2312" w:hAnsi="Times New Roman" w:cs="Times New Roman"/>
          <w:bCs/>
          <w:color w:val="auto"/>
          <w:kern w:val="0"/>
          <w:sz w:val="32"/>
          <w:szCs w:val="32"/>
          <w:lang w:val="en-US" w:eastAsia="zh-CN"/>
        </w:rPr>
        <w:t>98.24</w:t>
      </w:r>
      <w:r>
        <w:rPr>
          <w:rFonts w:hint="eastAsia" w:ascii="仿宋_GB2312" w:hAnsi="Times New Roman" w:cs="Times New Roman"/>
          <w:bCs/>
          <w:color w:val="auto"/>
          <w:kern w:val="0"/>
          <w:sz w:val="32"/>
          <w:szCs w:val="32"/>
        </w:rPr>
        <w:t>分，</w:t>
      </w:r>
      <w:r>
        <w:rPr>
          <w:rFonts w:hint="eastAsia" w:ascii="仿宋_GB2312" w:hAnsi="Times New Roman" w:cs="Times New Roman"/>
          <w:bCs/>
          <w:color w:val="auto"/>
          <w:kern w:val="0"/>
          <w:sz w:val="32"/>
          <w:szCs w:val="32"/>
          <w:lang w:val="en-US" w:eastAsia="zh-CN"/>
        </w:rPr>
        <w:t>评价等级为“优”，</w:t>
      </w:r>
      <w:r>
        <w:rPr>
          <w:rFonts w:hint="eastAsia" w:ascii="仿宋_GB2312" w:hAnsi="Times New Roman" w:cs="Times New Roman"/>
          <w:bCs/>
          <w:color w:val="auto"/>
          <w:kern w:val="0"/>
          <w:sz w:val="32"/>
          <w:szCs w:val="32"/>
        </w:rPr>
        <w:t>项目达成年度指</w:t>
      </w:r>
      <w:r>
        <w:rPr>
          <w:rFonts w:hint="eastAsia" w:ascii="仿宋_GB2312" w:hAnsi="Times New Roman" w:cs="Times New Roman"/>
          <w:bCs/>
          <w:color w:val="auto"/>
          <w:kern w:val="0"/>
          <w:sz w:val="32"/>
          <w:szCs w:val="32"/>
          <w:highlight w:val="none"/>
        </w:rPr>
        <w:t>标，</w:t>
      </w:r>
      <w:r>
        <w:rPr>
          <w:rFonts w:hint="eastAsia" w:ascii="仿宋_GB2312" w:cs="Times New Roman"/>
          <w:bCs/>
          <w:color w:val="auto"/>
          <w:kern w:val="0"/>
          <w:sz w:val="32"/>
          <w:szCs w:val="32"/>
          <w:highlight w:val="none"/>
          <w:lang w:val="en-US" w:eastAsia="zh-CN"/>
        </w:rPr>
        <w:t>成本指标中</w:t>
      </w:r>
      <w:r>
        <w:rPr>
          <w:rFonts w:hint="eastAsia" w:ascii="仿宋_GB2312" w:hAnsi="Times New Roman" w:cs="Times New Roman"/>
          <w:bCs/>
          <w:color w:val="auto"/>
          <w:kern w:val="0"/>
          <w:sz w:val="32"/>
          <w:szCs w:val="32"/>
          <w:highlight w:val="none"/>
        </w:rPr>
        <w:t>校舍安全保障经费指标未达成年度指标的原因是受疫情影响，人员材料无法入场，项目未按期完工。</w:t>
      </w:r>
    </w:p>
    <w:p>
      <w:pPr>
        <w:pStyle w:val="3"/>
        <w:spacing w:line="360" w:lineRule="auto"/>
        <w:rPr>
          <w:rFonts w:hint="eastAsia" w:ascii="宋体" w:hAnsi="宋体" w:eastAsia="宋体" w:cs="Times New Roman"/>
          <w:sz w:val="32"/>
          <w:szCs w:val="32"/>
        </w:rPr>
      </w:pPr>
      <w:bookmarkStart w:id="10" w:name="_Toc68703837"/>
      <w:r>
        <w:rPr>
          <w:rFonts w:hint="eastAsia" w:ascii="宋体" w:hAnsi="宋体" w:eastAsia="宋体" w:cs="Times New Roman"/>
          <w:sz w:val="32"/>
          <w:szCs w:val="32"/>
        </w:rPr>
        <w:t>四、绩效评价指标分析</w:t>
      </w:r>
      <w:bookmarkEnd w:id="10"/>
    </w:p>
    <w:p>
      <w:pPr>
        <w:pStyle w:val="4"/>
        <w:spacing w:line="360" w:lineRule="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rPr>
        <w:t>立项依据充分性</w:t>
      </w:r>
    </w:p>
    <w:p>
      <w:pPr>
        <w:spacing w:line="360" w:lineRule="auto"/>
        <w:ind w:firstLine="600" w:firstLineChars="200"/>
        <w:rPr>
          <w:rFonts w:hint="eastAsia" w:ascii="Times New Roman" w:hAnsi="Times New Roman" w:cs="Times New Roman"/>
          <w:color w:val="auto"/>
          <w:lang w:eastAsia="zh-CN"/>
        </w:rPr>
      </w:pPr>
      <w:r>
        <w:rPr>
          <w:rFonts w:hint="eastAsia" w:ascii="Times New Roman" w:hAnsi="Times New Roman" w:cs="Times New Roman"/>
          <w:color w:val="auto"/>
          <w:lang w:eastAsia="zh-CN"/>
        </w:rPr>
        <w:t>城乡义务教育补助经费</w:t>
      </w:r>
      <w:r>
        <w:rPr>
          <w:rFonts w:hint="eastAsia" w:ascii="Times New Roman" w:hAnsi="Times New Roman" w:cs="Times New Roman"/>
          <w:color w:val="auto"/>
        </w:rPr>
        <w:t>项目立项</w:t>
      </w:r>
      <w:r>
        <w:rPr>
          <w:rFonts w:hint="eastAsia" w:ascii="Times New Roman" w:hAnsi="Times New Roman" w:cs="Times New Roman"/>
          <w:color w:val="auto"/>
          <w:lang w:eastAsia="zh-CN"/>
        </w:rPr>
        <w:t>以伊州财教【</w:t>
      </w:r>
      <w:r>
        <w:rPr>
          <w:rFonts w:hint="eastAsia" w:ascii="Times New Roman" w:hAnsi="Times New Roman" w:cs="Times New Roman"/>
          <w:color w:val="auto"/>
          <w:lang w:val="en-US" w:eastAsia="zh-CN"/>
        </w:rPr>
        <w:t>2021】53号关于提前下达2022年城乡义务教育项目直达资金的通知</w:t>
      </w:r>
      <w:r>
        <w:rPr>
          <w:rFonts w:hint="eastAsia" w:ascii="Times New Roman" w:hAnsi="Times New Roman" w:cs="Times New Roman"/>
          <w:color w:val="auto"/>
        </w:rPr>
        <w:t>文件</w:t>
      </w:r>
      <w:r>
        <w:rPr>
          <w:rFonts w:hint="eastAsia" w:ascii="Times New Roman" w:hAnsi="Times New Roman" w:cs="Times New Roman"/>
          <w:color w:val="auto"/>
          <w:lang w:eastAsia="zh-CN"/>
        </w:rPr>
        <w:t>为依据，</w:t>
      </w:r>
      <w:r>
        <w:rPr>
          <w:rFonts w:hint="eastAsia" w:ascii="Times New Roman" w:hAnsi="Times New Roman" w:cs="Times New Roman"/>
          <w:color w:val="auto"/>
        </w:rPr>
        <w:t>项目立项符合国家法律法规、国民经济发展规划和相关政策；符合行业发展规划和政策要求；与部门职责范围相符，属于部门履职所需；属于公共财政支持范围，符合中央、地方事权支出责任划分原则</w:t>
      </w:r>
      <w:r>
        <w:rPr>
          <w:rFonts w:hint="eastAsia" w:ascii="Times New Roman" w:hAnsi="Times New Roman" w:cs="Times New Roman"/>
          <w:color w:val="auto"/>
          <w:lang w:eastAsia="zh-CN"/>
        </w:rPr>
        <w:t>。</w:t>
      </w:r>
      <w:r>
        <w:rPr>
          <w:rFonts w:hint="eastAsia" w:ascii="Times New Roman" w:hAnsi="Times New Roman" w:cs="Times New Roman"/>
          <w:color w:val="auto"/>
        </w:rPr>
        <w:t>项目</w:t>
      </w:r>
      <w:r>
        <w:rPr>
          <w:rFonts w:hint="eastAsia" w:cs="Times New Roman"/>
          <w:color w:val="auto"/>
          <w:lang w:val="en-US" w:eastAsia="zh-CN"/>
        </w:rPr>
        <w:t>未</w:t>
      </w:r>
      <w:r>
        <w:rPr>
          <w:rFonts w:hint="eastAsia" w:ascii="Times New Roman" w:hAnsi="Times New Roman" w:cs="Times New Roman"/>
          <w:color w:val="auto"/>
        </w:rPr>
        <w:t>与相关部门同类项目或部门内部相关项目重复。</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lang w:val="en-US" w:eastAsia="zh-CN"/>
        </w:rPr>
        <w:t>.</w:t>
      </w:r>
      <w:r>
        <w:rPr>
          <w:rFonts w:hint="eastAsia" w:ascii="Times New Roman" w:hAnsi="Times New Roman" w:cs="Times New Roman"/>
        </w:rPr>
        <w:t>立项程序规范性</w:t>
      </w:r>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eastAsia="zh-CN"/>
        </w:rPr>
        <w:t>城乡义务教育补助经费项目</w:t>
      </w:r>
      <w:r>
        <w:rPr>
          <w:rFonts w:hint="eastAsia" w:ascii="Times New Roman" w:hAnsi="Times New Roman" w:cs="Times New Roman"/>
          <w:color w:val="auto"/>
          <w:lang w:val="en-US" w:eastAsia="zh-CN"/>
        </w:rPr>
        <w:t>按照规定的程序申请设立；审批文件、材料符合相关要求；事前已经过必要的可行性研究、专家论证、风险评估、绩效评估、集体决策。</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3</w:t>
      </w:r>
      <w:r>
        <w:rPr>
          <w:rFonts w:hint="eastAsia" w:ascii="Times New Roman" w:hAnsi="Times New Roman" w:cs="Times New Roman"/>
          <w:lang w:val="en-US" w:eastAsia="zh-CN"/>
        </w:rPr>
        <w:t>.</w:t>
      </w:r>
      <w:r>
        <w:rPr>
          <w:rFonts w:hint="eastAsia" w:ascii="Times New Roman" w:hAnsi="Times New Roman" w:cs="Times New Roman"/>
        </w:rPr>
        <w:t>绩效目标合理性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lang w:eastAsia="zh-CN"/>
        </w:rPr>
        <w:t>城乡义务教育补助经费</w:t>
      </w:r>
      <w:r>
        <w:rPr>
          <w:rFonts w:hint="eastAsia" w:ascii="Times New Roman" w:hAnsi="Times New Roman" w:cs="Times New Roman"/>
          <w:color w:val="auto"/>
        </w:rPr>
        <w:t>项目设立了项目绩效目标，与</w:t>
      </w:r>
      <w:r>
        <w:rPr>
          <w:rFonts w:hint="eastAsia" w:ascii="Times New Roman" w:hAnsi="Times New Roman" w:cs="Times New Roman"/>
          <w:color w:val="auto"/>
          <w:lang w:eastAsia="zh-CN"/>
        </w:rPr>
        <w:t>义教公用经费、家庭经济困难学生生活补助、校舍安全保障长效机制及特岗教师工资性补助</w:t>
      </w:r>
      <w:r>
        <w:rPr>
          <w:rFonts w:hint="eastAsia" w:ascii="Times New Roman" w:hAnsi="Times New Roman" w:cs="Times New Roman"/>
          <w:color w:val="auto"/>
        </w:rPr>
        <w:t>具有相关性，项目的预期产出效益和效果也均能符合正常的业绩水平，并且与预算确定的项目投资额或资金量相匹配。</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4</w:t>
      </w:r>
      <w:r>
        <w:rPr>
          <w:rFonts w:hint="eastAsia" w:ascii="Times New Roman" w:hAnsi="Times New Roman" w:cs="Times New Roman"/>
          <w:lang w:val="en-US" w:eastAsia="zh-CN"/>
        </w:rPr>
        <w:t>.</w:t>
      </w:r>
      <w:r>
        <w:rPr>
          <w:rFonts w:hint="eastAsia" w:ascii="Times New Roman" w:hAnsi="Times New Roman" w:cs="Times New Roman"/>
        </w:rPr>
        <w:t>绩效指标明确性</w:t>
      </w:r>
    </w:p>
    <w:p>
      <w:pPr>
        <w:spacing w:line="360" w:lineRule="auto"/>
        <w:ind w:firstLine="600" w:firstLineChars="200"/>
        <w:rPr>
          <w:rFonts w:hint="eastAsia" w:ascii="Times New Roman" w:hAnsi="Times New Roman" w:cs="Times New Roman"/>
          <w:color w:val="auto"/>
        </w:rPr>
      </w:pPr>
      <w:bookmarkStart w:id="12" w:name="_Hlk68699917"/>
      <w:r>
        <w:rPr>
          <w:rFonts w:hint="eastAsia" w:ascii="Times New Roman" w:hAnsi="Times New Roman" w:cs="Times New Roman"/>
          <w:color w:val="auto"/>
          <w:lang w:eastAsia="zh-CN"/>
        </w:rPr>
        <w:t>城乡义务教育补助经费</w:t>
      </w:r>
      <w:r>
        <w:rPr>
          <w:rFonts w:hint="eastAsia" w:ascii="Times New Roman" w:hAnsi="Times New Roman" w:cs="Times New Roman"/>
          <w:color w:val="auto"/>
        </w:rPr>
        <w:t>项目将项目绩效目标细化分解为具体的绩效指标，一级指标共</w:t>
      </w:r>
      <w:r>
        <w:rPr>
          <w:rFonts w:hint="eastAsia" w:ascii="Times New Roman" w:hAnsi="Times New Roman" w:cs="Times New Roman"/>
          <w:color w:val="auto"/>
          <w:lang w:val="en-US" w:eastAsia="zh-CN"/>
        </w:rPr>
        <w:t>3</w:t>
      </w:r>
      <w:r>
        <w:rPr>
          <w:rFonts w:hint="eastAsia" w:ascii="Times New Roman" w:hAnsi="Times New Roman" w:cs="Times New Roman"/>
          <w:color w:val="auto"/>
        </w:rPr>
        <w:t>条，二级指标共</w:t>
      </w:r>
      <w:r>
        <w:rPr>
          <w:rFonts w:hint="eastAsia" w:ascii="Times New Roman" w:hAnsi="Times New Roman" w:cs="Times New Roman"/>
          <w:color w:val="auto"/>
          <w:lang w:val="en-US" w:eastAsia="zh-CN"/>
        </w:rPr>
        <w:t>6</w:t>
      </w:r>
      <w:r>
        <w:rPr>
          <w:rFonts w:hint="eastAsia" w:ascii="Times New Roman" w:hAnsi="Times New Roman" w:cs="Times New Roman"/>
          <w:color w:val="auto"/>
        </w:rPr>
        <w:t>条，三级指标共</w:t>
      </w:r>
      <w:r>
        <w:rPr>
          <w:rFonts w:hint="eastAsia" w:ascii="Times New Roman" w:hAnsi="Times New Roman" w:cs="Times New Roman"/>
          <w:color w:val="auto"/>
          <w:lang w:val="en-US" w:eastAsia="zh-CN"/>
        </w:rPr>
        <w:t>23</w:t>
      </w:r>
      <w:r>
        <w:rPr>
          <w:rFonts w:hint="eastAsia" w:ascii="Times New Roman" w:hAnsi="Times New Roman" w:cs="Times New Roman"/>
          <w:color w:val="auto"/>
        </w:rPr>
        <w:t>条，其中量化指标条数共</w:t>
      </w:r>
      <w:r>
        <w:rPr>
          <w:rFonts w:hint="eastAsia" w:cs="Times New Roman"/>
          <w:color w:val="auto"/>
          <w:lang w:val="en-US" w:eastAsia="zh-CN"/>
        </w:rPr>
        <w:t>20</w:t>
      </w:r>
      <w:r>
        <w:rPr>
          <w:rFonts w:hint="eastAsia" w:ascii="Times New Roman" w:hAnsi="Times New Roman" w:cs="Times New Roman"/>
          <w:color w:val="auto"/>
        </w:rPr>
        <w:t>条，所有绩效指标均通过清晰、可衡量的指标值予以体现，并且做到了与项目目标任务数或计划数相对应。</w:t>
      </w:r>
      <w:bookmarkEnd w:id="12"/>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5</w:t>
      </w:r>
      <w:r>
        <w:rPr>
          <w:rFonts w:hint="eastAsia" w:ascii="Times New Roman" w:hAnsi="Times New Roman" w:cs="Times New Roman"/>
          <w:lang w:val="en-US" w:eastAsia="zh-CN"/>
        </w:rPr>
        <w:t>.</w:t>
      </w:r>
      <w:r>
        <w:rPr>
          <w:rFonts w:hint="eastAsia" w:ascii="Times New Roman" w:hAnsi="Times New Roman" w:cs="Times New Roman"/>
        </w:rPr>
        <w:t>预算编制科学性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lang w:eastAsia="zh-CN"/>
        </w:rPr>
        <w:t>城乡义务教育补助经费</w:t>
      </w:r>
      <w:r>
        <w:rPr>
          <w:rFonts w:hint="eastAsia" w:ascii="Times New Roman" w:hAnsi="Times New Roman" w:cs="Times New Roman"/>
          <w:color w:val="auto"/>
        </w:rPr>
        <w:t>项目预算编制经过科学论证；预算内容与项目内容匹配；预算额度测算依据充分，按照标准编制；预算确定的项目投资额或资金量与工作任务相匹配。</w:t>
      </w:r>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6</w:t>
      </w:r>
      <w:r>
        <w:rPr>
          <w:rFonts w:hint="eastAsia" w:ascii="Times New Roman" w:hAnsi="Times New Roman" w:cs="Times New Roman"/>
          <w:lang w:val="en-US" w:eastAsia="zh-CN"/>
        </w:rPr>
        <w:t>.</w:t>
      </w:r>
      <w:r>
        <w:rPr>
          <w:rFonts w:hint="eastAsia" w:ascii="Times New Roman" w:hAnsi="Times New Roman" w:cs="Times New Roman"/>
        </w:rPr>
        <w:t>资金分配合理性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lang w:eastAsia="zh-CN"/>
        </w:rPr>
        <w:t>城乡义务教育补助经费</w:t>
      </w:r>
      <w:r>
        <w:rPr>
          <w:rFonts w:hint="eastAsia" w:ascii="Times New Roman" w:hAnsi="Times New Roman" w:cs="Times New Roman"/>
          <w:color w:val="auto"/>
        </w:rPr>
        <w:t>项目预算资金分配依据充分；资金分配额度合理，与项目单位</w:t>
      </w:r>
      <w:r>
        <w:rPr>
          <w:rFonts w:hint="eastAsia" w:ascii="Times New Roman" w:hAnsi="Times New Roman" w:cs="Times New Roman"/>
          <w:color w:val="auto"/>
          <w:lang w:eastAsia="zh-CN"/>
        </w:rPr>
        <w:t>和</w:t>
      </w:r>
      <w:r>
        <w:rPr>
          <w:rFonts w:hint="eastAsia" w:ascii="Times New Roman" w:hAnsi="Times New Roman" w:cs="Times New Roman"/>
          <w:color w:val="auto"/>
        </w:rPr>
        <w:t>地方实际相适应。</w:t>
      </w:r>
    </w:p>
    <w:p>
      <w:pPr>
        <w:pStyle w:val="4"/>
        <w:spacing w:line="360" w:lineRule="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ind w:firstLine="600" w:firstLineChars="200"/>
        <w:jc w:val="left"/>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lang w:val="en-US" w:eastAsia="zh-CN"/>
        </w:rPr>
        <w:t>.</w:t>
      </w:r>
      <w:r>
        <w:rPr>
          <w:rFonts w:hint="eastAsia" w:ascii="Times New Roman" w:hAnsi="Times New Roman" w:cs="Times New Roman"/>
        </w:rPr>
        <w:t>资金到位率：</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预算资金</w:t>
      </w:r>
      <w:r>
        <w:rPr>
          <w:rFonts w:hint="eastAsia" w:ascii="Times New Roman" w:hAnsi="Times New Roman" w:cs="Times New Roman"/>
          <w:color w:val="auto"/>
          <w:lang w:val="en-US" w:eastAsia="zh-CN"/>
        </w:rPr>
        <w:t>4680.76</w:t>
      </w:r>
      <w:r>
        <w:rPr>
          <w:rFonts w:hint="eastAsia" w:ascii="Times New Roman" w:hAnsi="Times New Roman" w:cs="Times New Roman"/>
          <w:color w:val="auto"/>
        </w:rPr>
        <w:t>万元，实际到位资金</w:t>
      </w:r>
      <w:r>
        <w:rPr>
          <w:rFonts w:hint="eastAsia" w:ascii="Times New Roman" w:hAnsi="Times New Roman" w:cs="Times New Roman"/>
          <w:color w:val="auto"/>
          <w:lang w:val="en-US" w:eastAsia="zh-CN"/>
        </w:rPr>
        <w:t>4680.76</w:t>
      </w:r>
      <w:r>
        <w:rPr>
          <w:rFonts w:hint="eastAsia" w:ascii="Times New Roman" w:hAnsi="Times New Roman" w:cs="Times New Roman"/>
          <w:color w:val="auto"/>
        </w:rPr>
        <w:t>万元，资金到位率</w:t>
      </w:r>
      <w:r>
        <w:rPr>
          <w:rFonts w:hint="eastAsia" w:ascii="Times New Roman" w:hAnsi="Times New Roman" w:cs="Times New Roman"/>
          <w:color w:val="auto"/>
          <w:lang w:val="en-US" w:eastAsia="zh-CN"/>
        </w:rPr>
        <w:t>100</w:t>
      </w:r>
      <w:r>
        <w:rPr>
          <w:rFonts w:hint="eastAsia" w:ascii="Times New Roman" w:hAnsi="Times New Roman" w:cs="Times New Roman"/>
          <w:color w:val="auto"/>
        </w:rPr>
        <w:t>%。</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2</w:t>
      </w:r>
      <w:r>
        <w:rPr>
          <w:rFonts w:hint="eastAsia" w:ascii="Times New Roman" w:hAnsi="Times New Roman" w:cs="Times New Roman"/>
          <w:color w:val="auto"/>
          <w:lang w:val="en-US" w:eastAsia="zh-CN"/>
        </w:rPr>
        <w:t>.</w:t>
      </w:r>
      <w:r>
        <w:rPr>
          <w:rFonts w:hint="eastAsia" w:ascii="Times New Roman" w:hAnsi="Times New Roman" w:cs="Times New Roman"/>
          <w:color w:val="auto"/>
        </w:rPr>
        <w:t>预算执行率</w:t>
      </w:r>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rPr>
        <w:t>年初预算数</w:t>
      </w:r>
      <w:r>
        <w:rPr>
          <w:rFonts w:hint="eastAsia" w:cs="Times New Roman"/>
          <w:color w:val="auto"/>
          <w:lang w:val="en-US" w:eastAsia="zh-CN"/>
        </w:rPr>
        <w:t>0</w:t>
      </w:r>
      <w:r>
        <w:rPr>
          <w:rFonts w:hint="eastAsia" w:ascii="Times New Roman" w:hAnsi="Times New Roman" w:cs="Times New Roman"/>
          <w:color w:val="auto"/>
        </w:rPr>
        <w:t>万元，</w:t>
      </w:r>
      <w:r>
        <w:rPr>
          <w:rFonts w:hint="eastAsia" w:ascii="Times New Roman" w:hAnsi="Times New Roman" w:cs="Times New Roman"/>
          <w:color w:val="auto"/>
          <w:lang w:eastAsia="zh-CN"/>
        </w:rPr>
        <w:t>年中追</w:t>
      </w:r>
      <w:r>
        <w:rPr>
          <w:rFonts w:hint="eastAsia" w:cs="Times New Roman"/>
          <w:color w:val="auto"/>
          <w:lang w:val="en-US" w:eastAsia="zh-CN"/>
        </w:rPr>
        <w:t>减</w:t>
      </w:r>
      <w:r>
        <w:rPr>
          <w:rFonts w:hint="eastAsia" w:ascii="Times New Roman" w:hAnsi="Times New Roman" w:cs="Times New Roman"/>
          <w:color w:val="auto"/>
          <w:lang w:val="en-US" w:eastAsia="zh-CN"/>
        </w:rPr>
        <w:t>97万元，</w:t>
      </w:r>
      <w:r>
        <w:rPr>
          <w:rFonts w:hint="eastAsia" w:ascii="Times New Roman" w:hAnsi="Times New Roman" w:cs="Times New Roman"/>
          <w:color w:val="auto"/>
        </w:rPr>
        <w:t>全年预算数</w:t>
      </w:r>
      <w:r>
        <w:rPr>
          <w:rFonts w:hint="eastAsia" w:ascii="Times New Roman" w:hAnsi="Times New Roman" w:cs="Times New Roman"/>
          <w:color w:val="auto"/>
          <w:lang w:val="en-US" w:eastAsia="zh-CN"/>
        </w:rPr>
        <w:t>4680.76</w:t>
      </w:r>
      <w:r>
        <w:rPr>
          <w:rFonts w:hint="eastAsia" w:ascii="Times New Roman" w:hAnsi="Times New Roman" w:cs="Times New Roman"/>
          <w:color w:val="auto"/>
        </w:rPr>
        <w:t>万元，全年执行数</w:t>
      </w:r>
      <w:r>
        <w:rPr>
          <w:rFonts w:hint="eastAsia" w:ascii="Times New Roman" w:hAnsi="Times New Roman" w:cs="Times New Roman"/>
          <w:color w:val="auto"/>
          <w:lang w:val="en-US" w:eastAsia="zh-CN"/>
        </w:rPr>
        <w:t>4349.22</w:t>
      </w:r>
      <w:r>
        <w:rPr>
          <w:rFonts w:hint="eastAsia" w:ascii="Times New Roman" w:hAnsi="Times New Roman" w:cs="Times New Roman"/>
          <w:color w:val="auto"/>
        </w:rPr>
        <w:t>万元，预算执行率为</w:t>
      </w:r>
      <w:r>
        <w:rPr>
          <w:rFonts w:hint="eastAsia" w:ascii="Times New Roman" w:hAnsi="Times New Roman" w:cs="Times New Roman"/>
          <w:color w:val="auto"/>
          <w:lang w:val="en-US" w:eastAsia="zh-CN"/>
        </w:rPr>
        <w:t>92.92</w:t>
      </w:r>
      <w:r>
        <w:rPr>
          <w:rFonts w:hint="eastAsia" w:ascii="Times New Roman" w:hAnsi="Times New Roman" w:cs="Times New Roman"/>
          <w:color w:val="auto"/>
        </w:rPr>
        <w:t>%</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3</w:t>
      </w:r>
      <w:r>
        <w:rPr>
          <w:rFonts w:hint="eastAsia" w:ascii="Times New Roman" w:hAnsi="Times New Roman" w:cs="Times New Roman"/>
          <w:color w:val="auto"/>
          <w:lang w:val="en-US" w:eastAsia="zh-CN"/>
        </w:rPr>
        <w:t>.</w:t>
      </w:r>
      <w:r>
        <w:rPr>
          <w:rFonts w:hint="eastAsia" w:ascii="Times New Roman" w:hAnsi="Times New Roman" w:cs="Times New Roman"/>
          <w:color w:val="auto"/>
        </w:rPr>
        <w:t>资金使用合规性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符合国家财经法规和财务管理制度以及有关专项资金管理办法的规定；资金的拨付有完整的审批程序和手续；符合项目预算批复或合同规定的用途；</w:t>
      </w:r>
      <w:r>
        <w:rPr>
          <w:rFonts w:hint="eastAsia" w:ascii="Times New Roman" w:hAnsi="Times New Roman" w:cs="Times New Roman"/>
          <w:color w:val="auto"/>
          <w:lang w:eastAsia="zh-CN"/>
        </w:rPr>
        <w:t>不</w:t>
      </w:r>
      <w:r>
        <w:rPr>
          <w:rFonts w:hint="eastAsia" w:ascii="Times New Roman" w:hAnsi="Times New Roman" w:cs="Times New Roman"/>
          <w:color w:val="auto"/>
        </w:rPr>
        <w:t>存在截留、挤占、挪用、虚列支出等情况。</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4</w:t>
      </w:r>
      <w:r>
        <w:rPr>
          <w:rFonts w:hint="eastAsia" w:ascii="Times New Roman" w:hAnsi="Times New Roman" w:cs="Times New Roman"/>
          <w:color w:val="auto"/>
          <w:lang w:val="en-US" w:eastAsia="zh-CN"/>
        </w:rPr>
        <w:t>.</w:t>
      </w:r>
      <w:r>
        <w:rPr>
          <w:rFonts w:hint="eastAsia" w:ascii="Times New Roman" w:hAnsi="Times New Roman" w:cs="Times New Roman"/>
          <w:color w:val="auto"/>
        </w:rPr>
        <w:t>管理制度健全性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已制定或具有相应的财务和业务管理制度；财务和业务管理制度合法、合规、完整。</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5</w:t>
      </w:r>
      <w:r>
        <w:rPr>
          <w:rFonts w:hint="eastAsia" w:ascii="Times New Roman" w:hAnsi="Times New Roman" w:cs="Times New Roman"/>
          <w:color w:val="auto"/>
          <w:lang w:val="en-US" w:eastAsia="zh-CN"/>
        </w:rPr>
        <w:t>.</w:t>
      </w:r>
      <w:r>
        <w:rPr>
          <w:rFonts w:hint="eastAsia" w:ascii="Times New Roman" w:hAnsi="Times New Roman" w:cs="Times New Roman"/>
          <w:color w:val="auto"/>
        </w:rPr>
        <w:t>制度执行有效性</w:t>
      </w:r>
    </w:p>
    <w:p>
      <w:pPr>
        <w:spacing w:line="360" w:lineRule="auto"/>
        <w:ind w:firstLine="600" w:firstLineChars="200"/>
        <w:rPr>
          <w:rFonts w:hint="eastAsia" w:ascii="Times New Roman" w:hAnsi="Times New Roman" w:cs="Times New Roman"/>
          <w:color w:val="auto"/>
        </w:rPr>
      </w:pPr>
      <w:r>
        <w:rPr>
          <w:rFonts w:hint="eastAsia" w:ascii="Times New Roman" w:hAnsi="Times New Roman" w:cs="Times New Roman"/>
          <w:color w:val="auto"/>
        </w:rPr>
        <w:t>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hint="eastAsia" w:ascii="仿宋_GB2312" w:eastAsia="仿宋_GB2312"/>
          <w:b w:val="0"/>
          <w:bCs w:val="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default" w:ascii="Times New Roman" w:hAnsi="Times New Roman" w:eastAsia="仿宋_GB2312" w:cs="Times New Roman"/>
          <w:color w:val="auto"/>
          <w:lang w:val="en-US" w:eastAsia="zh-CN"/>
        </w:rPr>
      </w:pPr>
      <w:r>
        <w:rPr>
          <w:rFonts w:hint="eastAsia" w:ascii="Times New Roman" w:hAnsi="Times New Roman" w:cs="Times New Roman"/>
          <w:color w:val="auto"/>
        </w:rPr>
        <w:t>1</w:t>
      </w:r>
      <w:r>
        <w:rPr>
          <w:rFonts w:hint="eastAsia" w:ascii="Times New Roman" w:hAnsi="Times New Roman" w:cs="Times New Roman"/>
          <w:color w:val="auto"/>
          <w:lang w:val="en-US" w:eastAsia="zh-CN"/>
        </w:rPr>
        <w:t>.</w:t>
      </w:r>
      <w:r>
        <w:rPr>
          <w:rFonts w:hint="eastAsia" w:ascii="Times New Roman" w:hAnsi="Times New Roman" w:cs="Times New Roman"/>
          <w:color w:val="auto"/>
        </w:rPr>
        <w:t>数量指标：指标1：公用经费享受学生人数，指标值：=37765人，实际完成值</w:t>
      </w:r>
      <w:r>
        <w:rPr>
          <w:rFonts w:hint="eastAsia" w:ascii="Times New Roman" w:hAnsi="Times New Roman" w:cs="Times New Roman"/>
          <w:color w:val="auto"/>
          <w:lang w:val="en-US" w:eastAsia="zh-CN"/>
        </w:rPr>
        <w:t>37765人</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%；指标2：家庭经济困难生活补助享受人数，指标值：</w:t>
      </w:r>
      <w:r>
        <w:rPr>
          <w:rFonts w:hint="eastAsia" w:ascii="Times New Roman" w:hAnsi="Times New Roman" w:cs="Times New Roman"/>
          <w:color w:val="auto"/>
          <w:lang w:val="en-US" w:eastAsia="zh-CN"/>
        </w:rPr>
        <w:t>=16022人</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16022人</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特岗教师人数，指标值：</w:t>
      </w:r>
      <w:r>
        <w:rPr>
          <w:rFonts w:hint="eastAsia" w:ascii="Times New Roman" w:hAnsi="Times New Roman" w:cs="Times New Roman"/>
          <w:color w:val="auto"/>
          <w:lang w:val="en-US" w:eastAsia="zh-CN"/>
        </w:rPr>
        <w:t>=26人，</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26人</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4：</w:t>
      </w:r>
      <w:r>
        <w:rPr>
          <w:rFonts w:hint="eastAsia" w:ascii="Times New Roman" w:hAnsi="Times New Roman" w:cs="Times New Roman"/>
          <w:color w:val="auto"/>
          <w:lang w:eastAsia="zh-CN"/>
        </w:rPr>
        <w:t>农村校舍安全建设面积，指标值：</w:t>
      </w:r>
      <w:r>
        <w:rPr>
          <w:rFonts w:hint="eastAsia" w:ascii="Times New Roman" w:hAnsi="Times New Roman" w:cs="Times New Roman"/>
          <w:color w:val="auto"/>
          <w:lang w:val="en-US" w:eastAsia="zh-CN"/>
        </w:rPr>
        <w:t>=3200平方米，</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3200平方米</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5：</w:t>
      </w:r>
      <w:r>
        <w:rPr>
          <w:rFonts w:hint="eastAsia" w:ascii="Times New Roman" w:hAnsi="Times New Roman" w:cs="Times New Roman"/>
          <w:color w:val="auto"/>
          <w:lang w:eastAsia="zh-CN"/>
        </w:rPr>
        <w:t>享受免费教科书政策的学生比例，指标值：</w:t>
      </w:r>
      <w:r>
        <w:rPr>
          <w:rFonts w:hint="eastAsia" w:ascii="Times New Roman" w:hAnsi="Times New Roman" w:cs="Times New Roman"/>
          <w:color w:val="auto"/>
          <w:lang w:val="en-US" w:eastAsia="zh-CN"/>
        </w:rPr>
        <w:t>=100%，</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100%</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6：</w:t>
      </w:r>
      <w:r>
        <w:rPr>
          <w:rFonts w:hint="eastAsia" w:ascii="Times New Roman" w:hAnsi="Times New Roman" w:cs="Times New Roman"/>
          <w:color w:val="auto"/>
          <w:lang w:eastAsia="zh-CN"/>
        </w:rPr>
        <w:t>家庭经济困难学生享受生活补助政策比例，指标值：</w:t>
      </w:r>
      <w:r>
        <w:rPr>
          <w:rFonts w:hint="eastAsia" w:ascii="Times New Roman" w:hAnsi="Times New Roman" w:cs="Times New Roman"/>
          <w:color w:val="auto"/>
          <w:lang w:val="en-US" w:eastAsia="zh-CN"/>
        </w:rPr>
        <w:t>=100%，</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lang w:val="en-US" w:eastAsia="zh-CN"/>
        </w:rPr>
        <w:t>%</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cs="Times New Roman"/>
          <w:color w:val="auto"/>
          <w:lang w:val="en-US" w:eastAsia="zh-CN"/>
        </w:rPr>
        <w:t>;</w:t>
      </w:r>
      <w:r>
        <w:rPr>
          <w:rFonts w:hint="eastAsia" w:ascii="Times New Roman" w:hAnsi="Times New Roman" w:cs="Times New Roman"/>
          <w:color w:val="auto"/>
          <w:lang w:eastAsia="zh-CN"/>
        </w:rPr>
        <w:t>指标</w:t>
      </w:r>
      <w:r>
        <w:rPr>
          <w:rFonts w:hint="eastAsia" w:cs="Times New Roman"/>
          <w:color w:val="auto"/>
          <w:lang w:val="en-US" w:eastAsia="zh-CN"/>
        </w:rPr>
        <w:t>7</w:t>
      </w:r>
      <w:r>
        <w:rPr>
          <w:rFonts w:hint="eastAsia" w:ascii="Times New Roman" w:hAnsi="Times New Roman" w:cs="Times New Roman"/>
          <w:color w:val="auto"/>
          <w:lang w:val="en-US" w:eastAsia="zh-CN"/>
        </w:rPr>
        <w:t>：享受营养改善计划政策农村学生比例</w:t>
      </w:r>
      <w:r>
        <w:rPr>
          <w:rFonts w:hint="eastAsia" w:cs="Times New Roman"/>
          <w:color w:val="auto"/>
          <w:lang w:val="en-US" w:eastAsia="zh-CN"/>
        </w:rPr>
        <w:t>,</w:t>
      </w:r>
      <w:r>
        <w:rPr>
          <w:rFonts w:hint="eastAsia" w:ascii="Times New Roman" w:hAnsi="Times New Roman" w:cs="Times New Roman"/>
          <w:color w:val="auto"/>
          <w:lang w:eastAsia="zh-CN"/>
        </w:rPr>
        <w:t>指标值：</w:t>
      </w:r>
      <w:r>
        <w:rPr>
          <w:rFonts w:hint="eastAsia" w:ascii="Times New Roman" w:hAnsi="Times New Roman" w:cs="Times New Roman"/>
          <w:color w:val="auto"/>
          <w:lang w:val="en-US" w:eastAsia="zh-CN"/>
        </w:rPr>
        <w:t>=</w:t>
      </w:r>
      <w:r>
        <w:rPr>
          <w:rFonts w:hint="eastAsia" w:cs="Times New Roman"/>
          <w:color w:val="auto"/>
          <w:lang w:val="en-US" w:eastAsia="zh-CN"/>
        </w:rPr>
        <w:t>0</w:t>
      </w:r>
      <w:r>
        <w:rPr>
          <w:rFonts w:hint="eastAsia" w:ascii="Times New Roman" w:hAnsi="Times New Roman" w:cs="Times New Roman"/>
          <w:color w:val="auto"/>
          <w:lang w:val="en-US" w:eastAsia="zh-CN"/>
        </w:rPr>
        <w:t>，</w:t>
      </w:r>
      <w:r>
        <w:rPr>
          <w:rFonts w:hint="eastAsia" w:ascii="Times New Roman" w:hAnsi="Times New Roman" w:cs="Times New Roman"/>
          <w:color w:val="auto"/>
        </w:rPr>
        <w:t>实际完成值</w:t>
      </w:r>
      <w:r>
        <w:rPr>
          <w:rFonts w:hint="eastAsia" w:cs="Times New Roman"/>
          <w:color w:val="auto"/>
          <w:lang w:val="en-US" w:eastAsia="zh-CN"/>
        </w:rPr>
        <w:t>0</w:t>
      </w:r>
      <w:r>
        <w:rPr>
          <w:rFonts w:hint="eastAsia" w:ascii="Times New Roman" w:hAnsi="Times New Roman" w:cs="Times New Roman"/>
          <w:color w:val="auto"/>
        </w:rPr>
        <w:t>，指标完成率</w:t>
      </w:r>
      <w:r>
        <w:rPr>
          <w:rFonts w:hint="eastAsia" w:cs="Times New Roman"/>
          <w:color w:val="auto"/>
          <w:lang w:val="en-US" w:eastAsia="zh-CN"/>
        </w:rPr>
        <w:t>0;</w:t>
      </w:r>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rPr>
        <w:t>2</w:t>
      </w:r>
      <w:r>
        <w:rPr>
          <w:rFonts w:hint="eastAsia" w:ascii="Times New Roman" w:hAnsi="Times New Roman" w:cs="Times New Roman"/>
          <w:color w:val="auto"/>
          <w:lang w:val="en-US" w:eastAsia="zh-CN"/>
        </w:rPr>
        <w:t>.</w:t>
      </w:r>
      <w:r>
        <w:rPr>
          <w:rFonts w:hint="eastAsia" w:ascii="Times New Roman" w:hAnsi="Times New Roman" w:cs="Times New Roman"/>
          <w:color w:val="auto"/>
        </w:rPr>
        <w:t>质量指标：</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1：</w:t>
      </w:r>
      <w:r>
        <w:rPr>
          <w:rFonts w:hint="eastAsia" w:ascii="Times New Roman" w:hAnsi="Times New Roman" w:cs="Times New Roman"/>
          <w:color w:val="auto"/>
          <w:lang w:eastAsia="zh-CN"/>
        </w:rPr>
        <w:t>教科书质量合格率，指标值：</w:t>
      </w:r>
      <w:r>
        <w:rPr>
          <w:rFonts w:hint="eastAsia" w:ascii="Times New Roman" w:hAnsi="Times New Roman" w:cs="Times New Roman"/>
          <w:color w:val="auto"/>
          <w:lang w:val="en-US" w:eastAsia="zh-CN"/>
        </w:rPr>
        <w:t>≥97%，</w:t>
      </w:r>
      <w:r>
        <w:rPr>
          <w:rFonts w:hint="eastAsia" w:ascii="Times New Roman" w:hAnsi="Times New Roman" w:cs="Times New Roman"/>
          <w:color w:val="auto"/>
        </w:rPr>
        <w:t>实际完成值</w:t>
      </w:r>
      <w:r>
        <w:rPr>
          <w:rFonts w:hint="eastAsia" w:cs="Times New Roman"/>
          <w:color w:val="auto"/>
          <w:lang w:val="en-US" w:eastAsia="zh-CN"/>
        </w:rPr>
        <w:t>97</w:t>
      </w:r>
      <w:r>
        <w:rPr>
          <w:rFonts w:hint="eastAsia" w:ascii="Times New Roman" w:hAnsi="Times New Roman" w:cs="Times New Roman"/>
          <w:color w:val="auto"/>
          <w:lang w:val="en-US" w:eastAsia="zh-CN"/>
        </w:rPr>
        <w:t>%</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2：</w:t>
      </w:r>
      <w:r>
        <w:rPr>
          <w:rFonts w:hint="eastAsia" w:ascii="Times New Roman" w:hAnsi="Times New Roman" w:cs="Times New Roman"/>
          <w:color w:val="auto"/>
          <w:lang w:eastAsia="zh-CN"/>
        </w:rPr>
        <w:t>农村学校校舍日常维修改造质量达标率，指标值：</w:t>
      </w:r>
      <w:r>
        <w:rPr>
          <w:rFonts w:hint="eastAsia" w:ascii="Times New Roman" w:hAnsi="Times New Roman" w:cs="Times New Roman"/>
          <w:color w:val="auto"/>
          <w:lang w:val="en-US" w:eastAsia="zh-CN"/>
        </w:rPr>
        <w:t>=100%，</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100%</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困难群众救助补助覆盖率，指标值</w:t>
      </w:r>
      <w:r>
        <w:rPr>
          <w:rFonts w:hint="eastAsia" w:ascii="Times New Roman" w:hAnsi="Times New Roman" w:cs="Times New Roman"/>
          <w:color w:val="auto"/>
          <w:lang w:val="en-US" w:eastAsia="zh-CN"/>
        </w:rPr>
        <w:t>≥90%，</w:t>
      </w:r>
      <w:r>
        <w:rPr>
          <w:rFonts w:hint="eastAsia" w:ascii="Times New Roman" w:hAnsi="Times New Roman" w:cs="Times New Roman"/>
          <w:color w:val="auto"/>
        </w:rPr>
        <w:t>实际完成值</w:t>
      </w:r>
      <w:r>
        <w:rPr>
          <w:rFonts w:hint="eastAsia" w:cs="Times New Roman"/>
          <w:color w:val="auto"/>
          <w:lang w:val="en-US" w:eastAsia="zh-CN"/>
        </w:rPr>
        <w:t>90</w:t>
      </w:r>
      <w:r>
        <w:rPr>
          <w:rFonts w:hint="eastAsia" w:ascii="Times New Roman" w:hAnsi="Times New Roman" w:cs="Times New Roman"/>
          <w:color w:val="auto"/>
          <w:lang w:val="en-US" w:eastAsia="zh-CN"/>
        </w:rPr>
        <w:t>%</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lang w:val="en-US" w:eastAsia="zh-CN"/>
        </w:rPr>
        <w:t>%。</w:t>
      </w:r>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rPr>
        <w:t>3</w:t>
      </w:r>
      <w:r>
        <w:rPr>
          <w:rFonts w:hint="eastAsia" w:ascii="Times New Roman" w:hAnsi="Times New Roman" w:cs="Times New Roman"/>
          <w:color w:val="auto"/>
          <w:lang w:val="en-US" w:eastAsia="zh-CN"/>
        </w:rPr>
        <w:t>.</w:t>
      </w:r>
      <w:r>
        <w:rPr>
          <w:rFonts w:hint="eastAsia" w:ascii="Times New Roman" w:hAnsi="Times New Roman" w:cs="Times New Roman"/>
          <w:color w:val="auto"/>
        </w:rPr>
        <w:t>时效指标：</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1：</w:t>
      </w:r>
      <w:r>
        <w:rPr>
          <w:rFonts w:hint="eastAsia" w:ascii="Times New Roman" w:hAnsi="Times New Roman" w:cs="Times New Roman"/>
          <w:color w:val="auto"/>
          <w:lang w:eastAsia="zh-CN"/>
        </w:rPr>
        <w:t>资金发放及时率，指标值</w:t>
      </w:r>
      <w:r>
        <w:rPr>
          <w:rFonts w:hint="eastAsia" w:ascii="Times New Roman" w:hAnsi="Times New Roman" w:cs="Times New Roman"/>
          <w:color w:val="auto"/>
          <w:lang w:val="en-US" w:eastAsia="zh-CN"/>
        </w:rPr>
        <w:t>≥90%，</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9</w:t>
      </w:r>
      <w:r>
        <w:rPr>
          <w:rFonts w:hint="eastAsia" w:cs="Times New Roman"/>
          <w:color w:val="auto"/>
          <w:lang w:val="en-US" w:eastAsia="zh-CN"/>
        </w:rPr>
        <w:t>0</w:t>
      </w:r>
      <w:r>
        <w:rPr>
          <w:rFonts w:hint="eastAsia" w:ascii="Times New Roman" w:hAnsi="Times New Roman" w:cs="Times New Roman"/>
          <w:color w:val="auto"/>
          <w:lang w:val="en-US" w:eastAsia="zh-CN"/>
        </w:rPr>
        <w:t>%</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lang w:val="en-US" w:eastAsia="zh-CN"/>
        </w:rPr>
        <w:t>%。</w:t>
      </w:r>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rPr>
        <w:t>4</w:t>
      </w:r>
      <w:r>
        <w:rPr>
          <w:rFonts w:hint="eastAsia" w:ascii="Times New Roman" w:hAnsi="Times New Roman" w:cs="Times New Roman"/>
          <w:color w:val="auto"/>
          <w:lang w:val="en-US" w:eastAsia="zh-CN"/>
        </w:rPr>
        <w:t>.</w:t>
      </w:r>
      <w:r>
        <w:rPr>
          <w:rFonts w:hint="eastAsia" w:ascii="Times New Roman" w:hAnsi="Times New Roman" w:cs="Times New Roman"/>
          <w:color w:val="auto"/>
        </w:rPr>
        <w:t>成本指标</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1：</w:t>
      </w:r>
      <w:r>
        <w:rPr>
          <w:rFonts w:hint="eastAsia" w:ascii="Times New Roman" w:hAnsi="Times New Roman" w:cs="Times New Roman"/>
          <w:color w:val="auto"/>
          <w:lang w:eastAsia="zh-CN"/>
        </w:rPr>
        <w:t>营养膳食生均补助标准，指标值：</w:t>
      </w:r>
      <w:r>
        <w:rPr>
          <w:rFonts w:hint="eastAsia" w:ascii="Times New Roman" w:hAnsi="Times New Roman" w:cs="Times New Roman"/>
          <w:color w:val="auto"/>
          <w:lang w:val="en-US" w:eastAsia="zh-CN"/>
        </w:rPr>
        <w:t>=</w:t>
      </w:r>
      <w:r>
        <w:rPr>
          <w:rFonts w:hint="eastAsia" w:cs="Times New Roman"/>
          <w:color w:val="auto"/>
          <w:lang w:val="en-US" w:eastAsia="zh-CN"/>
        </w:rPr>
        <w:t>0</w:t>
      </w:r>
      <w:r>
        <w:rPr>
          <w:rFonts w:hint="eastAsia" w:ascii="Times New Roman" w:hAnsi="Times New Roman" w:cs="Times New Roman"/>
          <w:color w:val="auto"/>
          <w:lang w:val="en-US" w:eastAsia="zh-CN"/>
        </w:rPr>
        <w:t>，</w:t>
      </w:r>
      <w:r>
        <w:rPr>
          <w:rFonts w:hint="eastAsia" w:ascii="Times New Roman" w:hAnsi="Times New Roman" w:cs="Times New Roman"/>
          <w:color w:val="auto"/>
        </w:rPr>
        <w:t>实际完成值</w:t>
      </w:r>
      <w:r>
        <w:rPr>
          <w:rFonts w:hint="eastAsia" w:cs="Times New Roman"/>
          <w:color w:val="auto"/>
          <w:lang w:val="en-US" w:eastAsia="zh-CN"/>
        </w:rPr>
        <w:t>0</w:t>
      </w:r>
      <w:r>
        <w:rPr>
          <w:rFonts w:hint="eastAsia" w:ascii="Times New Roman" w:hAnsi="Times New Roman" w:cs="Times New Roman"/>
          <w:color w:val="auto"/>
        </w:rPr>
        <w:t>，指标完成率</w:t>
      </w:r>
      <w:r>
        <w:rPr>
          <w:rFonts w:hint="eastAsia" w:cs="Times New Roman"/>
          <w:color w:val="auto"/>
          <w:lang w:val="en-US" w:eastAsia="zh-CN"/>
        </w:rPr>
        <w:t>0</w:t>
      </w:r>
      <w:r>
        <w:rPr>
          <w:rFonts w:hint="eastAsia" w:ascii="Times New Roman" w:hAnsi="Times New Roman" w:cs="Times New Roman"/>
          <w:color w:val="auto"/>
          <w:lang w:eastAsia="zh-CN"/>
        </w:rPr>
        <w:t>；指标</w:t>
      </w:r>
      <w:r>
        <w:rPr>
          <w:rFonts w:hint="eastAsia" w:cs="Times New Roman"/>
          <w:color w:val="auto"/>
          <w:lang w:val="en-US" w:eastAsia="zh-CN"/>
        </w:rPr>
        <w:t>2</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公用经费标准，指标值：</w:t>
      </w:r>
      <w:r>
        <w:rPr>
          <w:rFonts w:hint="eastAsia" w:ascii="Times New Roman" w:hAnsi="Times New Roman" w:cs="Times New Roman"/>
          <w:color w:val="auto"/>
          <w:lang w:val="en-US" w:eastAsia="zh-CN"/>
        </w:rPr>
        <w:t>=</w:t>
      </w:r>
      <w:r>
        <w:rPr>
          <w:rFonts w:hint="eastAsia" w:cs="Times New Roman"/>
          <w:color w:val="auto"/>
          <w:lang w:val="en-US" w:eastAsia="zh-CN"/>
        </w:rPr>
        <w:t>0</w:t>
      </w:r>
      <w:r>
        <w:rPr>
          <w:rFonts w:hint="eastAsia" w:ascii="Times New Roman" w:hAnsi="Times New Roman" w:cs="Times New Roman"/>
          <w:color w:val="auto"/>
          <w:lang w:val="en-US" w:eastAsia="zh-CN"/>
        </w:rPr>
        <w:t>，</w:t>
      </w:r>
      <w:r>
        <w:rPr>
          <w:rFonts w:hint="eastAsia" w:ascii="Times New Roman" w:hAnsi="Times New Roman" w:cs="Times New Roman"/>
          <w:color w:val="auto"/>
        </w:rPr>
        <w:t>实际完成值</w:t>
      </w:r>
      <w:r>
        <w:rPr>
          <w:rFonts w:hint="eastAsia" w:cs="Times New Roman"/>
          <w:color w:val="auto"/>
          <w:lang w:val="en-US" w:eastAsia="zh-CN"/>
        </w:rPr>
        <w:t>0</w:t>
      </w:r>
      <w:r>
        <w:rPr>
          <w:rFonts w:hint="eastAsia" w:ascii="Times New Roman" w:hAnsi="Times New Roman" w:cs="Times New Roman"/>
          <w:color w:val="auto"/>
        </w:rPr>
        <w:t>，指标完成率</w:t>
      </w:r>
      <w:r>
        <w:rPr>
          <w:rFonts w:hint="eastAsia" w:cs="Times New Roman"/>
          <w:color w:val="auto"/>
          <w:lang w:val="en-US" w:eastAsia="zh-CN"/>
        </w:rPr>
        <w:t>0</w:t>
      </w:r>
      <w:r>
        <w:rPr>
          <w:rFonts w:hint="eastAsia" w:ascii="Times New Roman" w:hAnsi="Times New Roman" w:cs="Times New Roman"/>
          <w:color w:val="auto"/>
          <w:lang w:eastAsia="zh-CN"/>
        </w:rPr>
        <w:t>；指标</w:t>
      </w:r>
      <w:r>
        <w:rPr>
          <w:rFonts w:hint="eastAsia" w:cs="Times New Roman"/>
          <w:color w:val="auto"/>
          <w:lang w:val="en-US" w:eastAsia="zh-CN"/>
        </w:rPr>
        <w:t>3</w:t>
      </w:r>
      <w:r>
        <w:rPr>
          <w:rFonts w:hint="eastAsia" w:ascii="Times New Roman" w:hAnsi="Times New Roman" w:cs="Times New Roman"/>
          <w:color w:val="auto"/>
          <w:lang w:val="en-US" w:eastAsia="zh-CN"/>
        </w:rPr>
        <w:t>：</w:t>
      </w:r>
      <w:r>
        <w:rPr>
          <w:rFonts w:hint="eastAsia" w:ascii="Times New Roman" w:hAnsi="Times New Roman" w:cs="Times New Roman"/>
          <w:color w:val="auto"/>
          <w:lang w:eastAsia="zh-CN"/>
        </w:rPr>
        <w:t>公用经费享受金额，指标值</w:t>
      </w:r>
      <w:r>
        <w:rPr>
          <w:rFonts w:hint="eastAsia" w:ascii="Times New Roman" w:hAnsi="Times New Roman" w:cs="Times New Roman"/>
          <w:color w:val="auto"/>
          <w:lang w:val="en-US" w:eastAsia="zh-CN"/>
        </w:rPr>
        <w:t>=2803.89万元，</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2803.89万元</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2：</w:t>
      </w:r>
      <w:r>
        <w:rPr>
          <w:rFonts w:hint="eastAsia" w:ascii="Times New Roman" w:hAnsi="Times New Roman" w:cs="Times New Roman"/>
          <w:color w:val="auto"/>
          <w:lang w:eastAsia="zh-CN"/>
        </w:rPr>
        <w:t>家庭经济困难生活补助享受金额，指标值</w:t>
      </w:r>
      <w:r>
        <w:rPr>
          <w:rFonts w:hint="eastAsia" w:ascii="Times New Roman" w:hAnsi="Times New Roman" w:cs="Times New Roman"/>
          <w:color w:val="auto"/>
          <w:lang w:val="en-US" w:eastAsia="zh-CN"/>
        </w:rPr>
        <w:t>=332.87万元，</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332.87万元</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特岗教师工资性经费，指标值</w:t>
      </w:r>
      <w:r>
        <w:rPr>
          <w:rFonts w:hint="eastAsia" w:ascii="Times New Roman" w:hAnsi="Times New Roman" w:cs="Times New Roman"/>
          <w:color w:val="auto"/>
          <w:lang w:val="en-US" w:eastAsia="zh-CN"/>
        </w:rPr>
        <w:t>=424万元，</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424万元</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4：</w:t>
      </w:r>
      <w:r>
        <w:rPr>
          <w:rFonts w:hint="eastAsia" w:ascii="Times New Roman" w:hAnsi="Times New Roman" w:cs="Times New Roman"/>
          <w:color w:val="auto"/>
          <w:lang w:eastAsia="zh-CN"/>
        </w:rPr>
        <w:t>校舍安全保障经费，指标值</w:t>
      </w:r>
      <w:r>
        <w:rPr>
          <w:rFonts w:hint="eastAsia" w:ascii="Times New Roman" w:hAnsi="Times New Roman" w:cs="Times New Roman"/>
          <w:color w:val="auto"/>
          <w:lang w:val="en-US" w:eastAsia="zh-CN"/>
        </w:rPr>
        <w:t>=1120万元，</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788.46万元</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70</w:t>
      </w:r>
      <w:r>
        <w:rPr>
          <w:rFonts w:hint="eastAsia" w:cs="Times New Roman"/>
          <w:color w:val="auto"/>
          <w:lang w:val="en-US" w:eastAsia="zh-CN"/>
        </w:rPr>
        <w:t>.40</w:t>
      </w:r>
      <w:r>
        <w:rPr>
          <w:rFonts w:hint="eastAsia" w:ascii="Times New Roman" w:hAnsi="Times New Roman" w:cs="Times New Roman"/>
          <w:color w:val="auto"/>
        </w:rPr>
        <w:t>%</w:t>
      </w:r>
      <w:r>
        <w:rPr>
          <w:rFonts w:hint="eastAsia" w:ascii="Times New Roman" w:hAnsi="Times New Roman" w:cs="Times New Roman"/>
          <w:color w:val="auto"/>
          <w:lang w:eastAsia="zh-CN"/>
        </w:rPr>
        <w:t>；偏差原因：受疫情影响，人员材料无法入场，进度缓慢。</w:t>
      </w:r>
    </w:p>
    <w:p>
      <w:pPr>
        <w:pStyle w:val="4"/>
        <w:spacing w:line="360" w:lineRule="auto"/>
        <w:rPr>
          <w:rFonts w:hint="eastAsia" w:ascii="仿宋_GB2312" w:eastAsia="仿宋_GB2312"/>
          <w:b w:val="0"/>
          <w:bCs w:val="0"/>
        </w:rPr>
      </w:pPr>
      <w:bookmarkStart w:id="15" w:name="_Toc68703841"/>
      <w:r>
        <w:rPr>
          <w:rFonts w:hint="eastAsia" w:ascii="仿宋_GB2312" w:eastAsia="仿宋_GB2312"/>
          <w:b w:val="0"/>
          <w:bCs w:val="0"/>
        </w:rPr>
        <w:t>（四）项目效益情况。</w:t>
      </w:r>
      <w:bookmarkEnd w:id="15"/>
    </w:p>
    <w:p>
      <w:pPr>
        <w:spacing w:line="360" w:lineRule="auto"/>
        <w:ind w:firstLine="600" w:firstLineChars="200"/>
        <w:rPr>
          <w:rFonts w:hint="eastAsia" w:ascii="Times New Roman" w:hAnsi="Times New Roman" w:cs="Times New Roman"/>
          <w:color w:val="auto"/>
          <w:lang w:eastAsia="zh-CN"/>
        </w:rPr>
      </w:pPr>
      <w:r>
        <w:rPr>
          <w:rFonts w:hint="eastAsia" w:ascii="Times New Roman" w:hAnsi="Times New Roman" w:cs="Times New Roman"/>
          <w:color w:val="auto"/>
          <w:lang w:val="en-US" w:eastAsia="zh-CN"/>
        </w:rPr>
        <w:t>1.</w:t>
      </w:r>
      <w:r>
        <w:rPr>
          <w:rFonts w:hint="eastAsia" w:ascii="Times New Roman" w:hAnsi="Times New Roman" w:cs="Times New Roman"/>
          <w:color w:val="auto"/>
        </w:rPr>
        <w:t>社会效益指标：</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1：</w:t>
      </w:r>
      <w:r>
        <w:rPr>
          <w:rFonts w:hint="eastAsia" w:ascii="Times New Roman" w:hAnsi="Times New Roman" w:cs="Times New Roman"/>
          <w:color w:val="auto"/>
          <w:lang w:eastAsia="zh-CN"/>
        </w:rPr>
        <w:t>教师队伍素质，指标值</w:t>
      </w:r>
      <w:r>
        <w:rPr>
          <w:rFonts w:hint="eastAsia" w:ascii="Times New Roman" w:hAnsi="Times New Roman" w:cs="Times New Roman"/>
          <w:color w:val="auto"/>
          <w:lang w:val="en-US" w:eastAsia="zh-CN"/>
        </w:rPr>
        <w:t>：提升，</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有效提升</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2：</w:t>
      </w:r>
      <w:r>
        <w:rPr>
          <w:rFonts w:hint="eastAsia" w:ascii="Times New Roman" w:hAnsi="Times New Roman" w:cs="Times New Roman"/>
          <w:color w:val="auto"/>
          <w:lang w:eastAsia="zh-CN"/>
        </w:rPr>
        <w:t>保障教学环境安全，指标值</w:t>
      </w:r>
      <w:r>
        <w:rPr>
          <w:rFonts w:hint="eastAsia" w:ascii="Times New Roman" w:hAnsi="Times New Roman" w:cs="Times New Roman"/>
          <w:color w:val="auto"/>
          <w:lang w:val="en-US" w:eastAsia="zh-CN"/>
        </w:rPr>
        <w:t>：有效保障，</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有效保障</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贫困地区学生身体素质，指标值</w:t>
      </w:r>
      <w:r>
        <w:rPr>
          <w:rFonts w:hint="eastAsia" w:ascii="Times New Roman" w:hAnsi="Times New Roman" w:cs="Times New Roman"/>
          <w:color w:val="auto"/>
          <w:lang w:val="en-US" w:eastAsia="zh-CN"/>
        </w:rPr>
        <w:t>：提升，</w:t>
      </w:r>
      <w:r>
        <w:rPr>
          <w:rFonts w:hint="eastAsia" w:ascii="Times New Roman" w:hAnsi="Times New Roman" w:cs="Times New Roman"/>
          <w:color w:val="auto"/>
        </w:rPr>
        <w:t>实际完成值</w:t>
      </w:r>
      <w:r>
        <w:rPr>
          <w:rFonts w:hint="eastAsia" w:ascii="Times New Roman" w:hAnsi="Times New Roman" w:cs="Times New Roman"/>
          <w:color w:val="auto"/>
          <w:lang w:val="en-US" w:eastAsia="zh-CN"/>
        </w:rPr>
        <w:t>有效提升</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w:t>
      </w:r>
    </w:p>
    <w:p>
      <w:pPr>
        <w:spacing w:line="360" w:lineRule="auto"/>
        <w:ind w:firstLine="600" w:firstLineChars="200"/>
        <w:rPr>
          <w:rFonts w:hint="eastAsia" w:ascii="Times New Roman" w:hAnsi="Times New Roman" w:cs="Times New Roman"/>
          <w:color w:val="auto"/>
          <w:lang w:eastAsia="zh-CN"/>
        </w:rPr>
      </w:pPr>
      <w:r>
        <w:rPr>
          <w:rFonts w:hint="eastAsia" w:ascii="Times New Roman" w:hAnsi="Times New Roman" w:cs="Times New Roman"/>
          <w:color w:val="auto"/>
        </w:rPr>
        <w:t>5</w:t>
      </w:r>
      <w:r>
        <w:rPr>
          <w:rFonts w:hint="eastAsia" w:ascii="Times New Roman" w:hAnsi="Times New Roman" w:cs="Times New Roman"/>
          <w:color w:val="auto"/>
          <w:lang w:val="en-US" w:eastAsia="zh-CN"/>
        </w:rPr>
        <w:t>.</w:t>
      </w:r>
      <w:r>
        <w:rPr>
          <w:rFonts w:hint="eastAsia" w:ascii="Times New Roman" w:hAnsi="Times New Roman" w:cs="Times New Roman"/>
          <w:color w:val="auto"/>
        </w:rPr>
        <w:t>满意度指标：</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1：</w:t>
      </w:r>
      <w:r>
        <w:rPr>
          <w:rFonts w:hint="eastAsia" w:ascii="Times New Roman" w:hAnsi="Times New Roman" w:cs="Times New Roman"/>
          <w:color w:val="auto"/>
          <w:lang w:eastAsia="zh-CN"/>
        </w:rPr>
        <w:t>学校和老师满意度，指标值</w:t>
      </w:r>
      <w:r>
        <w:rPr>
          <w:rFonts w:hint="eastAsia" w:ascii="Times New Roman" w:hAnsi="Times New Roman" w:cs="Times New Roman"/>
          <w:color w:val="auto"/>
          <w:lang w:val="en-US" w:eastAsia="zh-CN"/>
        </w:rPr>
        <w:t>：≥85%，</w:t>
      </w:r>
      <w:r>
        <w:rPr>
          <w:rFonts w:hint="eastAsia" w:ascii="Times New Roman" w:hAnsi="Times New Roman" w:cs="Times New Roman"/>
          <w:color w:val="auto"/>
        </w:rPr>
        <w:t>实际完成值</w:t>
      </w:r>
      <w:r>
        <w:rPr>
          <w:rFonts w:hint="eastAsia" w:cs="Times New Roman"/>
          <w:color w:val="auto"/>
          <w:lang w:val="en-US" w:eastAsia="zh-CN"/>
        </w:rPr>
        <w:t>85</w:t>
      </w:r>
      <w:r>
        <w:rPr>
          <w:rFonts w:hint="eastAsia" w:ascii="Times New Roman" w:hAnsi="Times New Roman" w:cs="Times New Roman"/>
          <w:color w:val="auto"/>
          <w:lang w:val="en-US" w:eastAsia="zh-CN"/>
        </w:rPr>
        <w:t>%</w:t>
      </w:r>
      <w:r>
        <w:rPr>
          <w:rFonts w:hint="eastAsia" w:ascii="Times New Roman" w:hAnsi="Times New Roman" w:cs="Times New Roman"/>
          <w:color w:val="auto"/>
        </w:rPr>
        <w:t>，指标完成率</w:t>
      </w:r>
      <w:r>
        <w:rPr>
          <w:rFonts w:hint="eastAsia" w:cs="Times New Roman"/>
          <w:color w:val="auto"/>
          <w:lang w:val="en-US" w:eastAsia="zh-CN"/>
        </w:rPr>
        <w:t>85</w:t>
      </w:r>
      <w:r>
        <w:rPr>
          <w:rFonts w:hint="eastAsia" w:ascii="Times New Roman" w:hAnsi="Times New Roman" w:cs="Times New Roman"/>
          <w:color w:val="auto"/>
        </w:rPr>
        <w:t>%</w:t>
      </w:r>
      <w:r>
        <w:rPr>
          <w:rFonts w:hint="eastAsia" w:ascii="Times New Roman" w:hAnsi="Times New Roman" w:cs="Times New Roman"/>
          <w:color w:val="auto"/>
          <w:lang w:eastAsia="zh-CN"/>
        </w:rPr>
        <w:t>；指标</w:t>
      </w:r>
      <w:r>
        <w:rPr>
          <w:rFonts w:hint="eastAsia" w:ascii="Times New Roman" w:hAnsi="Times New Roman" w:cs="Times New Roman"/>
          <w:color w:val="auto"/>
          <w:lang w:val="en-US" w:eastAsia="zh-CN"/>
        </w:rPr>
        <w:t>2：</w:t>
      </w:r>
      <w:r>
        <w:rPr>
          <w:rFonts w:hint="eastAsia" w:ascii="Times New Roman" w:hAnsi="Times New Roman" w:cs="Times New Roman"/>
          <w:color w:val="auto"/>
          <w:lang w:eastAsia="zh-CN"/>
        </w:rPr>
        <w:t>家长和学生满意度，指标值</w:t>
      </w:r>
      <w:r>
        <w:rPr>
          <w:rFonts w:hint="eastAsia" w:ascii="Times New Roman" w:hAnsi="Times New Roman" w:cs="Times New Roman"/>
          <w:color w:val="auto"/>
          <w:lang w:val="en-US" w:eastAsia="zh-CN"/>
        </w:rPr>
        <w:t>：≥85%，</w:t>
      </w:r>
      <w:r>
        <w:rPr>
          <w:rFonts w:hint="eastAsia" w:ascii="Times New Roman" w:hAnsi="Times New Roman" w:cs="Times New Roman"/>
          <w:color w:val="auto"/>
        </w:rPr>
        <w:t>实际完成值</w:t>
      </w:r>
      <w:r>
        <w:rPr>
          <w:rFonts w:hint="eastAsia" w:cs="Times New Roman"/>
          <w:color w:val="auto"/>
          <w:lang w:val="en-US" w:eastAsia="zh-CN"/>
        </w:rPr>
        <w:t>85</w:t>
      </w:r>
      <w:r>
        <w:rPr>
          <w:rFonts w:hint="eastAsia" w:ascii="Times New Roman" w:hAnsi="Times New Roman" w:cs="Times New Roman"/>
          <w:color w:val="auto"/>
          <w:lang w:val="en-US" w:eastAsia="zh-CN"/>
        </w:rPr>
        <w:t>%</w:t>
      </w:r>
      <w:r>
        <w:rPr>
          <w:rFonts w:hint="eastAsia" w:ascii="Times New Roman" w:hAnsi="Times New Roman" w:cs="Times New Roman"/>
          <w:color w:val="auto"/>
        </w:rPr>
        <w:t>，指标完成率</w:t>
      </w:r>
      <w:r>
        <w:rPr>
          <w:rFonts w:hint="eastAsia" w:ascii="Times New Roman" w:hAnsi="Times New Roman" w:cs="Times New Roman"/>
          <w:color w:val="auto"/>
          <w:lang w:val="en-US" w:eastAsia="zh-CN"/>
        </w:rPr>
        <w:t>100</w:t>
      </w:r>
      <w:r>
        <w:rPr>
          <w:rFonts w:hint="eastAsia" w:cs="Times New Roman"/>
          <w:color w:val="auto"/>
          <w:lang w:val="en-US" w:eastAsia="zh-CN"/>
        </w:rPr>
        <w:t>.00</w:t>
      </w:r>
      <w:r>
        <w:rPr>
          <w:rFonts w:hint="eastAsia" w:ascii="Times New Roman" w:hAnsi="Times New Roman" w:cs="Times New Roman"/>
          <w:color w:val="auto"/>
        </w:rPr>
        <w:t>%</w:t>
      </w:r>
      <w:r>
        <w:rPr>
          <w:rFonts w:hint="eastAsia" w:ascii="Times New Roman" w:hAnsi="Times New Roman" w:cs="Times New Roman"/>
          <w:color w:val="auto"/>
          <w:lang w:eastAsia="zh-CN"/>
        </w:rPr>
        <w:t>。</w:t>
      </w:r>
      <w:bookmarkStart w:id="16" w:name="_Toc68703842"/>
    </w:p>
    <w:p>
      <w:pPr>
        <w:spacing w:line="360" w:lineRule="auto"/>
        <w:ind w:firstLine="643" w:firstLineChars="200"/>
        <w:rPr>
          <w:rFonts w:hint="eastAsia" w:ascii="宋体" w:hAnsi="宋体" w:eastAsia="宋体" w:cs="Times New Roman"/>
          <w:b/>
          <w:bCs/>
          <w:kern w:val="44"/>
          <w:sz w:val="32"/>
          <w:szCs w:val="32"/>
          <w:lang w:val="en-US" w:eastAsia="zh-CN" w:bidi="ar-SA"/>
        </w:rPr>
      </w:pPr>
      <w:r>
        <w:rPr>
          <w:rFonts w:hint="eastAsia" w:ascii="宋体" w:hAnsi="宋体" w:eastAsia="宋体" w:cs="Times New Roman"/>
          <w:b/>
          <w:bCs/>
          <w:kern w:val="44"/>
          <w:sz w:val="32"/>
          <w:szCs w:val="32"/>
          <w:lang w:val="en-US" w:eastAsia="zh-CN" w:bidi="ar-SA"/>
        </w:rPr>
        <w:t>五、主要经验及做法、存在的问题及原因分析</w:t>
      </w:r>
      <w:bookmarkEnd w:id="16"/>
      <w:bookmarkStart w:id="17" w:name="_Toc68703843"/>
    </w:p>
    <w:p>
      <w:p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（一）主要经验及做法</w:t>
      </w:r>
      <w:bookmarkEnd w:id="17"/>
      <w:bookmarkStart w:id="18" w:name="_Toc68703844"/>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一是合理设置年初绩效目标，严格按资金具体用途将产出数量目标全部量化至三级指标，据此开展绩效监控和绩效自评工作。二是坚持专款专用的原则，严格按年初拟定的资金使用计划安排支出，不得随意突破计划、改变计划或进行无计划的支出，以提高财政资金支出的计划性与可控性。三是合理编制预算，严格按照预算批复用途使用、工作运行经费，避免出现超预算支出、资金使用不合理、挤占专项资金的现象，严禁将资金用于弥补公用经费不足。</w:t>
      </w:r>
    </w:p>
    <w:p>
      <w:pPr>
        <w:pStyle w:val="4"/>
        <w:spacing w:line="360" w:lineRule="auto"/>
        <w:rPr>
          <w:rFonts w:hint="eastAsia" w:ascii="仿宋_GB2312" w:eastAsia="仿宋_GB2312"/>
          <w:b w:val="0"/>
          <w:bCs w:val="0"/>
        </w:rPr>
      </w:pPr>
      <w:r>
        <w:rPr>
          <w:rFonts w:hint="eastAsia" w:ascii="仿宋_GB2312" w:eastAsia="仿宋_GB2312"/>
          <w:b w:val="0"/>
          <w:bCs w:val="0"/>
        </w:rPr>
        <w:t>（二）存在的问题及原因分析</w:t>
      </w:r>
      <w:bookmarkEnd w:id="18"/>
    </w:p>
    <w:p>
      <w:pPr>
        <w:spacing w:line="360" w:lineRule="auto"/>
        <w:ind w:firstLine="600" w:firstLineChars="200"/>
        <w:rPr>
          <w:rFonts w:hint="eastAsia" w:ascii="Times New Roman" w:hAnsi="Times New Roman" w:cs="Times New Roman"/>
          <w:color w:val="auto"/>
          <w:lang w:val="en-US" w:eastAsia="zh-CN"/>
        </w:rPr>
      </w:pPr>
      <w:bookmarkStart w:id="19" w:name="_Toc68703845"/>
      <w:r>
        <w:rPr>
          <w:rFonts w:hint="eastAsia" w:ascii="Times New Roman" w:hAnsi="Times New Roman" w:cs="Times New Roman"/>
          <w:color w:val="auto"/>
          <w:lang w:val="en-US" w:eastAsia="zh-CN"/>
        </w:rPr>
        <w:t>在学生的管理方面，寄宿制学校需要花费更多的人力、物力和财力。同时，公用经费的用途已经明确不能用于人员经费支出。宿管教师值班、教师早晚自习加班等相关支出都没有一个明确的支出渠道，既要满足实际需要，同时又要规避政策的红线，导致学校的工作开展十分困难。</w:t>
      </w:r>
    </w:p>
    <w:p>
      <w:pPr>
        <w:pStyle w:val="3"/>
        <w:spacing w:line="360" w:lineRule="auto"/>
        <w:rPr>
          <w:rFonts w:hint="eastAsia" w:ascii="宋体" w:hAnsi="宋体" w:eastAsia="宋体" w:cs="Times New Roman"/>
          <w:sz w:val="32"/>
          <w:szCs w:val="32"/>
          <w:lang w:val="en-US" w:eastAsia="zh-CN"/>
        </w:rPr>
      </w:pPr>
      <w:r>
        <w:rPr>
          <w:rFonts w:hint="eastAsia" w:ascii="宋体" w:hAnsi="宋体" w:eastAsia="宋体" w:cs="Times New Roman"/>
          <w:sz w:val="32"/>
          <w:szCs w:val="32"/>
          <w:lang w:eastAsia="zh-CN"/>
        </w:rPr>
        <w:t>六、</w:t>
      </w:r>
      <w:r>
        <w:rPr>
          <w:rFonts w:hint="eastAsia" w:ascii="宋体" w:hAnsi="宋体" w:eastAsia="宋体" w:cs="Times New Roman"/>
          <w:sz w:val="32"/>
          <w:szCs w:val="32"/>
        </w:rPr>
        <w:t>有关建议</w:t>
      </w:r>
      <w:bookmarkEnd w:id="19"/>
    </w:p>
    <w:p>
      <w:pPr>
        <w:spacing w:line="360" w:lineRule="auto"/>
        <w:ind w:firstLine="600" w:firstLineChars="200"/>
        <w:rPr>
          <w:rFonts w:hint="default" w:eastAsia="仿宋_GB2312"/>
          <w:lang w:val="en-US" w:eastAsia="zh-CN"/>
        </w:rPr>
      </w:pPr>
      <w:r>
        <w:rPr>
          <w:rFonts w:hint="eastAsia" w:ascii="Times New Roman" w:hAnsi="Times New Roman" w:cs="Times New Roman"/>
          <w:color w:val="auto"/>
          <w:lang w:val="en-US" w:eastAsia="zh-CN"/>
        </w:rPr>
        <w:t xml:space="preserve"> 加强领导，落实责任，为新机制实施提供组织保障；加强学习，建章立制，为新机制实施提供保障；加强宣传，营造氛围，为新机制实施提供舆论保障；完善校财局管制度，加强教育经费集中管理；实行经费全额配套，规范专项资金管理；加大资金审核力度，严格规范支付程序；加强业务培训，提高人员素质，构筑教育经费科学管理体系；强化监督检查，合理安排资金，不断完善义务教育经费内控制度；综合监管，统筹管理，进一步提高义务教育经费监管水平；加大对寄宿制学校尤其是农村寄宿制学校的资金补助力度。</w:t>
      </w:r>
    </w:p>
    <w:p>
      <w:pPr>
        <w:pStyle w:val="3"/>
        <w:spacing w:line="360" w:lineRule="auto"/>
        <w:rPr>
          <w:rFonts w:hint="eastAsia" w:ascii="宋体" w:hAnsi="宋体" w:eastAsia="宋体" w:cs="Times New Roman"/>
          <w:sz w:val="32"/>
          <w:szCs w:val="32"/>
        </w:rPr>
      </w:pPr>
      <w:bookmarkStart w:id="20" w:name="_Toc68703846"/>
      <w:r>
        <w:rPr>
          <w:rFonts w:hint="eastAsia" w:ascii="宋体" w:hAnsi="宋体" w:eastAsia="宋体" w:cs="Times New Roman"/>
          <w:sz w:val="32"/>
          <w:szCs w:val="32"/>
        </w:rPr>
        <w:t>七、其他需要说明的问题</w:t>
      </w:r>
      <w:bookmarkEnd w:id="20"/>
    </w:p>
    <w:p>
      <w:pPr>
        <w:spacing w:line="360" w:lineRule="auto"/>
        <w:ind w:firstLine="60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无</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1MDZlYmI5MDk0MTg0NGQ5YjU3MzZhZWMwZGE3NjIifQ=="/>
  </w:docVars>
  <w:rsids>
    <w:rsidRoot w:val="007D49C5"/>
    <w:rsid w:val="00042539"/>
    <w:rsid w:val="000D63FA"/>
    <w:rsid w:val="005B64E8"/>
    <w:rsid w:val="00614288"/>
    <w:rsid w:val="00792CFE"/>
    <w:rsid w:val="007D49C5"/>
    <w:rsid w:val="008175E0"/>
    <w:rsid w:val="008C631D"/>
    <w:rsid w:val="00A114ED"/>
    <w:rsid w:val="00B24331"/>
    <w:rsid w:val="01066839"/>
    <w:rsid w:val="02AA3800"/>
    <w:rsid w:val="05025778"/>
    <w:rsid w:val="05510E36"/>
    <w:rsid w:val="08132EBA"/>
    <w:rsid w:val="08940648"/>
    <w:rsid w:val="0B7E76FA"/>
    <w:rsid w:val="0EB65D77"/>
    <w:rsid w:val="0F2A6BF7"/>
    <w:rsid w:val="11AD5B48"/>
    <w:rsid w:val="140248C5"/>
    <w:rsid w:val="18151BD3"/>
    <w:rsid w:val="184034F3"/>
    <w:rsid w:val="1A530D87"/>
    <w:rsid w:val="1B7F1EEC"/>
    <w:rsid w:val="1F212A6B"/>
    <w:rsid w:val="1F753E9D"/>
    <w:rsid w:val="20062C8B"/>
    <w:rsid w:val="21D07AB6"/>
    <w:rsid w:val="22A74795"/>
    <w:rsid w:val="24A111EE"/>
    <w:rsid w:val="26DF0C67"/>
    <w:rsid w:val="282F4F1D"/>
    <w:rsid w:val="28B91FC7"/>
    <w:rsid w:val="293D723E"/>
    <w:rsid w:val="2BBE45B2"/>
    <w:rsid w:val="2C776B50"/>
    <w:rsid w:val="30033D3C"/>
    <w:rsid w:val="312737DD"/>
    <w:rsid w:val="31817CB4"/>
    <w:rsid w:val="31EB3F5A"/>
    <w:rsid w:val="322B1BB7"/>
    <w:rsid w:val="33DB598F"/>
    <w:rsid w:val="34317A52"/>
    <w:rsid w:val="343C3DE5"/>
    <w:rsid w:val="350230DE"/>
    <w:rsid w:val="35EE601C"/>
    <w:rsid w:val="36B72533"/>
    <w:rsid w:val="3BCD4261"/>
    <w:rsid w:val="3D38552A"/>
    <w:rsid w:val="3F2244FB"/>
    <w:rsid w:val="4057649F"/>
    <w:rsid w:val="40644530"/>
    <w:rsid w:val="417B4B40"/>
    <w:rsid w:val="41A551C9"/>
    <w:rsid w:val="430B55DC"/>
    <w:rsid w:val="4375047B"/>
    <w:rsid w:val="4495786B"/>
    <w:rsid w:val="44A07597"/>
    <w:rsid w:val="44B5501E"/>
    <w:rsid w:val="44E52C2B"/>
    <w:rsid w:val="4A3019F5"/>
    <w:rsid w:val="4A616004"/>
    <w:rsid w:val="4D05484A"/>
    <w:rsid w:val="4DFD1FE6"/>
    <w:rsid w:val="4F991261"/>
    <w:rsid w:val="50D2309A"/>
    <w:rsid w:val="51BF4E78"/>
    <w:rsid w:val="546B0DB0"/>
    <w:rsid w:val="562C1FA2"/>
    <w:rsid w:val="56796849"/>
    <w:rsid w:val="567B1CAA"/>
    <w:rsid w:val="5701442B"/>
    <w:rsid w:val="5B135204"/>
    <w:rsid w:val="5B507128"/>
    <w:rsid w:val="5DA95371"/>
    <w:rsid w:val="61B020F2"/>
    <w:rsid w:val="61EC6A3B"/>
    <w:rsid w:val="632D113C"/>
    <w:rsid w:val="66713BDF"/>
    <w:rsid w:val="68E43F44"/>
    <w:rsid w:val="68FD2822"/>
    <w:rsid w:val="69A2749E"/>
    <w:rsid w:val="70C76378"/>
    <w:rsid w:val="75050D72"/>
    <w:rsid w:val="759904D6"/>
    <w:rsid w:val="762E41A7"/>
    <w:rsid w:val="76561E26"/>
    <w:rsid w:val="76DE7B6E"/>
    <w:rsid w:val="7AAF7B55"/>
    <w:rsid w:val="7CE34539"/>
    <w:rsid w:val="7D2702D4"/>
    <w:rsid w:val="7F7A10C5"/>
    <w:rsid w:val="7F8555BF"/>
    <w:rsid w:val="7FB86D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semiHidden/>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semiHidden/>
    <w:unhideWhenUsed/>
    <w:qFormat/>
    <w:uiPriority w:val="99"/>
    <w:pPr>
      <w:tabs>
        <w:tab w:val="center" w:pos="4153"/>
        <w:tab w:val="right" w:pos="8306"/>
      </w:tabs>
      <w:snapToGrid w:val="0"/>
      <w:jc w:val="left"/>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Normal (Web)"/>
    <w:basedOn w:val="1"/>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nhideWhenUsed/>
    <w:qFormat/>
    <w:uiPriority w:val="99"/>
    <w:rPr>
      <w:color w:val="0563C1" w:themeColor="hyperlink"/>
      <w:u w:val="single"/>
    </w:rPr>
  </w:style>
  <w:style w:type="character" w:customStyle="1" w:styleId="14">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1"/>
    <w:link w:val="6"/>
    <w:semiHidden/>
    <w:qFormat/>
    <w:uiPriority w:val="99"/>
    <w:rPr>
      <w:rFonts w:ascii="Times New Roman" w:hAnsi="Times New Roman" w:eastAsia="仿宋_GB2312" w:cs="Times New Roman"/>
      <w:sz w:val="18"/>
      <w:szCs w:val="18"/>
    </w:rPr>
  </w:style>
  <w:style w:type="character" w:customStyle="1" w:styleId="18">
    <w:name w:val="页脚 Char"/>
    <w:basedOn w:val="11"/>
    <w:link w:val="5"/>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6070</Words>
  <Characters>6483</Characters>
  <Lines>37</Lines>
  <Paragraphs>10</Paragraphs>
  <TotalTime>11</TotalTime>
  <ScaleCrop>false</ScaleCrop>
  <LinksUpToDate>false</LinksUpToDate>
  <CharactersWithSpaces>6491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Lenovo</cp:lastModifiedBy>
  <dcterms:modified xsi:type="dcterms:W3CDTF">2023-09-06T04:56:37Z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F8DB3001DE684E5A8195D3E5F20AD96A</vt:lpwstr>
  </property>
</Properties>
</file>