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1" w:name="_GoBack"/>
      <w:bookmarkEnd w:id="21"/>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2022年中央自然灾害救灾资金项目</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霍城县应急管理局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霍城县应急管理局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张东升</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4"/>
        <w:spacing w:line="360" w:lineRule="auto"/>
        <w:rPr>
          <w:rFonts w:hint="eastAsia" w:ascii="宋体" w:hAnsi="宋体" w:eastAsia="宋体"/>
          <w:sz w:val="32"/>
          <w:szCs w:val="32"/>
          <w:lang w:val="en-US" w:eastAsia="zh-CN"/>
        </w:rPr>
      </w:pPr>
      <w:bookmarkStart w:id="0" w:name="_Toc68703827"/>
      <w:r>
        <w:rPr>
          <w:rFonts w:hint="eastAsia" w:ascii="宋体" w:hAnsi="宋体" w:eastAsia="宋体"/>
          <w:sz w:val="32"/>
          <w:szCs w:val="32"/>
        </w:rPr>
        <w:t>一</w:t>
      </w:r>
      <w:r>
        <w:rPr>
          <w:rFonts w:hint="eastAsia" w:ascii="宋体" w:hAnsi="宋体" w:eastAsia="宋体"/>
          <w:sz w:val="32"/>
          <w:szCs w:val="32"/>
          <w:lang w:eastAsia="zh-CN"/>
        </w:rPr>
        <w:t>、基本情况</w:t>
      </w:r>
      <w:bookmarkEnd w:id="0"/>
    </w:p>
    <w:p>
      <w:pPr>
        <w:pStyle w:val="2"/>
        <w:keepNext w:val="0"/>
        <w:keepLines w:val="0"/>
        <w:pageBreakBefore w:val="0"/>
        <w:widowControl w:val="0"/>
        <w:kinsoku w:val="0"/>
        <w:wordWrap/>
        <w:overflowPunct w:val="0"/>
        <w:topLinePunct w:val="0"/>
        <w:autoSpaceDE w:val="0"/>
        <w:autoSpaceDN w:val="0"/>
        <w:bidi w:val="0"/>
        <w:adjustRightInd/>
        <w:snapToGrid/>
        <w:spacing w:line="480" w:lineRule="auto"/>
        <w:textAlignment w:val="auto"/>
        <w:rPr>
          <w:rFonts w:hint="eastAsia" w:ascii="Times New Roman" w:hAnsi="Times New Roman" w:cs="Times New Roman"/>
          <w:lang w:val="en-US" w:eastAsia="zh-CN"/>
        </w:rPr>
      </w:pPr>
      <w:bookmarkStart w:id="1" w:name="_Toc68703828"/>
      <w:r>
        <w:rPr>
          <w:rFonts w:hint="eastAsia" w:ascii="Times New Roman" w:hAnsi="Times New Roman" w:cs="Times New Roman"/>
          <w:lang w:val="en-US" w:eastAsia="zh-CN"/>
        </w:rPr>
        <w:t>（一）项目概况。</w:t>
      </w:r>
      <w:bookmarkEnd w:id="1"/>
    </w:p>
    <w:p>
      <w:pPr>
        <w:pStyle w:val="3"/>
        <w:rPr>
          <w:rFonts w:hint="eastAsia" w:eastAsia="仿宋_GB2312"/>
          <w:lang w:val="en-US" w:eastAsia="zh-CN"/>
        </w:rPr>
      </w:pPr>
      <w:r>
        <w:rPr>
          <w:rFonts w:hint="eastAsia" w:cs="Times New Roman"/>
          <w:lang w:val="en-US" w:eastAsia="zh-CN"/>
        </w:rPr>
        <w:t>1.项目背景</w:t>
      </w:r>
    </w:p>
    <w:p>
      <w:pPr>
        <w:pStyle w:val="2"/>
        <w:keepNext w:val="0"/>
        <w:keepLines w:val="0"/>
        <w:pageBreakBefore w:val="0"/>
        <w:widowControl w:val="0"/>
        <w:kinsoku w:val="0"/>
        <w:wordWrap/>
        <w:overflowPunct w:val="0"/>
        <w:topLinePunct w:val="0"/>
        <w:autoSpaceDE w:val="0"/>
        <w:autoSpaceDN w:val="0"/>
        <w:bidi w:val="0"/>
        <w:adjustRightInd/>
        <w:snapToGrid/>
        <w:spacing w:line="48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根据自治区财政厅《关于下达 2022 年中央自然灾害救灾资金预算的通知》(新财资环〔2021〕143 号)，现下达中央自然灾害救灾资金 59.595 万元,为认真贯彻落实自治区、自治州党委、政府关于做好受灾群众基本生活保障工作的要求，确保受灾群众安全温暖过冬，按照《应急管理部、财政部关于组织开展2022-2023年度全国受灾群众冬春救助工作的通知》有关要求，切实做好全县冬春救助工作，让受灾困难群众感受到党和政府的关怀温暖。此项资金用于 2022-2023 年冬春临时生活困难人口救助补助，各县市要按照《中央自然灾害救灾资金管理暂行办法》(财建〔2020〕245 号)等相关政策规定，会同应急部门做好资金管理发放等工作，加快预算执行进度。</w:t>
      </w:r>
    </w:p>
    <w:p>
      <w:pPr>
        <w:pStyle w:val="2"/>
        <w:keepNext w:val="0"/>
        <w:keepLines w:val="0"/>
        <w:pageBreakBefore w:val="0"/>
        <w:widowControl w:val="0"/>
        <w:kinsoku w:val="0"/>
        <w:wordWrap/>
        <w:overflowPunct w:val="0"/>
        <w:topLinePunct w:val="0"/>
        <w:autoSpaceDE w:val="0"/>
        <w:autoSpaceDN w:val="0"/>
        <w:bidi w:val="0"/>
        <w:adjustRightInd/>
        <w:snapToGrid/>
        <w:spacing w:line="48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2.主要内容及实施情况</w:t>
      </w:r>
    </w:p>
    <w:p>
      <w:pPr>
        <w:pStyle w:val="2"/>
        <w:keepNext w:val="0"/>
        <w:keepLines w:val="0"/>
        <w:pageBreakBefore w:val="0"/>
        <w:widowControl w:val="0"/>
        <w:kinsoku w:val="0"/>
        <w:wordWrap/>
        <w:overflowPunct w:val="0"/>
        <w:topLinePunct w:val="0"/>
        <w:autoSpaceDE w:val="0"/>
        <w:autoSpaceDN w:val="0"/>
        <w:bidi w:val="0"/>
        <w:adjustRightInd/>
        <w:snapToGrid/>
        <w:spacing w:line="48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主要内容：各乡镇（中心）要按照“分类救助、重点救助、精准救助”原则，将需救助人员按因灾造成住房倒塌损坏、农作物减产绝收、家庭财产损失、致伤致残等情况实行分类排队，综合考虑救助对象受灾情况、家庭困难程度和生产自救能力，突出救助重点，优先做好受灾群众中的倒房重建户、建档立卡贫困户、受灾低保对象、分散供养特困人员、散居孤儿、留守老人、留守儿童及残疾人等特殊群体的救助，并视情提高救助标准，确保受灾困难群众安全过冬、温暖过节。要结合救助资金总量、受灾人员困难程度、需救助人数等因素，在前期入户摸底调查的基础上，细化责任落实，明确救助标准。</w:t>
      </w:r>
    </w:p>
    <w:p>
      <w:pPr>
        <w:pStyle w:val="2"/>
        <w:keepNext w:val="0"/>
        <w:keepLines w:val="0"/>
        <w:pageBreakBefore w:val="0"/>
        <w:widowControl w:val="0"/>
        <w:kinsoku w:val="0"/>
        <w:wordWrap/>
        <w:overflowPunct w:val="0"/>
        <w:topLinePunct w:val="0"/>
        <w:autoSpaceDE w:val="0"/>
        <w:autoSpaceDN w:val="0"/>
        <w:bidi w:val="0"/>
        <w:adjustRightInd/>
        <w:snapToGrid/>
        <w:spacing w:line="480" w:lineRule="auto"/>
        <w:textAlignment w:val="auto"/>
        <w:rPr>
          <w:rFonts w:hint="default"/>
          <w:lang w:val="en-US" w:eastAsia="zh-CN"/>
        </w:rPr>
      </w:pPr>
      <w:r>
        <w:rPr>
          <w:rFonts w:hint="eastAsia" w:ascii="Times New Roman" w:hAnsi="Times New Roman" w:cs="Times New Roman"/>
          <w:lang w:eastAsia="zh-CN"/>
        </w:rPr>
        <w:t>实施情况：202</w:t>
      </w:r>
      <w:r>
        <w:rPr>
          <w:rFonts w:hint="eastAsia" w:ascii="Times New Roman" w:hAnsi="Times New Roman" w:cs="Times New Roman"/>
          <w:lang w:val="en-US" w:eastAsia="zh-CN"/>
        </w:rPr>
        <w:t>2</w:t>
      </w:r>
      <w:r>
        <w:rPr>
          <w:rFonts w:hint="eastAsia" w:ascii="Times New Roman" w:hAnsi="Times New Roman" w:cs="Times New Roman"/>
          <w:lang w:eastAsia="zh-CN"/>
        </w:rPr>
        <w:t>年冬春救灾资金按照困难户人均59</w:t>
      </w:r>
      <w:r>
        <w:rPr>
          <w:rFonts w:hint="eastAsia" w:ascii="Times New Roman" w:hAnsi="Times New Roman" w:cs="Times New Roman"/>
          <w:lang w:val="en-US" w:eastAsia="zh-CN"/>
        </w:rPr>
        <w:t>9</w:t>
      </w:r>
      <w:r>
        <w:rPr>
          <w:rFonts w:hint="eastAsia" w:ascii="Times New Roman" w:hAnsi="Times New Roman" w:cs="Times New Roman"/>
          <w:lang w:eastAsia="zh-CN"/>
        </w:rPr>
        <w:t>元，其</w:t>
      </w:r>
      <w:r>
        <w:rPr>
          <w:rFonts w:hint="eastAsia" w:ascii="仿宋_GB2312" w:hAnsi="仿宋_GB2312" w:eastAsia="仿宋_GB2312" w:cs="仿宋_GB2312"/>
          <w:b w:val="0"/>
          <w:bCs w:val="0"/>
          <w:sz w:val="32"/>
          <w:szCs w:val="32"/>
          <w:lang w:eastAsia="zh-CN"/>
        </w:rPr>
        <w:t>他困难户人均3</w:t>
      </w:r>
      <w:r>
        <w:rPr>
          <w:rFonts w:hint="eastAsia" w:ascii="仿宋_GB2312" w:hAnsi="仿宋_GB2312" w:eastAsia="仿宋_GB2312" w:cs="仿宋_GB2312"/>
          <w:b w:val="0"/>
          <w:bCs w:val="0"/>
          <w:sz w:val="32"/>
          <w:szCs w:val="32"/>
          <w:lang w:val="en-US" w:eastAsia="zh-CN"/>
        </w:rPr>
        <w:t>24</w:t>
      </w:r>
      <w:r>
        <w:rPr>
          <w:rFonts w:hint="eastAsia" w:ascii="仿宋_GB2312" w:hAnsi="仿宋_GB2312" w:eastAsia="仿宋_GB2312" w:cs="仿宋_GB2312"/>
          <w:b w:val="0"/>
          <w:bCs w:val="0"/>
          <w:sz w:val="32"/>
          <w:szCs w:val="32"/>
          <w:lang w:eastAsia="zh-CN"/>
        </w:rPr>
        <w:t>元进行分配。各乡镇（中心）也可结合受灾户实际情况分档差别化进行分配，但乡镇（中心）必须按照困难户每人不低于500元，其他困难户每人不低于300元补助金进行发放。按照已上报的需救助数量</w:t>
      </w:r>
      <w:r>
        <w:rPr>
          <w:rFonts w:hint="eastAsia" w:ascii="仿宋_GB2312" w:hAnsi="仿宋_GB2312" w:eastAsia="仿宋_GB2312" w:cs="仿宋_GB2312"/>
          <w:b w:val="0"/>
          <w:bCs w:val="0"/>
          <w:sz w:val="32"/>
          <w:szCs w:val="32"/>
        </w:rPr>
        <w:t>认真做好</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b w:val="0"/>
          <w:bCs w:val="0"/>
          <w:sz w:val="32"/>
          <w:szCs w:val="32"/>
        </w:rPr>
        <w:t>台账，</w:t>
      </w:r>
      <w:r>
        <w:rPr>
          <w:rFonts w:hint="eastAsia" w:ascii="仿宋_GB2312" w:hAnsi="仿宋_GB2312" w:eastAsia="仿宋_GB2312" w:cs="仿宋_GB2312"/>
          <w:b w:val="0"/>
          <w:bCs w:val="0"/>
          <w:sz w:val="32"/>
          <w:szCs w:val="32"/>
          <w:lang w:val="en-US" w:eastAsia="zh-CN"/>
        </w:rPr>
        <w:t>做实做细救助工作</w:t>
      </w:r>
      <w:r>
        <w:rPr>
          <w:rFonts w:hint="eastAsia" w:ascii="仿宋_GB2312" w:hAnsi="仿宋_GB2312" w:eastAsia="仿宋_GB2312" w:cs="仿宋_GB2312"/>
          <w:b w:val="0"/>
          <w:bCs w:val="0"/>
          <w:sz w:val="32"/>
          <w:szCs w:val="32"/>
        </w:rPr>
        <w:t>实施方案，做到目标明确、对象清楚、方法科学</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切实可行</w:t>
      </w:r>
      <w:r>
        <w:rPr>
          <w:rFonts w:hint="eastAsia" w:ascii="仿宋_GB2312" w:hAnsi="仿宋_GB2312" w:eastAsia="仿宋_GB2312" w:cs="仿宋_GB2312"/>
          <w:b w:val="0"/>
          <w:bCs w:val="0"/>
          <w:sz w:val="32"/>
          <w:szCs w:val="32"/>
          <w:lang w:eastAsia="zh-CN"/>
        </w:rPr>
        <w:t>。</w:t>
      </w:r>
      <w:r>
        <w:rPr>
          <w:rFonts w:hint="eastAsia" w:ascii="仿宋_GB2312" w:hAnsi="仿宋_GB2312" w:cs="仿宋_GB2312"/>
          <w:b w:val="0"/>
          <w:bCs w:val="0"/>
          <w:sz w:val="32"/>
          <w:szCs w:val="32"/>
          <w:lang w:eastAsia="zh-CN"/>
        </w:rPr>
        <w:t>最终落实人均标准为</w:t>
      </w:r>
      <w:r>
        <w:rPr>
          <w:rFonts w:hint="eastAsia" w:ascii="仿宋_GB2312" w:hAnsi="仿宋_GB2312" w:cs="仿宋_GB2312"/>
          <w:b w:val="0"/>
          <w:bCs w:val="0"/>
          <w:sz w:val="32"/>
          <w:szCs w:val="32"/>
          <w:lang w:val="en-US" w:eastAsia="zh-CN"/>
        </w:rPr>
        <w:t>350元每人发放，合计人数1617人。</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40" w:firstLineChars="200"/>
        <w:jc w:val="left"/>
        <w:rPr>
          <w:rFonts w:hint="eastAsia" w:ascii="仿宋_GB2312"/>
          <w:bCs/>
          <w:color w:val="auto"/>
          <w:sz w:val="32"/>
          <w:szCs w:val="32"/>
          <w:lang w:val="en-US" w:eastAsia="zh-CN"/>
        </w:rPr>
      </w:pPr>
      <w:r>
        <w:rPr>
          <w:rFonts w:hint="eastAsia" w:ascii="仿宋_GB2312"/>
          <w:bCs/>
          <w:color w:val="auto"/>
          <w:sz w:val="32"/>
          <w:szCs w:val="32"/>
          <w:lang w:val="en-US" w:eastAsia="zh-CN"/>
        </w:rPr>
        <w:t>资金投入情况：该项目年初预算数59.595万元，全年预算数59.595万元，实际总投入59.595万元，该项目资金已全部落实到位，资金来源为中央专项资金。</w:t>
      </w:r>
    </w:p>
    <w:p>
      <w:pPr>
        <w:spacing w:line="360" w:lineRule="auto"/>
        <w:ind w:firstLine="640" w:firstLineChars="200"/>
        <w:jc w:val="left"/>
        <w:rPr>
          <w:rFonts w:hint="eastAsia" w:ascii="仿宋_GB2312"/>
          <w:bCs/>
          <w:color w:val="auto"/>
          <w:sz w:val="32"/>
          <w:szCs w:val="32"/>
          <w:lang w:val="en-US" w:eastAsia="zh-CN"/>
        </w:rPr>
      </w:pPr>
      <w:r>
        <w:rPr>
          <w:rFonts w:hint="eastAsia" w:ascii="仿宋_GB2312"/>
          <w:bCs/>
          <w:color w:val="auto"/>
          <w:sz w:val="32"/>
          <w:szCs w:val="32"/>
          <w:lang w:val="en-US" w:eastAsia="zh-CN"/>
        </w:rPr>
        <w:t>资金使用情况：该项目年初预算数59.595万元，全年预算数59.595万元，全年执行数59.595万元，预算执行率为100%。用于： 2022-2023 年冬春临时生活困难人口救助补助59.595万元。</w:t>
      </w:r>
    </w:p>
    <w:p>
      <w:pPr>
        <w:pStyle w:val="5"/>
        <w:spacing w:line="360" w:lineRule="auto"/>
        <w:ind w:firstLine="640" w:firstLineChars="200"/>
        <w:rPr>
          <w:color w:val="FF0000"/>
        </w:rPr>
      </w:pPr>
      <w:bookmarkStart w:id="2" w:name="_Toc68703829"/>
      <w:r>
        <w:rPr>
          <w:rFonts w:hint="eastAsia" w:ascii="仿宋_GB2312" w:eastAsia="仿宋_GB2312"/>
          <w:b w:val="0"/>
          <w:bCs w:val="0"/>
        </w:rPr>
        <w:t>（二）项目绩效目标</w:t>
      </w:r>
      <w:bookmarkEnd w:id="2"/>
    </w:p>
    <w:p>
      <w:pPr>
        <w:spacing w:line="360" w:lineRule="auto"/>
        <w:ind w:firstLine="640" w:firstLineChars="200"/>
        <w:jc w:val="left"/>
        <w:rPr>
          <w:rFonts w:hint="eastAsia" w:ascii="仿宋_GB2312"/>
          <w:bCs/>
          <w:color w:val="auto"/>
          <w:sz w:val="32"/>
          <w:szCs w:val="32"/>
          <w:lang w:val="en-US" w:eastAsia="zh-CN"/>
        </w:rPr>
      </w:pPr>
      <w:r>
        <w:rPr>
          <w:rFonts w:hint="eastAsia" w:ascii="仿宋_GB2312"/>
          <w:bCs/>
          <w:color w:val="auto"/>
          <w:sz w:val="32"/>
          <w:szCs w:val="32"/>
          <w:lang w:val="en-US" w:eastAsia="zh-CN"/>
        </w:rPr>
        <w:t>1.总体目标：根据伊犁州财政局《关于下达2022年中央自然灾害救灾资金预算的通知》伊州财建【2022】200号文，目标任务：1、解决全县自然灾害灾情及需救助人员。2、帮助全县各乡镇转场困难群众的困难诉求。3、解决困难群众的物资短缺及其他困难救助资金。</w:t>
      </w:r>
    </w:p>
    <w:p>
      <w:pPr>
        <w:numPr>
          <w:ilvl w:val="0"/>
          <w:numId w:val="0"/>
        </w:numPr>
        <w:spacing w:line="360" w:lineRule="auto"/>
        <w:ind w:firstLine="640" w:firstLineChars="200"/>
        <w:rPr>
          <w:rFonts w:hint="eastAsia" w:eastAsia="仿宋_GB2312"/>
          <w:lang w:val="en-US" w:eastAsia="zh-CN"/>
        </w:rPr>
      </w:pPr>
      <w:r>
        <w:rPr>
          <w:rFonts w:hint="eastAsia" w:ascii="仿宋_GB2312"/>
          <w:bCs/>
          <w:color w:val="auto"/>
          <w:sz w:val="32"/>
          <w:szCs w:val="32"/>
          <w:lang w:val="en-US" w:eastAsia="zh-CN"/>
        </w:rPr>
        <w:t>2.阶段性目标：根据要结合救助资金总量、受灾人员困难程度、</w:t>
      </w:r>
      <w:r>
        <w:rPr>
          <w:rFonts w:hint="eastAsia" w:ascii="仿宋_GB2312" w:hAnsi="仿宋_GB2312" w:eastAsia="仿宋_GB2312" w:cs="仿宋_GB2312"/>
          <w:b w:val="0"/>
          <w:bCs w:val="0"/>
          <w:sz w:val="32"/>
          <w:szCs w:val="32"/>
        </w:rPr>
        <w:t>需救助人数等</w:t>
      </w:r>
      <w:r>
        <w:rPr>
          <w:rFonts w:hint="eastAsia" w:ascii="仿宋_GB2312" w:hAnsi="仿宋_GB2312" w:cs="仿宋_GB2312"/>
          <w:b w:val="0"/>
          <w:bCs w:val="0"/>
          <w:sz w:val="32"/>
          <w:szCs w:val="32"/>
          <w:lang w:eastAsia="zh-CN"/>
        </w:rPr>
        <w:t>情况</w:t>
      </w:r>
      <w:r>
        <w:rPr>
          <w:rFonts w:hint="eastAsia" w:ascii="仿宋_GB2312" w:hAnsi="仿宋_GB2312" w:eastAsia="仿宋_GB2312" w:cs="仿宋_GB2312"/>
          <w:b w:val="0"/>
          <w:bCs w:val="0"/>
          <w:sz w:val="32"/>
          <w:szCs w:val="32"/>
        </w:rPr>
        <w:t>，在</w:t>
      </w:r>
      <w:r>
        <w:rPr>
          <w:rFonts w:hint="eastAsia" w:ascii="仿宋_GB2312" w:hAnsi="仿宋_GB2312" w:eastAsia="仿宋_GB2312" w:cs="仿宋_GB2312"/>
          <w:b w:val="0"/>
          <w:bCs w:val="0"/>
          <w:sz w:val="32"/>
          <w:szCs w:val="32"/>
          <w:lang w:eastAsia="zh-CN"/>
        </w:rPr>
        <w:t>前期</w:t>
      </w:r>
      <w:r>
        <w:rPr>
          <w:rFonts w:hint="eastAsia" w:ascii="仿宋_GB2312" w:hAnsi="仿宋_GB2312" w:eastAsia="仿宋_GB2312" w:cs="仿宋_GB2312"/>
          <w:b w:val="0"/>
          <w:bCs w:val="0"/>
          <w:sz w:val="32"/>
          <w:szCs w:val="32"/>
        </w:rPr>
        <w:t>入户</w:t>
      </w:r>
      <w:r>
        <w:rPr>
          <w:rFonts w:hint="eastAsia" w:ascii="仿宋_GB2312" w:hAnsi="仿宋_GB2312" w:eastAsia="仿宋_GB2312" w:cs="仿宋_GB2312"/>
          <w:b w:val="0"/>
          <w:bCs w:val="0"/>
          <w:sz w:val="32"/>
          <w:szCs w:val="32"/>
          <w:lang w:val="en-US" w:eastAsia="zh-CN"/>
        </w:rPr>
        <w:t>摸底调查</w:t>
      </w:r>
      <w:r>
        <w:rPr>
          <w:rFonts w:hint="eastAsia" w:ascii="仿宋_GB2312" w:hAnsi="仿宋_GB2312" w:eastAsia="仿宋_GB2312" w:cs="仿宋_GB2312"/>
          <w:b w:val="0"/>
          <w:bCs w:val="0"/>
          <w:sz w:val="32"/>
          <w:szCs w:val="32"/>
        </w:rPr>
        <w:t>的基础上，细化责任落实，明确救助标准</w:t>
      </w:r>
      <w:r>
        <w:rPr>
          <w:rFonts w:hint="eastAsia" w:ascii="仿宋_GB2312" w:hAnsi="仿宋_GB2312" w:eastAsia="仿宋_GB2312" w:cs="仿宋_GB2312"/>
          <w:b w:val="0"/>
          <w:bCs w:val="0"/>
          <w:sz w:val="32"/>
          <w:szCs w:val="32"/>
          <w:lang w:eastAsia="zh-CN"/>
        </w:rPr>
        <w:t>。</w:t>
      </w:r>
    </w:p>
    <w:p>
      <w:pPr>
        <w:pStyle w:val="4"/>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5"/>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rPr>
          <w:color w:val="auto"/>
        </w:rPr>
      </w:pPr>
      <w:r>
        <w:rPr>
          <w:rFonts w:hint="eastAsia"/>
          <w:color w:val="auto"/>
        </w:rPr>
        <w:t>1</w:t>
      </w:r>
      <w:r>
        <w:rPr>
          <w:rFonts w:hint="eastAsia"/>
          <w:color w:val="auto"/>
          <w:lang w:val="en-US" w:eastAsia="zh-CN"/>
        </w:rPr>
        <w:t>.</w:t>
      </w:r>
      <w:r>
        <w:rPr>
          <w:rFonts w:hint="eastAsia"/>
          <w:color w:val="auto"/>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lang w:eastAsia="zh-CN"/>
        </w:rPr>
        <w:t>中央自然灾害救灾项目</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局</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color w:val="auto"/>
          <w:lang w:eastAsia="zh-CN"/>
        </w:rPr>
      </w:pPr>
      <w:r>
        <w:rPr>
          <w:rFonts w:hint="eastAsia"/>
          <w:color w:val="auto"/>
          <w:lang w:eastAsia="zh-CN"/>
        </w:rPr>
        <w:t>中央自然灾害救灾资金</w:t>
      </w:r>
    </w:p>
    <w:p>
      <w:pPr>
        <w:spacing w:line="360" w:lineRule="auto"/>
      </w:pPr>
      <w:r>
        <w:rPr>
          <w:rFonts w:hint="eastAsia"/>
        </w:rPr>
        <w:t>3</w:t>
      </w:r>
      <w:r>
        <w:rPr>
          <w:rFonts w:hint="eastAsia"/>
          <w:lang w:val="en-US" w:eastAsia="zh-CN"/>
        </w:rPr>
        <w:t>.</w:t>
      </w:r>
      <w:r>
        <w:rPr>
          <w:rFonts w:hint="eastAsia"/>
        </w:rPr>
        <w:t>绩效评价范围：</w:t>
      </w:r>
    </w:p>
    <w:p>
      <w:pPr>
        <w:spacing w:line="360" w:lineRule="auto"/>
        <w:ind w:firstLine="640" w:firstLineChars="200"/>
        <w:jc w:val="left"/>
        <w:rPr>
          <w:rFonts w:hint="eastAsia" w:ascii="仿宋_GB2312"/>
          <w:bCs/>
          <w:color w:val="auto"/>
          <w:sz w:val="32"/>
          <w:szCs w:val="32"/>
        </w:rPr>
      </w:pPr>
      <w:r>
        <w:rPr>
          <w:rFonts w:hint="eastAsia" w:ascii="仿宋_GB2312"/>
          <w:bCs/>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bCs/>
          <w:color w:val="auto"/>
          <w:sz w:val="32"/>
          <w:szCs w:val="32"/>
          <w:lang w:eastAsia="zh-CN"/>
        </w:rPr>
        <w:t>中央自然灾害救灾资金</w:t>
      </w:r>
      <w:r>
        <w:rPr>
          <w:rFonts w:hint="eastAsia" w:ascii="仿宋_GB2312"/>
          <w:bCs/>
          <w:color w:val="auto"/>
          <w:sz w:val="32"/>
          <w:szCs w:val="32"/>
        </w:rPr>
        <w:t>评价，评价核心为资金的支出完成情况和效果。</w:t>
      </w:r>
    </w:p>
    <w:p>
      <w:pPr>
        <w:spacing w:line="360" w:lineRule="auto"/>
        <w:ind w:firstLine="640" w:firstLineChars="200"/>
        <w:jc w:val="left"/>
        <w:rPr>
          <w:rFonts w:hint="eastAsia" w:ascii="仿宋_GB2312"/>
          <w:bCs/>
          <w:color w:val="auto"/>
          <w:sz w:val="32"/>
          <w:szCs w:val="32"/>
        </w:rPr>
      </w:pPr>
    </w:p>
    <w:p>
      <w:pPr>
        <w:pStyle w:val="5"/>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w:t>
      </w:r>
      <w:r>
        <w:rPr>
          <w:rFonts w:hint="eastAsia" w:ascii="仿宋_GB2312"/>
          <w:bCs/>
          <w:color w:val="auto"/>
          <w:sz w:val="32"/>
          <w:szCs w:val="32"/>
          <w:lang w:eastAsia="zh-CN"/>
        </w:rPr>
        <w:t>奖有罚劣和激励相容导向，</w:t>
      </w:r>
      <w:r>
        <w:rPr>
          <w:rFonts w:hint="eastAsia" w:ascii="仿宋_GB2312"/>
          <w:bCs/>
          <w:color w:val="auto"/>
          <w:sz w:val="32"/>
          <w:szCs w:val="32"/>
        </w:rPr>
        <w:t>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霍城县政府</w:t>
      </w:r>
      <w:r>
        <w:rPr>
          <w:rFonts w:hint="eastAsia" w:ascii="仿宋_GB2312"/>
          <w:bCs/>
          <w:color w:val="auto"/>
          <w:sz w:val="32"/>
          <w:szCs w:val="32"/>
        </w:rPr>
        <w:t>网站上，并自觉接受社会监督。</w:t>
      </w:r>
    </w:p>
    <w:p>
      <w:pPr>
        <w:spacing w:line="360" w:lineRule="auto"/>
      </w:pPr>
    </w:p>
    <w:p>
      <w:pPr>
        <w:spacing w:line="360" w:lineRule="auto"/>
        <w:ind w:firstLine="600" w:firstLineChars="200"/>
        <w:jc w:val="left"/>
        <w:rPr>
          <w:rFonts w:hint="eastAsia"/>
        </w:rPr>
      </w:pPr>
      <w:r>
        <w:rPr>
          <w:rFonts w:hint="eastAsia"/>
        </w:rPr>
        <w:t>2、评价指标体系（附表说明）</w:t>
      </w:r>
    </w:p>
    <w:p>
      <w:pPr>
        <w:spacing w:line="360" w:lineRule="auto"/>
        <w:ind w:firstLine="600" w:firstLineChars="200"/>
        <w:rPr>
          <w:rFonts w:hint="eastAsia"/>
          <w:color w:val="auto"/>
          <w:lang w:eastAsia="zh-CN"/>
        </w:rPr>
      </w:pPr>
    </w:p>
    <w:p>
      <w:pPr>
        <w:spacing w:line="360" w:lineRule="auto"/>
        <w:ind w:firstLine="600" w:firstLineChars="200"/>
        <w:rPr>
          <w:rFonts w:hint="eastAsia"/>
          <w:color w:val="auto"/>
          <w:lang w:eastAsia="zh-CN"/>
        </w:rPr>
      </w:pPr>
    </w:p>
    <w:p>
      <w:pPr>
        <w:spacing w:line="360" w:lineRule="auto"/>
        <w:ind w:firstLine="600" w:firstLineChars="200"/>
        <w:rPr>
          <w:rFonts w:ascii="Times New Roman" w:hAnsi="Times New Roman" w:eastAsia="仿宋_GB2312" w:cs="Times New Roman"/>
          <w:b w:val="0"/>
          <w:bCs w:val="0"/>
          <w:sz w:val="30"/>
          <w:szCs w:val="24"/>
        </w:rPr>
      </w:pPr>
      <w:r>
        <w:rPr>
          <w:rFonts w:hint="eastAsia"/>
          <w:color w:val="auto"/>
          <w:lang w:eastAsia="zh-CN"/>
        </w:rPr>
        <w:t>中央自然灾害救灾资金</w:t>
      </w:r>
      <w:r>
        <w:rPr>
          <w:rFonts w:hint="eastAsia" w:ascii="Times New Roman" w:hAnsi="Times New Roman" w:eastAsia="仿宋_GB2312" w:cs="Times New Roman"/>
          <w:b w:val="0"/>
          <w:bCs w:val="0"/>
          <w:sz w:val="30"/>
          <w:szCs w:val="24"/>
        </w:rPr>
        <w:t>项目支出绩效评价指标体系</w:t>
      </w: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40" w:firstLineChars="200"/>
        <w:rPr>
          <w:rFonts w:hint="eastAsia" w:eastAsia="仿宋_GB2312"/>
          <w:bCs/>
          <w:color w:val="auto"/>
          <w:sz w:val="32"/>
          <w:szCs w:val="32"/>
          <w:lang w:eastAsia="zh-CN"/>
        </w:rPr>
      </w:pPr>
      <w:r>
        <w:rPr>
          <w:rFonts w:hint="eastAsia"/>
          <w:bCs/>
          <w:color w:val="auto"/>
          <w:sz w:val="32"/>
          <w:szCs w:val="32"/>
        </w:rPr>
        <w:t>本次项目支出绩效自评采用</w:t>
      </w:r>
      <w:r>
        <w:rPr>
          <w:rFonts w:hint="eastAsia"/>
          <w:bCs/>
          <w:color w:val="auto"/>
          <w:sz w:val="32"/>
          <w:szCs w:val="32"/>
          <w:lang w:eastAsia="zh-CN"/>
        </w:rPr>
        <w:t>因素分析法和公众评判法</w:t>
      </w:r>
      <w:r>
        <w:rPr>
          <w:rFonts w:hint="eastAsia"/>
          <w:bCs/>
          <w:color w:val="auto"/>
          <w:sz w:val="32"/>
          <w:szCs w:val="32"/>
        </w:rPr>
        <w:t>方法，原因是：</w:t>
      </w:r>
      <w:r>
        <w:rPr>
          <w:rFonts w:hint="eastAsia"/>
          <w:bCs/>
          <w:color w:val="auto"/>
          <w:sz w:val="32"/>
          <w:szCs w:val="32"/>
          <w:lang w:eastAsia="zh-CN"/>
        </w:rPr>
        <w:t>通过采用因素分析法综合灾情分析，制定目标计划，为更好实施目标做好计划，为预期实现目标计划产生的实施效果做好铺垫。采用公众评判法是为受灾群众通过公众评判、抽样调查等手段，了解此次项目支出为灾害群众是否达到预算计划实施的效果。</w:t>
      </w:r>
    </w:p>
    <w:p>
      <w:pPr>
        <w:spacing w:line="360" w:lineRule="auto"/>
        <w:rPr>
          <w:color w:val="auto"/>
        </w:rPr>
      </w:pP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rFonts w:hint="eastAsia" w:eastAsia="仿宋_GB2312"/>
          <w:bCs/>
          <w:color w:val="auto"/>
          <w:sz w:val="32"/>
          <w:szCs w:val="32"/>
          <w:lang w:eastAsia="zh-CN"/>
        </w:rPr>
      </w:pPr>
      <w:r>
        <w:rPr>
          <w:rFonts w:hint="eastAsia"/>
          <w:bCs/>
          <w:color w:val="auto"/>
          <w:sz w:val="32"/>
          <w:szCs w:val="32"/>
        </w:rPr>
        <w:t>本次项目支出绩效自评采用</w:t>
      </w:r>
      <w:r>
        <w:rPr>
          <w:rFonts w:hint="eastAsia"/>
          <w:bCs/>
          <w:color w:val="auto"/>
          <w:sz w:val="32"/>
          <w:szCs w:val="32"/>
          <w:lang w:eastAsia="zh-CN"/>
        </w:rPr>
        <w:t>计划</w:t>
      </w:r>
      <w:r>
        <w:rPr>
          <w:rFonts w:hint="eastAsia"/>
          <w:bCs/>
          <w:color w:val="auto"/>
          <w:sz w:val="32"/>
          <w:szCs w:val="32"/>
        </w:rPr>
        <w:t>标准，原因是：</w:t>
      </w:r>
      <w:r>
        <w:rPr>
          <w:rFonts w:hint="eastAsia"/>
          <w:bCs/>
          <w:color w:val="auto"/>
          <w:sz w:val="32"/>
          <w:szCs w:val="32"/>
          <w:lang w:eastAsia="zh-CN"/>
        </w:rPr>
        <w:t>通过摸排审核困难受灾群众的人数，制定发放补助标准，预先制定目标，计划、实行预算计划申报，做到定额发放。</w:t>
      </w:r>
    </w:p>
    <w:p>
      <w:pPr>
        <w:pStyle w:val="5"/>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40" w:firstLineChars="200"/>
        <w:rPr>
          <w:rFonts w:hint="eastAsia"/>
          <w:bCs/>
          <w:color w:val="auto"/>
          <w:sz w:val="32"/>
          <w:szCs w:val="32"/>
        </w:rPr>
      </w:pPr>
      <w:r>
        <w:rPr>
          <w:rFonts w:hint="eastAsia"/>
          <w:bCs/>
          <w:color w:val="auto"/>
          <w:sz w:val="32"/>
          <w:szCs w:val="32"/>
        </w:rPr>
        <w:t>202</w:t>
      </w:r>
      <w:r>
        <w:rPr>
          <w:rFonts w:hint="eastAsia"/>
          <w:bCs/>
          <w:color w:val="auto"/>
          <w:sz w:val="32"/>
          <w:szCs w:val="32"/>
          <w:lang w:val="en-US" w:eastAsia="zh-CN"/>
        </w:rPr>
        <w:t>3</w:t>
      </w:r>
      <w:r>
        <w:rPr>
          <w:rFonts w:hint="eastAsia"/>
          <w:bCs/>
          <w:color w:val="auto"/>
          <w:sz w:val="32"/>
          <w:szCs w:val="32"/>
        </w:rPr>
        <w:t>年</w:t>
      </w:r>
      <w:r>
        <w:rPr>
          <w:rFonts w:hint="eastAsia"/>
          <w:bCs/>
          <w:color w:val="auto"/>
          <w:sz w:val="32"/>
          <w:szCs w:val="32"/>
          <w:lang w:val="en-US" w:eastAsia="zh-CN"/>
        </w:rPr>
        <w:t>3</w:t>
      </w:r>
      <w:r>
        <w:rPr>
          <w:rFonts w:hint="eastAsia"/>
          <w:bCs/>
          <w:color w:val="auto"/>
          <w:sz w:val="32"/>
          <w:szCs w:val="32"/>
        </w:rPr>
        <w:t>月</w:t>
      </w:r>
      <w:r>
        <w:rPr>
          <w:rFonts w:hint="eastAsia"/>
          <w:bCs/>
          <w:color w:val="auto"/>
          <w:sz w:val="32"/>
          <w:szCs w:val="32"/>
          <w:lang w:val="en-US" w:eastAsia="zh-CN"/>
        </w:rPr>
        <w:t>1</w:t>
      </w:r>
      <w:r>
        <w:rPr>
          <w:rFonts w:hint="eastAsia"/>
          <w:bCs/>
          <w:color w:val="auto"/>
          <w:sz w:val="32"/>
          <w:szCs w:val="32"/>
        </w:rPr>
        <w:t>日，</w:t>
      </w:r>
      <w:r>
        <w:rPr>
          <w:rFonts w:hint="eastAsia"/>
          <w:bCs/>
          <w:color w:val="auto"/>
          <w:sz w:val="32"/>
          <w:szCs w:val="32"/>
          <w:lang w:val="zh-CN"/>
        </w:rPr>
        <w:t>开始前期准备工作，评价组通过前期调研</w:t>
      </w:r>
      <w:r>
        <w:rPr>
          <w:rFonts w:hint="eastAsia"/>
          <w:bCs/>
          <w:color w:val="auto"/>
          <w:sz w:val="32"/>
          <w:szCs w:val="32"/>
        </w:rPr>
        <w:t>确定绩效评价对象和范围，</w:t>
      </w:r>
      <w:r>
        <w:rPr>
          <w:rFonts w:hint="eastAsia"/>
          <w:bCs/>
          <w:color w:val="auto"/>
          <w:sz w:val="32"/>
          <w:szCs w:val="32"/>
          <w:lang w:val="zh-CN"/>
        </w:rPr>
        <w:t>确定了评价的目的、方法以及评价的原则，根据项目的内容和特征制定了评价指标体系及评价标准以及评价实施方案，修正并确定所需资料清单，最终确定</w:t>
      </w:r>
      <w:r>
        <w:rPr>
          <w:rFonts w:hint="eastAsia"/>
          <w:bCs/>
          <w:color w:val="auto"/>
          <w:sz w:val="32"/>
          <w:szCs w:val="32"/>
        </w:rPr>
        <w:t>绩效评价工作方案；</w:t>
      </w:r>
    </w:p>
    <w:p>
      <w:pPr>
        <w:spacing w:line="360" w:lineRule="auto"/>
        <w:ind w:firstLine="640" w:firstLineChars="200"/>
        <w:rPr>
          <w:rFonts w:hint="eastAsia"/>
          <w:bCs/>
          <w:color w:val="auto"/>
          <w:sz w:val="32"/>
          <w:szCs w:val="32"/>
        </w:rPr>
      </w:pPr>
      <w:r>
        <w:rPr>
          <w:rFonts w:hint="eastAsia"/>
          <w:bCs/>
          <w:color w:val="auto"/>
          <w:sz w:val="32"/>
          <w:szCs w:val="32"/>
        </w:rPr>
        <w:t>2</w:t>
      </w:r>
      <w:r>
        <w:rPr>
          <w:rFonts w:hint="eastAsia"/>
          <w:bCs/>
          <w:color w:val="auto"/>
          <w:sz w:val="32"/>
          <w:szCs w:val="32"/>
          <w:lang w:val="en-US" w:eastAsia="zh-CN"/>
        </w:rPr>
        <w:t>.</w:t>
      </w:r>
      <w:r>
        <w:rPr>
          <w:rFonts w:hint="eastAsia"/>
          <w:bCs/>
          <w:color w:val="auto"/>
          <w:sz w:val="32"/>
          <w:szCs w:val="32"/>
        </w:rPr>
        <w:t>组织实施：</w:t>
      </w:r>
    </w:p>
    <w:p>
      <w:pPr>
        <w:spacing w:line="360" w:lineRule="auto"/>
        <w:ind w:firstLine="640" w:firstLineChars="200"/>
        <w:rPr>
          <w:rFonts w:hint="eastAsia"/>
          <w:bCs/>
          <w:color w:val="auto"/>
          <w:sz w:val="32"/>
          <w:szCs w:val="32"/>
        </w:rPr>
      </w:pPr>
      <w:r>
        <w:rPr>
          <w:rFonts w:hint="eastAsia"/>
          <w:bCs/>
          <w:color w:val="auto"/>
          <w:sz w:val="32"/>
          <w:szCs w:val="32"/>
        </w:rPr>
        <w:t>202</w:t>
      </w:r>
      <w:r>
        <w:rPr>
          <w:rFonts w:hint="eastAsia"/>
          <w:bCs/>
          <w:color w:val="auto"/>
          <w:sz w:val="32"/>
          <w:szCs w:val="32"/>
          <w:lang w:val="en-US" w:eastAsia="zh-CN"/>
        </w:rPr>
        <w:t>3</w:t>
      </w:r>
      <w:r>
        <w:rPr>
          <w:rFonts w:hint="eastAsia"/>
          <w:bCs/>
          <w:color w:val="auto"/>
          <w:sz w:val="32"/>
          <w:szCs w:val="32"/>
        </w:rPr>
        <w:t>年</w:t>
      </w:r>
      <w:r>
        <w:rPr>
          <w:rFonts w:hint="eastAsia"/>
          <w:bCs/>
          <w:color w:val="auto"/>
          <w:sz w:val="32"/>
          <w:szCs w:val="32"/>
          <w:lang w:val="en-US" w:eastAsia="zh-CN"/>
        </w:rPr>
        <w:t>3</w:t>
      </w:r>
      <w:r>
        <w:rPr>
          <w:rFonts w:hint="eastAsia"/>
          <w:bCs/>
          <w:color w:val="auto"/>
          <w:sz w:val="32"/>
          <w:szCs w:val="32"/>
        </w:rPr>
        <w:t>月</w:t>
      </w:r>
      <w:r>
        <w:rPr>
          <w:rFonts w:hint="eastAsia"/>
          <w:bCs/>
          <w:color w:val="auto"/>
          <w:sz w:val="32"/>
          <w:szCs w:val="32"/>
          <w:lang w:val="en-US" w:eastAsia="zh-CN"/>
        </w:rPr>
        <w:t>5</w:t>
      </w:r>
      <w:r>
        <w:rPr>
          <w:rFonts w:hint="eastAsia"/>
          <w:bCs/>
          <w:color w:val="auto"/>
          <w:sz w:val="32"/>
          <w:szCs w:val="32"/>
        </w:rPr>
        <w:t>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ind w:firstLine="640" w:firstLineChars="200"/>
        <w:rPr>
          <w:rFonts w:hint="eastAsia"/>
          <w:bCs/>
          <w:color w:val="auto"/>
          <w:sz w:val="32"/>
          <w:szCs w:val="32"/>
        </w:rPr>
      </w:pPr>
      <w:r>
        <w:rPr>
          <w:rFonts w:hint="eastAsia"/>
          <w:bCs/>
          <w:color w:val="auto"/>
          <w:sz w:val="32"/>
          <w:szCs w:val="32"/>
        </w:rPr>
        <w:t>3</w:t>
      </w:r>
      <w:r>
        <w:rPr>
          <w:rFonts w:hint="eastAsia"/>
          <w:bCs/>
          <w:color w:val="auto"/>
          <w:sz w:val="32"/>
          <w:szCs w:val="32"/>
          <w:lang w:val="en-US" w:eastAsia="zh-CN"/>
        </w:rPr>
        <w:t>.</w:t>
      </w:r>
      <w:r>
        <w:rPr>
          <w:rFonts w:hint="eastAsia"/>
          <w:bCs/>
          <w:color w:val="auto"/>
          <w:sz w:val="32"/>
          <w:szCs w:val="32"/>
        </w:rPr>
        <w:t>分析评价：</w:t>
      </w:r>
    </w:p>
    <w:p>
      <w:pPr>
        <w:spacing w:line="360" w:lineRule="auto"/>
        <w:ind w:firstLine="640" w:firstLineChars="200"/>
        <w:rPr>
          <w:rFonts w:hint="eastAsia"/>
          <w:bCs/>
          <w:color w:val="auto"/>
          <w:sz w:val="32"/>
          <w:szCs w:val="32"/>
        </w:rPr>
      </w:pPr>
      <w:r>
        <w:rPr>
          <w:rFonts w:hint="eastAsia"/>
          <w:bCs/>
          <w:color w:val="auto"/>
          <w:sz w:val="32"/>
          <w:szCs w:val="32"/>
        </w:rPr>
        <w:t>202</w:t>
      </w:r>
      <w:r>
        <w:rPr>
          <w:rFonts w:hint="eastAsia"/>
          <w:bCs/>
          <w:color w:val="auto"/>
          <w:sz w:val="32"/>
          <w:szCs w:val="32"/>
          <w:lang w:val="en-US" w:eastAsia="zh-CN"/>
        </w:rPr>
        <w:t>3</w:t>
      </w:r>
      <w:r>
        <w:rPr>
          <w:rFonts w:hint="eastAsia"/>
          <w:bCs/>
          <w:color w:val="auto"/>
          <w:sz w:val="32"/>
          <w:szCs w:val="32"/>
        </w:rPr>
        <w:t>年</w:t>
      </w:r>
      <w:r>
        <w:rPr>
          <w:rFonts w:hint="eastAsia"/>
          <w:bCs/>
          <w:color w:val="auto"/>
          <w:sz w:val="32"/>
          <w:szCs w:val="32"/>
          <w:lang w:val="en-US" w:eastAsia="zh-CN"/>
        </w:rPr>
        <w:t>3</w:t>
      </w:r>
      <w:r>
        <w:rPr>
          <w:rFonts w:hint="eastAsia"/>
          <w:bCs/>
          <w:color w:val="auto"/>
          <w:sz w:val="32"/>
          <w:szCs w:val="32"/>
        </w:rPr>
        <w:t>月</w:t>
      </w:r>
      <w:r>
        <w:rPr>
          <w:rFonts w:hint="eastAsia"/>
          <w:bCs/>
          <w:color w:val="auto"/>
          <w:sz w:val="32"/>
          <w:szCs w:val="32"/>
          <w:lang w:val="en-US" w:eastAsia="zh-CN"/>
        </w:rPr>
        <w:t>15</w:t>
      </w:r>
      <w:r>
        <w:rPr>
          <w:rFonts w:hint="eastAsia"/>
          <w:bCs/>
          <w:color w:val="auto"/>
          <w:sz w:val="32"/>
          <w:szCs w:val="32"/>
        </w:rPr>
        <w:t>日-</w:t>
      </w:r>
      <w:r>
        <w:rPr>
          <w:rFonts w:hint="eastAsia"/>
          <w:bCs/>
          <w:color w:val="auto"/>
          <w:sz w:val="32"/>
          <w:szCs w:val="32"/>
          <w:lang w:val="en-US" w:eastAsia="zh-CN"/>
        </w:rPr>
        <w:t>3</w:t>
      </w:r>
      <w:r>
        <w:rPr>
          <w:rFonts w:hint="eastAsia"/>
          <w:bCs/>
          <w:color w:val="auto"/>
          <w:sz w:val="32"/>
          <w:szCs w:val="32"/>
        </w:rPr>
        <w:t>月</w:t>
      </w:r>
      <w:r>
        <w:rPr>
          <w:rFonts w:hint="eastAsia"/>
          <w:bCs/>
          <w:color w:val="auto"/>
          <w:sz w:val="32"/>
          <w:szCs w:val="32"/>
          <w:lang w:val="en-US" w:eastAsia="zh-CN"/>
        </w:rPr>
        <w:t>30</w:t>
      </w:r>
      <w:r>
        <w:rPr>
          <w:rFonts w:hint="eastAsia"/>
          <w:bCs/>
          <w:color w:val="auto"/>
          <w:sz w:val="32"/>
          <w:szCs w:val="32"/>
        </w:rPr>
        <w:t>日，评价组按照绩效评价的原则和规范，对取得的资料进行审查核实，对采集的数据进行分析，按照绩效评价指标评分表逐项进行打分、分析，汇总各方评价结果，综合分析并形成评价结论。</w:t>
      </w:r>
    </w:p>
    <w:p>
      <w:pPr>
        <w:pStyle w:val="4"/>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5"/>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eastAsia="zh-CN"/>
        </w:rPr>
        <w:t>因素分析法和公众评判法</w:t>
      </w:r>
      <w:r>
        <w:rPr>
          <w:rFonts w:hint="eastAsia"/>
          <w:color w:val="auto"/>
        </w:rPr>
        <w:t>，坚持</w:t>
      </w:r>
      <w:r>
        <w:rPr>
          <w:rFonts w:hint="eastAsia"/>
          <w:color w:val="auto"/>
          <w:lang w:eastAsia="zh-CN"/>
        </w:rPr>
        <w:t>计划标准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eastAsia="zh-CN"/>
        </w:rPr>
        <w:t>中央自然灾害救灾</w:t>
      </w:r>
      <w:r>
        <w:rPr>
          <w:rFonts w:hint="eastAsia"/>
          <w:color w:val="auto"/>
        </w:rPr>
        <w:t>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5"/>
        <w:spacing w:line="360" w:lineRule="auto"/>
        <w:rPr>
          <w:rFonts w:hint="eastAsia"/>
          <w:color w:val="FF0000"/>
        </w:rPr>
      </w:pPr>
      <w:bookmarkStart w:id="9" w:name="_Toc68703836"/>
      <w:r>
        <w:rPr>
          <w:rFonts w:hint="eastAsia" w:ascii="仿宋_GB2312" w:eastAsia="仿宋_GB2312"/>
          <w:b w:val="0"/>
          <w:bCs w:val="0"/>
        </w:rPr>
        <w:t>（二）评价结论</w:t>
      </w:r>
      <w:bookmarkEnd w:id="9"/>
    </w:p>
    <w:p>
      <w:pPr>
        <w:spacing w:line="360" w:lineRule="auto"/>
        <w:ind w:firstLine="640" w:firstLineChars="200"/>
        <w:rPr>
          <w:rFonts w:hint="eastAsia"/>
          <w:bCs/>
          <w:color w:val="auto"/>
          <w:sz w:val="32"/>
          <w:szCs w:val="32"/>
          <w:lang w:eastAsia="zh-CN"/>
        </w:rPr>
      </w:pPr>
      <w:r>
        <w:rPr>
          <w:rFonts w:hint="eastAsia"/>
          <w:bCs/>
          <w:color w:val="auto"/>
          <w:sz w:val="32"/>
          <w:szCs w:val="32"/>
        </w:rPr>
        <w:t>本项目的项目决策、项目过程、项目产出、项目效益均达到了预期要求，最终</w:t>
      </w:r>
      <w:r>
        <w:rPr>
          <w:rFonts w:hint="eastAsia"/>
          <w:bCs/>
          <w:color w:val="auto"/>
          <w:sz w:val="32"/>
          <w:szCs w:val="32"/>
          <w:lang w:val="en-US" w:eastAsia="zh-CN"/>
        </w:rPr>
        <w:t>评</w:t>
      </w:r>
      <w:r>
        <w:rPr>
          <w:rFonts w:hint="eastAsia"/>
          <w:bCs/>
          <w:color w:val="auto"/>
          <w:sz w:val="32"/>
          <w:szCs w:val="32"/>
        </w:rPr>
        <w:t>分为100分，</w:t>
      </w:r>
      <w:r>
        <w:rPr>
          <w:rFonts w:hint="eastAsia"/>
          <w:bCs/>
          <w:color w:val="auto"/>
          <w:sz w:val="32"/>
          <w:szCs w:val="32"/>
          <w:lang w:val="en-US" w:eastAsia="zh-CN"/>
        </w:rPr>
        <w:t>评价等级为“优”</w:t>
      </w:r>
      <w:r>
        <w:rPr>
          <w:rFonts w:hint="eastAsia"/>
          <w:bCs/>
          <w:color w:val="auto"/>
          <w:sz w:val="32"/>
          <w:szCs w:val="32"/>
        </w:rPr>
        <w:t>项目达成年度指标</w:t>
      </w:r>
      <w:r>
        <w:rPr>
          <w:rFonts w:hint="eastAsia"/>
          <w:bCs/>
          <w:color w:val="auto"/>
          <w:sz w:val="32"/>
          <w:szCs w:val="32"/>
          <w:lang w:eastAsia="zh-CN"/>
        </w:rPr>
        <w:t>。</w:t>
      </w:r>
      <w:bookmarkStart w:id="10" w:name="_Toc68703837"/>
    </w:p>
    <w:p>
      <w:pPr>
        <w:pStyle w:val="4"/>
        <w:spacing w:line="360" w:lineRule="auto"/>
        <w:rPr>
          <w:rFonts w:hint="eastAsia" w:ascii="宋体" w:hAnsi="宋体" w:eastAsia="宋体"/>
          <w:sz w:val="32"/>
          <w:szCs w:val="32"/>
        </w:rPr>
      </w:pPr>
      <w:r>
        <w:rPr>
          <w:rFonts w:hint="eastAsia" w:ascii="宋体" w:hAnsi="宋体" w:eastAsia="宋体"/>
          <w:sz w:val="32"/>
          <w:szCs w:val="32"/>
        </w:rPr>
        <w:t>四、绩效评价指标分析</w:t>
      </w:r>
      <w:bookmarkEnd w:id="10"/>
    </w:p>
    <w:p>
      <w:pPr>
        <w:spacing w:line="360" w:lineRule="auto"/>
        <w:ind w:firstLine="600" w:firstLineChars="200"/>
        <w:rPr>
          <w:rFonts w:hint="eastAsia"/>
          <w:color w:val="auto"/>
        </w:rPr>
      </w:pPr>
      <w:bookmarkStart w:id="11" w:name="_Toc68703838"/>
      <w:r>
        <w:rPr>
          <w:rFonts w:hint="eastAsia" w:ascii="仿宋_GB2312" w:eastAsia="仿宋_GB2312"/>
          <w:b w:val="0"/>
          <w:bCs w:val="0"/>
        </w:rPr>
        <w:t>（一</w:t>
      </w:r>
      <w:r>
        <w:rPr>
          <w:rFonts w:hint="eastAsia"/>
          <w:color w:val="auto"/>
        </w:rPr>
        <w:t>）项目决策情况。</w:t>
      </w:r>
      <w:bookmarkEnd w:id="11"/>
    </w:p>
    <w:p>
      <w:pPr>
        <w:spacing w:line="360" w:lineRule="auto"/>
        <w:ind w:firstLine="640" w:firstLineChars="200"/>
        <w:rPr>
          <w:rFonts w:hint="eastAsia"/>
          <w:bCs/>
          <w:color w:val="auto"/>
          <w:sz w:val="32"/>
          <w:szCs w:val="32"/>
        </w:rPr>
      </w:pPr>
      <w:r>
        <w:rPr>
          <w:rFonts w:hint="eastAsia"/>
          <w:bCs/>
          <w:color w:val="auto"/>
          <w:sz w:val="32"/>
          <w:szCs w:val="32"/>
        </w:rPr>
        <w:t>1</w:t>
      </w:r>
      <w:r>
        <w:rPr>
          <w:rFonts w:hint="eastAsia"/>
          <w:bCs/>
          <w:color w:val="auto"/>
          <w:sz w:val="32"/>
          <w:szCs w:val="32"/>
          <w:lang w:val="en-US" w:eastAsia="zh-CN"/>
        </w:rPr>
        <w:t>.</w:t>
      </w:r>
      <w:r>
        <w:rPr>
          <w:rFonts w:hint="eastAsia"/>
          <w:bCs/>
          <w:color w:val="auto"/>
          <w:sz w:val="32"/>
          <w:szCs w:val="32"/>
        </w:rPr>
        <w:t>立项依据充分性</w:t>
      </w:r>
    </w:p>
    <w:p>
      <w:pPr>
        <w:spacing w:line="360" w:lineRule="auto"/>
        <w:ind w:firstLine="640" w:firstLineChars="200"/>
        <w:rPr>
          <w:rFonts w:hint="eastAsia"/>
          <w:bCs/>
          <w:color w:val="auto"/>
          <w:sz w:val="32"/>
          <w:szCs w:val="32"/>
          <w:lang w:eastAsia="zh-CN"/>
        </w:rPr>
      </w:pPr>
      <w:r>
        <w:rPr>
          <w:rFonts w:hint="eastAsia"/>
          <w:bCs/>
          <w:color w:val="auto"/>
          <w:sz w:val="32"/>
          <w:szCs w:val="32"/>
        </w:rPr>
        <w:t>项目立项依据</w:t>
      </w:r>
      <w:r>
        <w:rPr>
          <w:rFonts w:hint="eastAsia"/>
          <w:bCs/>
          <w:color w:val="auto"/>
          <w:sz w:val="32"/>
          <w:szCs w:val="32"/>
          <w:lang w:eastAsia="zh-CN"/>
        </w:rPr>
        <w:t>是</w:t>
      </w:r>
      <w:r>
        <w:rPr>
          <w:rFonts w:hint="eastAsia"/>
          <w:bCs/>
          <w:color w:val="auto"/>
          <w:sz w:val="32"/>
          <w:szCs w:val="32"/>
        </w:rPr>
        <w:t>《关于下达 2022 年中央自然灾害救灾资金预算的通知文件》按照《中央自然灾害救灾资金管理暂行办法》(财建〔2020〕245 号)等相关政策规定，</w:t>
      </w:r>
      <w:r>
        <w:rPr>
          <w:rFonts w:hint="eastAsia"/>
          <w:bCs/>
          <w:color w:val="auto"/>
          <w:sz w:val="32"/>
          <w:szCs w:val="32"/>
          <w:lang w:eastAsia="zh-CN"/>
        </w:rPr>
        <w:t>在符合国家法律法规、国民经济发展规划和相关政策的情况下，根据本部门职责范围，确立了自然灾害救灾属于履职职责。符合地方事权支出责任划分，未与相关部门产生同类项目重复支出的情况。</w:t>
      </w:r>
    </w:p>
    <w:p>
      <w:pPr>
        <w:spacing w:line="360" w:lineRule="auto"/>
        <w:ind w:firstLine="640" w:firstLineChars="200"/>
        <w:rPr>
          <w:rFonts w:hint="eastAsia"/>
          <w:bCs/>
          <w:color w:val="auto"/>
          <w:sz w:val="32"/>
          <w:szCs w:val="32"/>
        </w:rPr>
      </w:pPr>
      <w:r>
        <w:rPr>
          <w:rFonts w:hint="eastAsia"/>
          <w:bCs/>
          <w:color w:val="auto"/>
          <w:sz w:val="32"/>
          <w:szCs w:val="32"/>
        </w:rPr>
        <w:t>2</w:t>
      </w:r>
      <w:r>
        <w:rPr>
          <w:rFonts w:hint="eastAsia"/>
          <w:bCs/>
          <w:color w:val="auto"/>
          <w:sz w:val="32"/>
          <w:szCs w:val="32"/>
          <w:lang w:val="en-US" w:eastAsia="zh-CN"/>
        </w:rPr>
        <w:t>.</w:t>
      </w:r>
      <w:r>
        <w:rPr>
          <w:rFonts w:hint="eastAsia"/>
          <w:bCs/>
          <w:color w:val="auto"/>
          <w:sz w:val="32"/>
          <w:szCs w:val="32"/>
        </w:rPr>
        <w:t>立项程序规范性</w:t>
      </w:r>
    </w:p>
    <w:p>
      <w:pPr>
        <w:spacing w:line="360" w:lineRule="auto"/>
        <w:ind w:firstLine="640" w:firstLineChars="200"/>
        <w:rPr>
          <w:rFonts w:hint="eastAsia"/>
          <w:bCs/>
          <w:color w:val="auto"/>
          <w:sz w:val="32"/>
          <w:szCs w:val="32"/>
          <w:lang w:eastAsia="zh-CN"/>
        </w:rPr>
      </w:pPr>
      <w:r>
        <w:rPr>
          <w:rFonts w:hint="eastAsia"/>
          <w:bCs/>
          <w:color w:val="auto"/>
          <w:sz w:val="32"/>
          <w:szCs w:val="32"/>
        </w:rPr>
        <w:t>项目按照《中央自然灾害救灾资金管理暂行办法》(财建〔2020〕245 号)等相关政策规定，在</w:t>
      </w:r>
      <w:r>
        <w:rPr>
          <w:rFonts w:hint="eastAsia"/>
          <w:bCs/>
          <w:color w:val="auto"/>
          <w:sz w:val="32"/>
          <w:szCs w:val="32"/>
          <w:lang w:eastAsia="zh-CN"/>
        </w:rPr>
        <w:t>前期</w:t>
      </w:r>
      <w:r>
        <w:rPr>
          <w:rFonts w:hint="eastAsia"/>
          <w:bCs/>
          <w:color w:val="auto"/>
          <w:sz w:val="32"/>
          <w:szCs w:val="32"/>
        </w:rPr>
        <w:t>入户</w:t>
      </w:r>
      <w:r>
        <w:rPr>
          <w:rFonts w:hint="eastAsia"/>
          <w:bCs/>
          <w:color w:val="auto"/>
          <w:sz w:val="32"/>
          <w:szCs w:val="32"/>
          <w:lang w:val="en-US" w:eastAsia="zh-CN"/>
        </w:rPr>
        <w:t>摸底调查</w:t>
      </w:r>
      <w:r>
        <w:rPr>
          <w:rFonts w:hint="eastAsia"/>
          <w:bCs/>
          <w:color w:val="auto"/>
          <w:sz w:val="32"/>
          <w:szCs w:val="32"/>
        </w:rPr>
        <w:t>的基础上，细化责任落实，明确救助标准</w:t>
      </w:r>
      <w:r>
        <w:rPr>
          <w:rFonts w:hint="eastAsia"/>
          <w:bCs/>
          <w:color w:val="auto"/>
          <w:sz w:val="32"/>
          <w:szCs w:val="32"/>
          <w:lang w:eastAsia="zh-CN"/>
        </w:rPr>
        <w:t>。对困难灾害受灾情况进行摸排、核对、走访等</w:t>
      </w:r>
      <w:r>
        <w:rPr>
          <w:rFonts w:hint="eastAsia"/>
          <w:bCs/>
          <w:color w:val="auto"/>
          <w:sz w:val="32"/>
          <w:szCs w:val="32"/>
        </w:rPr>
        <w:t>规定的程序申请设立；</w:t>
      </w:r>
      <w:r>
        <w:rPr>
          <w:rFonts w:hint="eastAsia"/>
          <w:bCs/>
          <w:color w:val="auto"/>
          <w:sz w:val="32"/>
          <w:szCs w:val="32"/>
          <w:lang w:eastAsia="zh-CN"/>
        </w:rPr>
        <w:t>在经过人数核实，系统上报，做到</w:t>
      </w:r>
      <w:r>
        <w:rPr>
          <w:rFonts w:hint="eastAsia"/>
          <w:bCs/>
          <w:color w:val="auto"/>
          <w:sz w:val="32"/>
          <w:szCs w:val="32"/>
        </w:rPr>
        <w:t>审批文件、材料符合相关要求；事前经过必要的集体决策</w:t>
      </w:r>
      <w:r>
        <w:rPr>
          <w:rFonts w:hint="eastAsia"/>
          <w:bCs/>
          <w:color w:val="auto"/>
          <w:sz w:val="32"/>
          <w:szCs w:val="32"/>
          <w:lang w:eastAsia="zh-CN"/>
        </w:rPr>
        <w:t>进行审议、调查，确立发放补助标准。</w:t>
      </w:r>
    </w:p>
    <w:p>
      <w:pPr>
        <w:spacing w:line="360" w:lineRule="auto"/>
        <w:ind w:firstLine="640" w:firstLineChars="200"/>
        <w:rPr>
          <w:rFonts w:hint="eastAsia"/>
          <w:bCs/>
          <w:color w:val="auto"/>
          <w:sz w:val="32"/>
          <w:szCs w:val="32"/>
        </w:rPr>
      </w:pPr>
      <w:r>
        <w:rPr>
          <w:rFonts w:hint="eastAsia"/>
          <w:bCs/>
          <w:color w:val="auto"/>
          <w:sz w:val="32"/>
          <w:szCs w:val="32"/>
        </w:rPr>
        <w:t>3</w:t>
      </w:r>
      <w:r>
        <w:rPr>
          <w:rFonts w:hint="eastAsia"/>
          <w:bCs/>
          <w:color w:val="auto"/>
          <w:sz w:val="32"/>
          <w:szCs w:val="32"/>
          <w:lang w:val="en-US" w:eastAsia="zh-CN"/>
        </w:rPr>
        <w:t>.</w:t>
      </w:r>
      <w:r>
        <w:rPr>
          <w:rFonts w:hint="eastAsia"/>
          <w:bCs/>
          <w:color w:val="auto"/>
          <w:sz w:val="32"/>
          <w:szCs w:val="32"/>
        </w:rPr>
        <w:t>绩效目标合理性</w:t>
      </w:r>
    </w:p>
    <w:p>
      <w:pPr>
        <w:spacing w:line="360" w:lineRule="auto"/>
        <w:ind w:firstLine="640" w:firstLineChars="200"/>
        <w:rPr>
          <w:rFonts w:hint="eastAsia"/>
          <w:bCs/>
          <w:color w:val="auto"/>
          <w:sz w:val="32"/>
          <w:szCs w:val="32"/>
        </w:rPr>
      </w:pPr>
      <w:r>
        <w:rPr>
          <w:rFonts w:hint="eastAsia"/>
          <w:bCs/>
          <w:color w:val="auto"/>
          <w:sz w:val="32"/>
          <w:szCs w:val="32"/>
          <w:lang w:eastAsia="zh-CN"/>
        </w:rPr>
        <w:t>中央自然灾害救灾资金</w:t>
      </w:r>
      <w:r>
        <w:rPr>
          <w:rFonts w:hint="eastAsia"/>
          <w:bCs/>
          <w:color w:val="auto"/>
          <w:sz w:val="32"/>
          <w:szCs w:val="32"/>
        </w:rPr>
        <w:t>项目设立了项目绩效目标，</w:t>
      </w:r>
      <w:r>
        <w:rPr>
          <w:rFonts w:hint="eastAsia"/>
          <w:bCs/>
          <w:color w:val="auto"/>
          <w:sz w:val="32"/>
          <w:szCs w:val="32"/>
          <w:lang w:val="en-US" w:eastAsia="zh-CN"/>
        </w:rPr>
        <w:t>各乡镇（中心）按照“分类救助、重点救助、精准救助”原则，将需救助人员按因灾造成住房倒塌损坏、农作物减产绝收、家庭财产损失、致伤致残等情况实行分类排队，综合考虑救助对象受灾情况、家庭困难程度和生产自救能力，突出救助重点，优先做好受灾群众中的倒房重建户、建档立卡贫困户、受灾低保对象、分散供养特困人员、散居孤儿、留守老人、留守儿童及残疾人等特殊群体的救助，并视情提高救助标准，确保受灾困难群众安全过冬、温暖过节。结合救助资金总量、受灾人员困难程度、需救助人数等因素，在前期入户摸底调查的基础上，细化责任落实，明确救助标准等，与此项工作</w:t>
      </w:r>
      <w:r>
        <w:rPr>
          <w:rFonts w:hint="eastAsia"/>
          <w:bCs/>
          <w:color w:val="auto"/>
          <w:sz w:val="32"/>
          <w:szCs w:val="32"/>
        </w:rPr>
        <w:t>具有相关性，项目的预期产出效益和效果也均能符合正常的业绩水平，并且与预算确定的项目投资额或资金量相匹配。</w:t>
      </w:r>
    </w:p>
    <w:p>
      <w:pPr>
        <w:spacing w:line="360" w:lineRule="auto"/>
        <w:ind w:firstLine="640" w:firstLineChars="200"/>
        <w:rPr>
          <w:rFonts w:hint="eastAsia"/>
          <w:bCs/>
          <w:color w:val="auto"/>
          <w:sz w:val="32"/>
          <w:szCs w:val="32"/>
        </w:rPr>
      </w:pPr>
      <w:r>
        <w:rPr>
          <w:rFonts w:hint="eastAsia"/>
          <w:bCs/>
          <w:color w:val="auto"/>
          <w:sz w:val="32"/>
          <w:szCs w:val="32"/>
        </w:rPr>
        <w:t>4</w:t>
      </w:r>
      <w:r>
        <w:rPr>
          <w:rFonts w:hint="eastAsia"/>
          <w:bCs/>
          <w:color w:val="auto"/>
          <w:sz w:val="32"/>
          <w:szCs w:val="32"/>
          <w:lang w:val="en-US" w:eastAsia="zh-CN"/>
        </w:rPr>
        <w:t>.</w:t>
      </w:r>
      <w:r>
        <w:rPr>
          <w:rFonts w:hint="eastAsia"/>
          <w:bCs/>
          <w:color w:val="auto"/>
          <w:sz w:val="32"/>
          <w:szCs w:val="32"/>
        </w:rPr>
        <w:t>绩效指标明确性</w:t>
      </w:r>
    </w:p>
    <w:p>
      <w:pPr>
        <w:spacing w:line="360" w:lineRule="auto"/>
        <w:ind w:firstLine="640" w:firstLineChars="200"/>
        <w:rPr>
          <w:rFonts w:hint="eastAsia"/>
          <w:bCs/>
          <w:color w:val="auto"/>
          <w:sz w:val="32"/>
          <w:szCs w:val="32"/>
        </w:rPr>
      </w:pPr>
      <w:bookmarkStart w:id="12" w:name="_Hlk68699917"/>
      <w:r>
        <w:rPr>
          <w:rFonts w:hint="eastAsia"/>
          <w:bCs/>
          <w:color w:val="auto"/>
          <w:sz w:val="32"/>
          <w:szCs w:val="32"/>
          <w:lang w:eastAsia="zh-CN"/>
        </w:rPr>
        <w:t>中央自然灾害救灾</w:t>
      </w:r>
      <w:r>
        <w:rPr>
          <w:rFonts w:hint="eastAsia"/>
          <w:bCs/>
          <w:color w:val="auto"/>
          <w:sz w:val="32"/>
          <w:szCs w:val="32"/>
        </w:rPr>
        <w:t>项目将项目绩效目标细化分解为具体的绩效指标，一级指标共</w:t>
      </w:r>
      <w:r>
        <w:rPr>
          <w:rFonts w:hint="eastAsia"/>
          <w:bCs/>
          <w:color w:val="auto"/>
          <w:sz w:val="32"/>
          <w:szCs w:val="32"/>
          <w:lang w:val="en-US" w:eastAsia="zh-CN"/>
        </w:rPr>
        <w:t>3</w:t>
      </w:r>
      <w:r>
        <w:rPr>
          <w:rFonts w:hint="eastAsia"/>
          <w:bCs/>
          <w:color w:val="auto"/>
          <w:sz w:val="32"/>
          <w:szCs w:val="32"/>
        </w:rPr>
        <w:t>条，二级指标共</w:t>
      </w:r>
      <w:r>
        <w:rPr>
          <w:rFonts w:hint="eastAsia"/>
          <w:bCs/>
          <w:color w:val="auto"/>
          <w:sz w:val="32"/>
          <w:szCs w:val="32"/>
          <w:lang w:val="en-US" w:eastAsia="zh-CN"/>
        </w:rPr>
        <w:t>6</w:t>
      </w:r>
      <w:r>
        <w:rPr>
          <w:rFonts w:hint="eastAsia"/>
          <w:bCs/>
          <w:color w:val="auto"/>
          <w:sz w:val="32"/>
          <w:szCs w:val="32"/>
        </w:rPr>
        <w:t>条，三级指标共</w:t>
      </w:r>
      <w:r>
        <w:rPr>
          <w:rFonts w:hint="eastAsia"/>
          <w:bCs/>
          <w:color w:val="auto"/>
          <w:sz w:val="32"/>
          <w:szCs w:val="32"/>
          <w:lang w:val="en-US" w:eastAsia="zh-CN"/>
        </w:rPr>
        <w:t>8</w:t>
      </w:r>
      <w:r>
        <w:rPr>
          <w:rFonts w:hint="eastAsia"/>
          <w:bCs/>
          <w:color w:val="auto"/>
          <w:sz w:val="32"/>
          <w:szCs w:val="32"/>
        </w:rPr>
        <w:t>条，其中量化指标条数共</w:t>
      </w:r>
      <w:r>
        <w:rPr>
          <w:rFonts w:hint="eastAsia"/>
          <w:bCs/>
          <w:color w:val="auto"/>
          <w:sz w:val="32"/>
          <w:szCs w:val="32"/>
          <w:lang w:val="en-US" w:eastAsia="zh-CN"/>
        </w:rPr>
        <w:t>7</w:t>
      </w:r>
      <w:r>
        <w:rPr>
          <w:rFonts w:hint="eastAsia"/>
          <w:bCs/>
          <w:color w:val="auto"/>
          <w:sz w:val="32"/>
          <w:szCs w:val="32"/>
        </w:rPr>
        <w:t>条，所有绩效指标均通过清晰、可衡量的指标值予以体现，并且做到了与项目目标任务数或计划数相对应。</w:t>
      </w:r>
      <w:bookmarkEnd w:id="12"/>
    </w:p>
    <w:p>
      <w:pPr>
        <w:spacing w:line="360" w:lineRule="auto"/>
        <w:ind w:firstLine="640" w:firstLineChars="200"/>
        <w:rPr>
          <w:rFonts w:hint="eastAsia"/>
          <w:bCs/>
          <w:color w:val="auto"/>
          <w:sz w:val="32"/>
          <w:szCs w:val="32"/>
        </w:rPr>
      </w:pPr>
      <w:r>
        <w:rPr>
          <w:rFonts w:hint="eastAsia"/>
          <w:bCs/>
          <w:color w:val="auto"/>
          <w:sz w:val="32"/>
          <w:szCs w:val="32"/>
        </w:rPr>
        <w:t>5</w:t>
      </w:r>
      <w:r>
        <w:rPr>
          <w:rFonts w:hint="eastAsia"/>
          <w:bCs/>
          <w:color w:val="auto"/>
          <w:sz w:val="32"/>
          <w:szCs w:val="32"/>
          <w:lang w:val="en-US" w:eastAsia="zh-CN"/>
        </w:rPr>
        <w:t>.</w:t>
      </w:r>
      <w:r>
        <w:rPr>
          <w:rFonts w:hint="eastAsia"/>
          <w:bCs/>
          <w:color w:val="auto"/>
          <w:sz w:val="32"/>
          <w:szCs w:val="32"/>
        </w:rPr>
        <w:t>预算编制科学性</w:t>
      </w:r>
    </w:p>
    <w:p>
      <w:pPr>
        <w:spacing w:line="360" w:lineRule="auto"/>
        <w:ind w:firstLine="640" w:firstLineChars="200"/>
        <w:rPr>
          <w:rFonts w:hint="eastAsia"/>
          <w:bCs/>
          <w:color w:val="auto"/>
          <w:sz w:val="32"/>
          <w:szCs w:val="32"/>
          <w:lang w:eastAsia="zh-CN"/>
        </w:rPr>
      </w:pPr>
      <w:r>
        <w:rPr>
          <w:rFonts w:hint="eastAsia"/>
          <w:bCs/>
          <w:color w:val="auto"/>
          <w:sz w:val="32"/>
          <w:szCs w:val="32"/>
          <w:lang w:eastAsia="zh-CN"/>
        </w:rPr>
        <w:t>中央自然灾害救灾</w:t>
      </w:r>
      <w:r>
        <w:rPr>
          <w:rFonts w:hint="eastAsia"/>
          <w:bCs/>
          <w:color w:val="auto"/>
          <w:sz w:val="32"/>
          <w:szCs w:val="32"/>
        </w:rPr>
        <w:t>项目</w:t>
      </w:r>
      <w:r>
        <w:rPr>
          <w:rFonts w:hint="eastAsia"/>
          <w:bCs/>
          <w:color w:val="auto"/>
          <w:sz w:val="32"/>
          <w:szCs w:val="32"/>
          <w:lang w:eastAsia="zh-CN"/>
        </w:rPr>
        <w:t>经过自治区自然灾害系统灾情数据上报，上报受灾群众数据，根据项目内容申请预算项目资金，预算的测算依据充分，按照发放补助标准编制，预算确定的项目资金量与工作任务相匹配。</w:t>
      </w:r>
    </w:p>
    <w:p>
      <w:pPr>
        <w:spacing w:line="360" w:lineRule="auto"/>
        <w:ind w:firstLine="640" w:firstLineChars="200"/>
        <w:rPr>
          <w:rFonts w:hint="eastAsia"/>
          <w:bCs/>
          <w:color w:val="auto"/>
          <w:sz w:val="32"/>
          <w:szCs w:val="32"/>
        </w:rPr>
      </w:pPr>
      <w:r>
        <w:rPr>
          <w:rFonts w:hint="eastAsia"/>
          <w:bCs/>
          <w:color w:val="auto"/>
          <w:sz w:val="32"/>
          <w:szCs w:val="32"/>
        </w:rPr>
        <w:t>6</w:t>
      </w:r>
      <w:r>
        <w:rPr>
          <w:rFonts w:hint="eastAsia"/>
          <w:bCs/>
          <w:color w:val="auto"/>
          <w:sz w:val="32"/>
          <w:szCs w:val="32"/>
          <w:lang w:val="en-US" w:eastAsia="zh-CN"/>
        </w:rPr>
        <w:t>.</w:t>
      </w:r>
      <w:r>
        <w:rPr>
          <w:rFonts w:hint="eastAsia"/>
          <w:bCs/>
          <w:color w:val="auto"/>
          <w:sz w:val="32"/>
          <w:szCs w:val="32"/>
        </w:rPr>
        <w:t>资金分配合理性</w:t>
      </w:r>
    </w:p>
    <w:p>
      <w:pPr>
        <w:spacing w:line="360" w:lineRule="auto"/>
        <w:ind w:firstLine="640" w:firstLineChars="200"/>
        <w:rPr>
          <w:rFonts w:hint="default"/>
          <w:bCs/>
          <w:color w:val="auto"/>
          <w:sz w:val="32"/>
          <w:szCs w:val="32"/>
          <w:lang w:val="en-US"/>
        </w:rPr>
      </w:pPr>
      <w:r>
        <w:rPr>
          <w:rFonts w:hint="eastAsia"/>
          <w:bCs/>
          <w:color w:val="auto"/>
          <w:sz w:val="32"/>
          <w:szCs w:val="32"/>
        </w:rPr>
        <w:t>按照《中央自然灾害救灾资金管理暂行办法》(财建〔2020〕245 号)等相关政策规定，</w:t>
      </w:r>
      <w:r>
        <w:rPr>
          <w:rFonts w:hint="eastAsia"/>
          <w:bCs/>
          <w:color w:val="auto"/>
          <w:sz w:val="32"/>
          <w:szCs w:val="32"/>
          <w:lang w:eastAsia="zh-CN"/>
        </w:rPr>
        <w:t>202</w:t>
      </w:r>
      <w:r>
        <w:rPr>
          <w:rFonts w:hint="eastAsia"/>
          <w:bCs/>
          <w:color w:val="auto"/>
          <w:sz w:val="32"/>
          <w:szCs w:val="32"/>
          <w:lang w:val="en-US" w:eastAsia="zh-CN"/>
        </w:rPr>
        <w:t>2</w:t>
      </w:r>
      <w:r>
        <w:rPr>
          <w:rFonts w:hint="eastAsia"/>
          <w:bCs/>
          <w:color w:val="auto"/>
          <w:sz w:val="32"/>
          <w:szCs w:val="32"/>
          <w:lang w:eastAsia="zh-CN"/>
        </w:rPr>
        <w:t>年冬春救灾资金按照困难户人均59</w:t>
      </w:r>
      <w:r>
        <w:rPr>
          <w:rFonts w:hint="eastAsia"/>
          <w:bCs/>
          <w:color w:val="auto"/>
          <w:sz w:val="32"/>
          <w:szCs w:val="32"/>
          <w:lang w:val="en-US" w:eastAsia="zh-CN"/>
        </w:rPr>
        <w:t>9</w:t>
      </w:r>
      <w:r>
        <w:rPr>
          <w:rFonts w:hint="eastAsia"/>
          <w:bCs/>
          <w:color w:val="auto"/>
          <w:sz w:val="32"/>
          <w:szCs w:val="32"/>
          <w:lang w:eastAsia="zh-CN"/>
        </w:rPr>
        <w:t>元，其他困难户人均3</w:t>
      </w:r>
      <w:r>
        <w:rPr>
          <w:rFonts w:hint="eastAsia"/>
          <w:bCs/>
          <w:color w:val="auto"/>
          <w:sz w:val="32"/>
          <w:szCs w:val="32"/>
          <w:lang w:val="en-US" w:eastAsia="zh-CN"/>
        </w:rPr>
        <w:t>24</w:t>
      </w:r>
      <w:r>
        <w:rPr>
          <w:rFonts w:hint="eastAsia"/>
          <w:bCs/>
          <w:color w:val="auto"/>
          <w:sz w:val="32"/>
          <w:szCs w:val="32"/>
          <w:lang w:eastAsia="zh-CN"/>
        </w:rPr>
        <w:t>元进行分配。各乡镇（中心）也可结合受灾户实际情况分档差别化进行分配，但乡镇（中心）必须按照困难户每人不低于500元，其他困难户每人不低于300元补助金进行发放。按照已上报的需救助数量</w:t>
      </w:r>
      <w:r>
        <w:rPr>
          <w:rFonts w:hint="eastAsia"/>
          <w:bCs/>
          <w:color w:val="auto"/>
          <w:sz w:val="32"/>
          <w:szCs w:val="32"/>
        </w:rPr>
        <w:t>认真做好</w:t>
      </w:r>
      <w:r>
        <w:rPr>
          <w:rFonts w:hint="eastAsia"/>
          <w:bCs/>
          <w:color w:val="auto"/>
          <w:sz w:val="32"/>
          <w:szCs w:val="32"/>
          <w:lang w:eastAsia="zh-CN"/>
        </w:rPr>
        <w:t>工作</w:t>
      </w:r>
      <w:r>
        <w:rPr>
          <w:rFonts w:hint="eastAsia"/>
          <w:bCs/>
          <w:color w:val="auto"/>
          <w:sz w:val="32"/>
          <w:szCs w:val="32"/>
        </w:rPr>
        <w:t>台账，</w:t>
      </w:r>
      <w:r>
        <w:rPr>
          <w:rFonts w:hint="eastAsia"/>
          <w:bCs/>
          <w:color w:val="auto"/>
          <w:sz w:val="32"/>
          <w:szCs w:val="32"/>
          <w:lang w:val="en-US" w:eastAsia="zh-CN"/>
        </w:rPr>
        <w:t>做实做细救助工作</w:t>
      </w:r>
      <w:r>
        <w:rPr>
          <w:rFonts w:hint="eastAsia"/>
          <w:bCs/>
          <w:color w:val="auto"/>
          <w:sz w:val="32"/>
          <w:szCs w:val="32"/>
        </w:rPr>
        <w:t>实施方案，做到目标明确、对象清楚、方法科学</w:t>
      </w:r>
      <w:r>
        <w:rPr>
          <w:rFonts w:hint="eastAsia"/>
          <w:bCs/>
          <w:color w:val="auto"/>
          <w:sz w:val="32"/>
          <w:szCs w:val="32"/>
          <w:lang w:eastAsia="zh-CN"/>
        </w:rPr>
        <w:t>、</w:t>
      </w:r>
      <w:r>
        <w:rPr>
          <w:rFonts w:hint="eastAsia"/>
          <w:bCs/>
          <w:color w:val="auto"/>
          <w:sz w:val="32"/>
          <w:szCs w:val="32"/>
        </w:rPr>
        <w:t>切实可行</w:t>
      </w:r>
      <w:r>
        <w:rPr>
          <w:rFonts w:hint="eastAsia"/>
          <w:bCs/>
          <w:color w:val="auto"/>
          <w:sz w:val="32"/>
          <w:szCs w:val="32"/>
          <w:lang w:eastAsia="zh-CN"/>
        </w:rPr>
        <w:t>。确定发放人数</w:t>
      </w:r>
      <w:r>
        <w:rPr>
          <w:rFonts w:hint="eastAsia"/>
          <w:bCs/>
          <w:color w:val="auto"/>
          <w:sz w:val="32"/>
          <w:szCs w:val="32"/>
          <w:lang w:val="en-US" w:eastAsia="zh-CN"/>
        </w:rPr>
        <w:t>1617人，按人均标准350元每人发放。</w:t>
      </w:r>
    </w:p>
    <w:p>
      <w:pPr>
        <w:spacing w:line="360" w:lineRule="auto"/>
        <w:ind w:firstLine="640" w:firstLineChars="200"/>
        <w:rPr>
          <w:rFonts w:hint="eastAsia"/>
          <w:bCs/>
          <w:color w:val="auto"/>
          <w:sz w:val="32"/>
          <w:szCs w:val="32"/>
        </w:rPr>
      </w:pPr>
      <w:bookmarkStart w:id="13" w:name="_Toc68703839"/>
      <w:r>
        <w:rPr>
          <w:rFonts w:hint="eastAsia"/>
          <w:bCs/>
          <w:color w:val="auto"/>
          <w:sz w:val="32"/>
          <w:szCs w:val="32"/>
        </w:rPr>
        <w:t>（二）项目过程情况。</w:t>
      </w:r>
      <w:bookmarkEnd w:id="13"/>
    </w:p>
    <w:p>
      <w:pPr>
        <w:spacing w:line="360" w:lineRule="auto"/>
        <w:ind w:firstLine="640" w:firstLineChars="200"/>
        <w:rPr>
          <w:rFonts w:hint="eastAsia"/>
          <w:bCs/>
          <w:color w:val="auto"/>
          <w:sz w:val="32"/>
          <w:szCs w:val="32"/>
        </w:rPr>
      </w:pPr>
      <w:r>
        <w:rPr>
          <w:rFonts w:hint="eastAsia"/>
          <w:bCs/>
          <w:color w:val="auto"/>
          <w:sz w:val="32"/>
          <w:szCs w:val="32"/>
        </w:rPr>
        <w:t>1</w:t>
      </w:r>
      <w:r>
        <w:rPr>
          <w:rFonts w:hint="eastAsia"/>
          <w:bCs/>
          <w:color w:val="auto"/>
          <w:sz w:val="32"/>
          <w:szCs w:val="32"/>
          <w:lang w:val="en-US" w:eastAsia="zh-CN"/>
        </w:rPr>
        <w:t>.</w:t>
      </w:r>
      <w:r>
        <w:rPr>
          <w:rFonts w:hint="eastAsia"/>
          <w:bCs/>
          <w:color w:val="auto"/>
          <w:sz w:val="32"/>
          <w:szCs w:val="32"/>
        </w:rPr>
        <w:t>资金到位率：</w:t>
      </w:r>
    </w:p>
    <w:p>
      <w:pPr>
        <w:spacing w:line="360" w:lineRule="auto"/>
        <w:ind w:firstLine="640" w:firstLineChars="200"/>
        <w:rPr>
          <w:rFonts w:hint="eastAsia"/>
          <w:bCs/>
          <w:color w:val="auto"/>
          <w:sz w:val="32"/>
          <w:szCs w:val="32"/>
        </w:rPr>
      </w:pPr>
      <w:r>
        <w:rPr>
          <w:rFonts w:hint="eastAsia"/>
          <w:bCs/>
          <w:color w:val="auto"/>
          <w:sz w:val="32"/>
          <w:szCs w:val="32"/>
        </w:rPr>
        <w:t>预算资</w:t>
      </w:r>
      <w:r>
        <w:rPr>
          <w:rFonts w:hint="eastAsia"/>
          <w:bCs/>
          <w:color w:val="auto"/>
          <w:sz w:val="32"/>
          <w:szCs w:val="32"/>
          <w:lang w:eastAsia="zh-CN"/>
        </w:rPr>
        <w:t>金</w:t>
      </w:r>
      <w:r>
        <w:rPr>
          <w:rFonts w:hint="eastAsia"/>
          <w:bCs/>
          <w:color w:val="auto"/>
          <w:sz w:val="32"/>
          <w:szCs w:val="32"/>
          <w:lang w:val="en-US" w:eastAsia="zh-CN"/>
        </w:rPr>
        <w:t>59.595</w:t>
      </w:r>
      <w:r>
        <w:rPr>
          <w:rFonts w:hint="eastAsia"/>
          <w:bCs/>
          <w:color w:val="auto"/>
          <w:sz w:val="32"/>
          <w:szCs w:val="32"/>
        </w:rPr>
        <w:t>万元，实际到位资金</w:t>
      </w:r>
      <w:r>
        <w:rPr>
          <w:rFonts w:hint="eastAsia"/>
          <w:bCs/>
          <w:color w:val="auto"/>
          <w:sz w:val="32"/>
          <w:szCs w:val="32"/>
          <w:lang w:val="en-US" w:eastAsia="zh-CN"/>
        </w:rPr>
        <w:t>59.595</w:t>
      </w:r>
      <w:r>
        <w:rPr>
          <w:rFonts w:hint="eastAsia"/>
          <w:bCs/>
          <w:color w:val="auto"/>
          <w:sz w:val="32"/>
          <w:szCs w:val="32"/>
        </w:rPr>
        <w:t>万元，资金到位率</w:t>
      </w:r>
      <w:r>
        <w:rPr>
          <w:rFonts w:hint="eastAsia"/>
          <w:bCs/>
          <w:color w:val="auto"/>
          <w:sz w:val="32"/>
          <w:szCs w:val="32"/>
          <w:lang w:val="en-US" w:eastAsia="zh-CN"/>
        </w:rPr>
        <w:t>100</w:t>
      </w:r>
      <w:r>
        <w:rPr>
          <w:rFonts w:hint="eastAsia"/>
          <w:bCs/>
          <w:color w:val="auto"/>
          <w:sz w:val="32"/>
          <w:szCs w:val="32"/>
        </w:rPr>
        <w:t>%。</w:t>
      </w:r>
    </w:p>
    <w:p>
      <w:pPr>
        <w:spacing w:line="360" w:lineRule="auto"/>
        <w:ind w:firstLine="640" w:firstLineChars="200"/>
        <w:rPr>
          <w:rFonts w:hint="eastAsia"/>
          <w:bCs/>
          <w:color w:val="auto"/>
          <w:sz w:val="32"/>
          <w:szCs w:val="32"/>
        </w:rPr>
      </w:pPr>
      <w:r>
        <w:rPr>
          <w:rFonts w:hint="eastAsia"/>
          <w:bCs/>
          <w:color w:val="auto"/>
          <w:sz w:val="32"/>
          <w:szCs w:val="32"/>
        </w:rPr>
        <w:t>2</w:t>
      </w:r>
      <w:r>
        <w:rPr>
          <w:rFonts w:hint="eastAsia"/>
          <w:bCs/>
          <w:color w:val="auto"/>
          <w:sz w:val="32"/>
          <w:szCs w:val="32"/>
          <w:lang w:val="en-US" w:eastAsia="zh-CN"/>
        </w:rPr>
        <w:t>.</w:t>
      </w:r>
      <w:r>
        <w:rPr>
          <w:rFonts w:hint="eastAsia"/>
          <w:bCs/>
          <w:color w:val="auto"/>
          <w:sz w:val="32"/>
          <w:szCs w:val="32"/>
        </w:rPr>
        <w:t>预算执行率</w:t>
      </w:r>
    </w:p>
    <w:p>
      <w:pPr>
        <w:spacing w:line="360" w:lineRule="auto"/>
        <w:ind w:firstLine="640" w:firstLineChars="200"/>
        <w:rPr>
          <w:rFonts w:hint="eastAsia"/>
          <w:bCs/>
          <w:color w:val="auto"/>
          <w:sz w:val="32"/>
          <w:szCs w:val="32"/>
          <w:lang w:eastAsia="zh-CN"/>
        </w:rPr>
      </w:pPr>
      <w:r>
        <w:rPr>
          <w:rFonts w:hint="eastAsia"/>
          <w:bCs/>
          <w:color w:val="auto"/>
          <w:sz w:val="32"/>
          <w:szCs w:val="32"/>
        </w:rPr>
        <w:t>年初预算数</w:t>
      </w:r>
      <w:r>
        <w:rPr>
          <w:rFonts w:hint="eastAsia"/>
          <w:bCs/>
          <w:color w:val="auto"/>
          <w:sz w:val="32"/>
          <w:szCs w:val="32"/>
          <w:lang w:val="en-US" w:eastAsia="zh-CN"/>
        </w:rPr>
        <w:t>59.595</w:t>
      </w:r>
      <w:r>
        <w:rPr>
          <w:rFonts w:hint="eastAsia"/>
          <w:bCs/>
          <w:color w:val="auto"/>
          <w:sz w:val="32"/>
          <w:szCs w:val="32"/>
        </w:rPr>
        <w:t>万元，全年预算数</w:t>
      </w:r>
      <w:r>
        <w:rPr>
          <w:rFonts w:hint="eastAsia"/>
          <w:bCs/>
          <w:color w:val="auto"/>
          <w:sz w:val="32"/>
          <w:szCs w:val="32"/>
          <w:lang w:val="en-US" w:eastAsia="zh-CN"/>
        </w:rPr>
        <w:t>59.595</w:t>
      </w:r>
      <w:r>
        <w:rPr>
          <w:rFonts w:hint="eastAsia"/>
          <w:bCs/>
          <w:color w:val="auto"/>
          <w:sz w:val="32"/>
          <w:szCs w:val="32"/>
        </w:rPr>
        <w:t>万元</w:t>
      </w:r>
      <w:r>
        <w:rPr>
          <w:rFonts w:hint="eastAsia"/>
          <w:bCs/>
          <w:color w:val="auto"/>
          <w:sz w:val="32"/>
          <w:szCs w:val="32"/>
          <w:lang w:eastAsia="zh-CN"/>
        </w:rPr>
        <w:t>，</w:t>
      </w:r>
      <w:r>
        <w:rPr>
          <w:rFonts w:hint="eastAsia"/>
          <w:bCs/>
          <w:color w:val="auto"/>
          <w:sz w:val="32"/>
          <w:szCs w:val="32"/>
        </w:rPr>
        <w:t>全年执行数</w:t>
      </w:r>
      <w:r>
        <w:rPr>
          <w:rFonts w:hint="eastAsia"/>
          <w:bCs/>
          <w:color w:val="auto"/>
          <w:sz w:val="32"/>
          <w:szCs w:val="32"/>
          <w:lang w:val="en-US" w:eastAsia="zh-CN"/>
        </w:rPr>
        <w:t>59.595</w:t>
      </w:r>
      <w:r>
        <w:rPr>
          <w:rFonts w:hint="eastAsia"/>
          <w:bCs/>
          <w:color w:val="auto"/>
          <w:sz w:val="32"/>
          <w:szCs w:val="32"/>
        </w:rPr>
        <w:t>万元，预算执行率为</w:t>
      </w:r>
      <w:r>
        <w:rPr>
          <w:rFonts w:hint="eastAsia"/>
          <w:bCs/>
          <w:color w:val="auto"/>
          <w:sz w:val="32"/>
          <w:szCs w:val="32"/>
          <w:lang w:val="en-US" w:eastAsia="zh-CN"/>
        </w:rPr>
        <w:t>100</w:t>
      </w:r>
      <w:r>
        <w:rPr>
          <w:rFonts w:hint="eastAsia"/>
          <w:bCs/>
          <w:color w:val="auto"/>
          <w:sz w:val="32"/>
          <w:szCs w:val="32"/>
        </w:rPr>
        <w:t>%</w:t>
      </w:r>
      <w:r>
        <w:rPr>
          <w:rFonts w:hint="eastAsia"/>
          <w:bCs/>
          <w:color w:val="auto"/>
          <w:sz w:val="32"/>
          <w:szCs w:val="32"/>
          <w:lang w:eastAsia="zh-CN"/>
        </w:rPr>
        <w:t>。</w:t>
      </w:r>
    </w:p>
    <w:p>
      <w:pPr>
        <w:spacing w:line="360" w:lineRule="auto"/>
        <w:ind w:firstLine="640" w:firstLineChars="200"/>
        <w:rPr>
          <w:rFonts w:hint="eastAsia"/>
          <w:bCs/>
          <w:color w:val="auto"/>
          <w:sz w:val="32"/>
          <w:szCs w:val="32"/>
        </w:rPr>
      </w:pPr>
      <w:r>
        <w:rPr>
          <w:rFonts w:hint="eastAsia"/>
          <w:bCs/>
          <w:color w:val="auto"/>
          <w:sz w:val="32"/>
          <w:szCs w:val="32"/>
        </w:rPr>
        <w:t>3</w:t>
      </w:r>
      <w:r>
        <w:rPr>
          <w:rFonts w:hint="eastAsia"/>
          <w:bCs/>
          <w:color w:val="auto"/>
          <w:sz w:val="32"/>
          <w:szCs w:val="32"/>
          <w:lang w:val="en-US" w:eastAsia="zh-CN"/>
        </w:rPr>
        <w:t>.</w:t>
      </w:r>
      <w:r>
        <w:rPr>
          <w:rFonts w:hint="eastAsia"/>
          <w:bCs/>
          <w:color w:val="auto"/>
          <w:sz w:val="32"/>
          <w:szCs w:val="32"/>
        </w:rPr>
        <w:t>资金使用合规性</w:t>
      </w:r>
    </w:p>
    <w:p>
      <w:pPr>
        <w:spacing w:line="360" w:lineRule="auto"/>
        <w:ind w:firstLine="640" w:firstLineChars="200"/>
        <w:rPr>
          <w:rFonts w:hint="eastAsia"/>
          <w:bCs/>
          <w:color w:val="auto"/>
          <w:sz w:val="32"/>
          <w:szCs w:val="32"/>
          <w:lang w:eastAsia="zh-CN"/>
        </w:rPr>
      </w:pPr>
      <w:r>
        <w:rPr>
          <w:rFonts w:hint="eastAsia"/>
          <w:bCs/>
          <w:color w:val="auto"/>
          <w:sz w:val="32"/>
          <w:szCs w:val="32"/>
          <w:lang w:eastAsia="zh-CN"/>
        </w:rPr>
        <w:t>中央自然灾害救灾</w:t>
      </w:r>
      <w:r>
        <w:rPr>
          <w:rFonts w:hint="eastAsia"/>
          <w:bCs/>
          <w:color w:val="auto"/>
          <w:sz w:val="32"/>
          <w:szCs w:val="32"/>
        </w:rPr>
        <w:t>项目</w:t>
      </w:r>
      <w:r>
        <w:rPr>
          <w:rFonts w:hint="eastAsia"/>
          <w:bCs/>
          <w:color w:val="auto"/>
          <w:sz w:val="32"/>
          <w:szCs w:val="32"/>
          <w:lang w:eastAsia="zh-CN"/>
        </w:rPr>
        <w:t>符合国家财经法规和财务管理制度，以及有关专项资金管理办法的规定，资金拨付有完整的审批程序和手续；符合项目预算批复的用途；不存在截留、挤占、挪用、序列支出等情况。</w:t>
      </w:r>
    </w:p>
    <w:p>
      <w:pPr>
        <w:spacing w:line="360" w:lineRule="auto"/>
        <w:ind w:firstLine="640" w:firstLineChars="200"/>
        <w:rPr>
          <w:rFonts w:hint="eastAsia"/>
          <w:bCs/>
          <w:color w:val="auto"/>
          <w:sz w:val="32"/>
          <w:szCs w:val="32"/>
        </w:rPr>
      </w:pPr>
      <w:r>
        <w:rPr>
          <w:rFonts w:hint="eastAsia"/>
          <w:bCs/>
          <w:color w:val="auto"/>
          <w:sz w:val="32"/>
          <w:szCs w:val="32"/>
        </w:rPr>
        <w:t>4</w:t>
      </w:r>
      <w:r>
        <w:rPr>
          <w:rFonts w:hint="eastAsia"/>
          <w:bCs/>
          <w:color w:val="auto"/>
          <w:sz w:val="32"/>
          <w:szCs w:val="32"/>
          <w:lang w:val="en-US" w:eastAsia="zh-CN"/>
        </w:rPr>
        <w:t>.</w:t>
      </w:r>
      <w:r>
        <w:rPr>
          <w:rFonts w:hint="eastAsia"/>
          <w:bCs/>
          <w:color w:val="auto"/>
          <w:sz w:val="32"/>
          <w:szCs w:val="32"/>
        </w:rPr>
        <w:t>管理制度健全性</w:t>
      </w:r>
    </w:p>
    <w:p>
      <w:pPr>
        <w:spacing w:line="360" w:lineRule="auto"/>
        <w:ind w:firstLine="640" w:firstLineChars="200"/>
        <w:rPr>
          <w:rFonts w:hint="eastAsia"/>
          <w:bCs/>
          <w:color w:val="auto"/>
          <w:sz w:val="32"/>
          <w:szCs w:val="32"/>
          <w:lang w:eastAsia="zh-CN"/>
        </w:rPr>
      </w:pPr>
      <w:r>
        <w:rPr>
          <w:rFonts w:hint="eastAsia"/>
          <w:bCs/>
          <w:color w:val="auto"/>
          <w:sz w:val="32"/>
          <w:szCs w:val="32"/>
          <w:lang w:eastAsia="zh-CN"/>
        </w:rPr>
        <w:t>本单位</w:t>
      </w:r>
      <w:r>
        <w:rPr>
          <w:rFonts w:hint="eastAsia"/>
          <w:bCs/>
          <w:color w:val="auto"/>
          <w:sz w:val="32"/>
          <w:szCs w:val="32"/>
        </w:rPr>
        <w:t>已制定相应的财务和业务管理制度；财务</w:t>
      </w:r>
      <w:r>
        <w:rPr>
          <w:rFonts w:hint="eastAsia"/>
          <w:bCs/>
          <w:color w:val="auto"/>
          <w:sz w:val="32"/>
          <w:szCs w:val="32"/>
          <w:lang w:eastAsia="zh-CN"/>
        </w:rPr>
        <w:t>制度合法合规，</w:t>
      </w:r>
      <w:r>
        <w:rPr>
          <w:rFonts w:hint="eastAsia"/>
          <w:bCs/>
          <w:color w:val="auto"/>
          <w:sz w:val="32"/>
          <w:szCs w:val="32"/>
        </w:rPr>
        <w:t>业务管理制度规</w:t>
      </w:r>
      <w:r>
        <w:rPr>
          <w:rFonts w:hint="eastAsia"/>
          <w:bCs/>
          <w:color w:val="auto"/>
          <w:sz w:val="32"/>
          <w:szCs w:val="32"/>
          <w:lang w:eastAsia="zh-CN"/>
        </w:rPr>
        <w:t>范</w:t>
      </w:r>
      <w:r>
        <w:rPr>
          <w:rFonts w:hint="eastAsia"/>
          <w:bCs/>
          <w:color w:val="auto"/>
          <w:sz w:val="32"/>
          <w:szCs w:val="32"/>
        </w:rPr>
        <w:t>、完整</w:t>
      </w:r>
      <w:r>
        <w:rPr>
          <w:rFonts w:hint="eastAsia"/>
          <w:bCs/>
          <w:color w:val="auto"/>
          <w:sz w:val="32"/>
          <w:szCs w:val="32"/>
          <w:lang w:eastAsia="zh-CN"/>
        </w:rPr>
        <w:t>。</w:t>
      </w:r>
    </w:p>
    <w:p>
      <w:pPr>
        <w:spacing w:line="360" w:lineRule="auto"/>
        <w:ind w:firstLine="640" w:firstLineChars="200"/>
        <w:rPr>
          <w:rFonts w:hint="eastAsia"/>
          <w:bCs/>
          <w:color w:val="auto"/>
          <w:sz w:val="32"/>
          <w:szCs w:val="32"/>
        </w:rPr>
      </w:pPr>
      <w:r>
        <w:rPr>
          <w:rFonts w:hint="eastAsia"/>
          <w:bCs/>
          <w:color w:val="auto"/>
          <w:sz w:val="32"/>
          <w:szCs w:val="32"/>
        </w:rPr>
        <w:t>5</w:t>
      </w:r>
      <w:r>
        <w:rPr>
          <w:rFonts w:hint="eastAsia"/>
          <w:bCs/>
          <w:color w:val="auto"/>
          <w:sz w:val="32"/>
          <w:szCs w:val="32"/>
          <w:lang w:val="en-US" w:eastAsia="zh-CN"/>
        </w:rPr>
        <w:t>.</w:t>
      </w:r>
      <w:r>
        <w:rPr>
          <w:rFonts w:hint="eastAsia"/>
          <w:bCs/>
          <w:color w:val="auto"/>
          <w:sz w:val="32"/>
          <w:szCs w:val="32"/>
        </w:rPr>
        <w:t>制度执行有效性</w:t>
      </w:r>
    </w:p>
    <w:p>
      <w:pPr>
        <w:spacing w:line="360" w:lineRule="auto"/>
        <w:ind w:firstLine="640" w:firstLineChars="200"/>
        <w:rPr>
          <w:rFonts w:hint="eastAsia"/>
          <w:bCs/>
          <w:color w:val="auto"/>
          <w:sz w:val="32"/>
          <w:szCs w:val="32"/>
        </w:rPr>
      </w:pPr>
      <w:r>
        <w:rPr>
          <w:rFonts w:hint="eastAsia"/>
          <w:bCs/>
          <w:color w:val="auto"/>
          <w:sz w:val="32"/>
          <w:szCs w:val="32"/>
          <w:lang w:eastAsia="zh-CN"/>
        </w:rPr>
        <w:t>本单位</w:t>
      </w:r>
      <w:r>
        <w:rPr>
          <w:rFonts w:hint="eastAsia"/>
          <w:bCs/>
          <w:color w:val="auto"/>
          <w:sz w:val="32"/>
          <w:szCs w:val="32"/>
        </w:rPr>
        <w:t>遵守相关法律法规和相关管理规定；项目手续完备</w:t>
      </w:r>
      <w:r>
        <w:rPr>
          <w:rFonts w:hint="eastAsia"/>
          <w:bCs/>
          <w:color w:val="auto"/>
          <w:sz w:val="32"/>
          <w:szCs w:val="32"/>
          <w:lang w:eastAsia="zh-CN"/>
        </w:rPr>
        <w:t>；</w:t>
      </w:r>
      <w:r>
        <w:rPr>
          <w:rFonts w:hint="eastAsia"/>
          <w:bCs/>
          <w:color w:val="auto"/>
          <w:sz w:val="32"/>
          <w:szCs w:val="32"/>
        </w:rPr>
        <w:t>项目合同书、验收报告、技术鉴定等资料齐全并及时归档；项目实施的人员</w:t>
      </w:r>
      <w:r>
        <w:rPr>
          <w:rFonts w:hint="eastAsia"/>
          <w:bCs/>
          <w:color w:val="auto"/>
          <w:sz w:val="32"/>
          <w:szCs w:val="32"/>
          <w:lang w:eastAsia="zh-CN"/>
        </w:rPr>
        <w:t>符合</w:t>
      </w:r>
      <w:r>
        <w:rPr>
          <w:rFonts w:hint="eastAsia"/>
          <w:bCs/>
          <w:color w:val="auto"/>
          <w:sz w:val="32"/>
          <w:szCs w:val="32"/>
        </w:rPr>
        <w:t>条件、场地设备、信息支撑等落实到位。</w:t>
      </w:r>
    </w:p>
    <w:p>
      <w:pPr>
        <w:spacing w:line="360" w:lineRule="auto"/>
        <w:ind w:firstLine="640" w:firstLineChars="200"/>
        <w:rPr>
          <w:rFonts w:hint="eastAsia"/>
          <w:bCs/>
          <w:color w:val="auto"/>
          <w:sz w:val="32"/>
          <w:szCs w:val="32"/>
        </w:rPr>
      </w:pPr>
      <w:bookmarkStart w:id="14" w:name="_Toc68703840"/>
      <w:r>
        <w:rPr>
          <w:rFonts w:hint="eastAsia"/>
          <w:bCs/>
          <w:color w:val="auto"/>
          <w:sz w:val="32"/>
          <w:szCs w:val="32"/>
        </w:rPr>
        <w:t>（三）项目产出情况。</w:t>
      </w:r>
      <w:bookmarkEnd w:id="14"/>
    </w:p>
    <w:p>
      <w:pPr>
        <w:spacing w:line="360" w:lineRule="auto"/>
        <w:ind w:firstLine="640" w:firstLineChars="200"/>
        <w:rPr>
          <w:rFonts w:hint="eastAsia"/>
          <w:bCs/>
          <w:color w:val="auto"/>
          <w:sz w:val="32"/>
          <w:szCs w:val="32"/>
        </w:rPr>
      </w:pPr>
      <w:r>
        <w:rPr>
          <w:rFonts w:hint="eastAsia"/>
          <w:bCs/>
          <w:color w:val="auto"/>
          <w:sz w:val="32"/>
          <w:szCs w:val="32"/>
        </w:rPr>
        <w:t>1</w:t>
      </w:r>
      <w:r>
        <w:rPr>
          <w:rFonts w:hint="eastAsia"/>
          <w:bCs/>
          <w:color w:val="auto"/>
          <w:sz w:val="32"/>
          <w:szCs w:val="32"/>
          <w:lang w:val="en-US" w:eastAsia="zh-CN"/>
        </w:rPr>
        <w:t>.</w:t>
      </w:r>
      <w:r>
        <w:rPr>
          <w:rFonts w:hint="eastAsia"/>
          <w:bCs/>
          <w:color w:val="auto"/>
          <w:sz w:val="32"/>
          <w:szCs w:val="32"/>
        </w:rPr>
        <w:t>数量指标：指标1：发放补助人数，指标值：</w:t>
      </w:r>
      <w:r>
        <w:rPr>
          <w:rFonts w:hint="eastAsia"/>
          <w:bCs/>
          <w:color w:val="auto"/>
          <w:sz w:val="32"/>
          <w:szCs w:val="32"/>
          <w:lang w:val="en-US" w:eastAsia="zh-CN"/>
        </w:rPr>
        <w:t>=1617人</w:t>
      </w:r>
      <w:r>
        <w:rPr>
          <w:rFonts w:hint="eastAsia"/>
          <w:bCs/>
          <w:color w:val="auto"/>
          <w:sz w:val="32"/>
          <w:szCs w:val="32"/>
        </w:rPr>
        <w:t>，实际完成值</w:t>
      </w:r>
      <w:r>
        <w:rPr>
          <w:rFonts w:hint="eastAsia"/>
          <w:bCs/>
          <w:color w:val="auto"/>
          <w:sz w:val="32"/>
          <w:szCs w:val="32"/>
          <w:lang w:val="en-US" w:eastAsia="zh-CN"/>
        </w:rPr>
        <w:t>=1617</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p>
    <w:p>
      <w:pPr>
        <w:spacing w:line="360" w:lineRule="auto"/>
        <w:ind w:firstLine="640" w:firstLineChars="200"/>
        <w:rPr>
          <w:rFonts w:hint="eastAsia"/>
          <w:bCs/>
          <w:color w:val="auto"/>
          <w:sz w:val="32"/>
          <w:szCs w:val="32"/>
          <w:lang w:eastAsia="zh-CN"/>
        </w:rPr>
      </w:pPr>
      <w:r>
        <w:rPr>
          <w:rFonts w:hint="eastAsia"/>
          <w:bCs/>
          <w:color w:val="auto"/>
          <w:sz w:val="32"/>
          <w:szCs w:val="32"/>
        </w:rPr>
        <w:t>指标2：发放补助次数，指标值：</w:t>
      </w:r>
      <w:r>
        <w:rPr>
          <w:rFonts w:hint="eastAsia"/>
          <w:bCs/>
          <w:color w:val="auto"/>
          <w:sz w:val="32"/>
          <w:szCs w:val="32"/>
          <w:lang w:val="en-US" w:eastAsia="zh-CN"/>
        </w:rPr>
        <w:t>=1次</w:t>
      </w:r>
      <w:r>
        <w:rPr>
          <w:rFonts w:hint="eastAsia"/>
          <w:bCs/>
          <w:color w:val="auto"/>
          <w:sz w:val="32"/>
          <w:szCs w:val="32"/>
        </w:rPr>
        <w:t>，实际完成值</w:t>
      </w:r>
      <w:r>
        <w:rPr>
          <w:rFonts w:hint="eastAsia"/>
          <w:bCs/>
          <w:color w:val="auto"/>
          <w:sz w:val="32"/>
          <w:szCs w:val="32"/>
          <w:lang w:val="en-US" w:eastAsia="zh-CN"/>
        </w:rPr>
        <w:t>=1次</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r>
        <w:rPr>
          <w:rFonts w:hint="eastAsia"/>
          <w:bCs/>
          <w:color w:val="auto"/>
          <w:sz w:val="32"/>
          <w:szCs w:val="32"/>
          <w:lang w:eastAsia="zh-CN"/>
        </w:rPr>
        <w:t>。</w:t>
      </w:r>
    </w:p>
    <w:p>
      <w:pPr>
        <w:spacing w:line="360" w:lineRule="auto"/>
        <w:ind w:firstLine="640" w:firstLineChars="200"/>
        <w:rPr>
          <w:rFonts w:hint="eastAsia"/>
          <w:bCs/>
          <w:color w:val="auto"/>
          <w:sz w:val="32"/>
          <w:szCs w:val="32"/>
        </w:rPr>
      </w:pPr>
      <w:r>
        <w:rPr>
          <w:rFonts w:hint="eastAsia"/>
          <w:bCs/>
          <w:color w:val="auto"/>
          <w:sz w:val="32"/>
          <w:szCs w:val="32"/>
        </w:rPr>
        <w:t>质量指标：指标1：保证补助正常发放，指标值：</w:t>
      </w:r>
      <w:r>
        <w:rPr>
          <w:rFonts w:hint="eastAsia"/>
          <w:bCs/>
          <w:color w:val="auto"/>
          <w:sz w:val="32"/>
          <w:szCs w:val="32"/>
          <w:lang w:val="en-US" w:eastAsia="zh-CN"/>
        </w:rPr>
        <w:t>=100%</w:t>
      </w:r>
      <w:r>
        <w:rPr>
          <w:rFonts w:hint="eastAsia"/>
          <w:bCs/>
          <w:color w:val="auto"/>
          <w:sz w:val="32"/>
          <w:szCs w:val="32"/>
        </w:rPr>
        <w:t>，实际完成值</w:t>
      </w:r>
      <w:r>
        <w:rPr>
          <w:rFonts w:hint="eastAsia"/>
          <w:bCs/>
          <w:color w:val="auto"/>
          <w:sz w:val="32"/>
          <w:szCs w:val="32"/>
          <w:lang w:val="en-US" w:eastAsia="zh-CN"/>
        </w:rPr>
        <w:t>=100%</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r>
        <w:rPr>
          <w:rFonts w:hint="eastAsia"/>
          <w:bCs/>
          <w:color w:val="auto"/>
          <w:sz w:val="32"/>
          <w:szCs w:val="32"/>
          <w:lang w:eastAsia="zh-CN"/>
        </w:rPr>
        <w:t>。</w:t>
      </w:r>
    </w:p>
    <w:p>
      <w:pPr>
        <w:spacing w:line="360" w:lineRule="auto"/>
        <w:ind w:firstLine="640" w:firstLineChars="200"/>
        <w:rPr>
          <w:rFonts w:hint="eastAsia"/>
          <w:bCs/>
          <w:color w:val="auto"/>
          <w:sz w:val="32"/>
          <w:szCs w:val="32"/>
        </w:rPr>
      </w:pPr>
      <w:r>
        <w:rPr>
          <w:rFonts w:hint="eastAsia"/>
          <w:bCs/>
          <w:color w:val="auto"/>
          <w:sz w:val="32"/>
          <w:szCs w:val="32"/>
        </w:rPr>
        <w:t>指标2：救灾救助覆盖率，指标值：</w:t>
      </w:r>
      <w:r>
        <w:rPr>
          <w:rFonts w:hint="eastAsia"/>
          <w:bCs/>
          <w:color w:val="auto"/>
          <w:sz w:val="32"/>
          <w:szCs w:val="32"/>
          <w:lang w:val="en-US" w:eastAsia="zh-CN"/>
        </w:rPr>
        <w:t>=100%</w:t>
      </w:r>
      <w:r>
        <w:rPr>
          <w:rFonts w:hint="eastAsia"/>
          <w:bCs/>
          <w:color w:val="auto"/>
          <w:sz w:val="32"/>
          <w:szCs w:val="32"/>
        </w:rPr>
        <w:t>，实际完成值</w:t>
      </w:r>
      <w:r>
        <w:rPr>
          <w:rFonts w:hint="eastAsia"/>
          <w:bCs/>
          <w:color w:val="auto"/>
          <w:sz w:val="32"/>
          <w:szCs w:val="32"/>
          <w:lang w:val="en-US" w:eastAsia="zh-CN"/>
        </w:rPr>
        <w:t>=100%</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p>
    <w:p>
      <w:pPr>
        <w:spacing w:line="360" w:lineRule="auto"/>
        <w:ind w:firstLine="640" w:firstLineChars="200"/>
        <w:rPr>
          <w:rFonts w:hint="eastAsia"/>
          <w:bCs/>
          <w:color w:val="auto"/>
          <w:sz w:val="32"/>
          <w:szCs w:val="32"/>
        </w:rPr>
      </w:pPr>
      <w:r>
        <w:rPr>
          <w:rFonts w:hint="eastAsia"/>
          <w:bCs/>
          <w:color w:val="auto"/>
          <w:sz w:val="32"/>
          <w:szCs w:val="32"/>
        </w:rPr>
        <w:t>3</w:t>
      </w:r>
      <w:r>
        <w:rPr>
          <w:rFonts w:hint="eastAsia"/>
          <w:bCs/>
          <w:color w:val="auto"/>
          <w:sz w:val="32"/>
          <w:szCs w:val="32"/>
          <w:lang w:val="en-US" w:eastAsia="zh-CN"/>
        </w:rPr>
        <w:t>.</w:t>
      </w:r>
      <w:r>
        <w:rPr>
          <w:rFonts w:hint="eastAsia"/>
          <w:bCs/>
          <w:color w:val="auto"/>
          <w:sz w:val="32"/>
          <w:szCs w:val="32"/>
        </w:rPr>
        <w:t>时效指标：指标2：资金发放及时率，指标值：</w:t>
      </w:r>
      <w:r>
        <w:rPr>
          <w:rFonts w:hint="eastAsia"/>
          <w:bCs/>
          <w:color w:val="auto"/>
          <w:sz w:val="32"/>
          <w:szCs w:val="32"/>
          <w:lang w:val="en-US" w:eastAsia="zh-CN"/>
        </w:rPr>
        <w:t>=100%</w:t>
      </w:r>
      <w:r>
        <w:rPr>
          <w:rFonts w:hint="eastAsia"/>
          <w:bCs/>
          <w:color w:val="auto"/>
          <w:sz w:val="32"/>
          <w:szCs w:val="32"/>
        </w:rPr>
        <w:t>，实际完成值</w:t>
      </w:r>
      <w:r>
        <w:rPr>
          <w:rFonts w:hint="eastAsia"/>
          <w:bCs/>
          <w:color w:val="auto"/>
          <w:sz w:val="32"/>
          <w:szCs w:val="32"/>
          <w:lang w:val="en-US" w:eastAsia="zh-CN"/>
        </w:rPr>
        <w:t>=100%</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p>
    <w:p>
      <w:pPr>
        <w:spacing w:line="360" w:lineRule="auto"/>
        <w:ind w:firstLine="640" w:firstLineChars="200"/>
        <w:rPr>
          <w:rFonts w:hint="eastAsia"/>
          <w:bCs/>
          <w:color w:val="auto"/>
          <w:sz w:val="32"/>
          <w:szCs w:val="32"/>
        </w:rPr>
      </w:pPr>
      <w:r>
        <w:rPr>
          <w:rFonts w:hint="eastAsia"/>
          <w:bCs/>
          <w:color w:val="auto"/>
          <w:sz w:val="32"/>
          <w:szCs w:val="32"/>
        </w:rPr>
        <w:t>4</w:t>
      </w:r>
      <w:r>
        <w:rPr>
          <w:rFonts w:hint="eastAsia"/>
          <w:bCs/>
          <w:color w:val="auto"/>
          <w:sz w:val="32"/>
          <w:szCs w:val="32"/>
          <w:lang w:val="en-US" w:eastAsia="zh-CN"/>
        </w:rPr>
        <w:t>.</w:t>
      </w:r>
      <w:r>
        <w:rPr>
          <w:rFonts w:hint="eastAsia"/>
          <w:bCs/>
          <w:color w:val="auto"/>
          <w:sz w:val="32"/>
          <w:szCs w:val="32"/>
        </w:rPr>
        <w:t>成本指标</w:t>
      </w:r>
      <w:r>
        <w:rPr>
          <w:rFonts w:hint="eastAsia"/>
          <w:bCs/>
          <w:color w:val="auto"/>
          <w:sz w:val="32"/>
          <w:szCs w:val="32"/>
          <w:lang w:eastAsia="zh-CN"/>
        </w:rPr>
        <w:t>：</w:t>
      </w:r>
      <w:r>
        <w:rPr>
          <w:rFonts w:hint="eastAsia"/>
          <w:bCs/>
          <w:color w:val="auto"/>
          <w:sz w:val="32"/>
          <w:szCs w:val="32"/>
        </w:rPr>
        <w:t>指标2：每次发放补助资金数，指标值：</w:t>
      </w:r>
      <w:r>
        <w:rPr>
          <w:rFonts w:hint="eastAsia"/>
          <w:bCs/>
          <w:color w:val="auto"/>
          <w:sz w:val="32"/>
          <w:szCs w:val="32"/>
          <w:lang w:val="en-US" w:eastAsia="zh-CN"/>
        </w:rPr>
        <w:t>=350元</w:t>
      </w:r>
      <w:r>
        <w:rPr>
          <w:rFonts w:hint="eastAsia"/>
          <w:bCs/>
          <w:color w:val="auto"/>
          <w:sz w:val="32"/>
          <w:szCs w:val="32"/>
        </w:rPr>
        <w:t>，实际完成值</w:t>
      </w:r>
      <w:r>
        <w:rPr>
          <w:rFonts w:hint="eastAsia"/>
          <w:bCs/>
          <w:color w:val="auto"/>
          <w:sz w:val="32"/>
          <w:szCs w:val="32"/>
          <w:lang w:val="en-US" w:eastAsia="zh-CN"/>
        </w:rPr>
        <w:t>=350元</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p>
    <w:p>
      <w:pPr>
        <w:spacing w:line="360" w:lineRule="auto"/>
        <w:ind w:firstLine="640" w:firstLineChars="200"/>
        <w:rPr>
          <w:rFonts w:hint="eastAsia"/>
          <w:bCs/>
          <w:color w:val="auto"/>
          <w:sz w:val="32"/>
          <w:szCs w:val="32"/>
          <w:lang w:eastAsia="zh-CN"/>
        </w:rPr>
      </w:pPr>
    </w:p>
    <w:p>
      <w:pPr>
        <w:spacing w:line="360" w:lineRule="auto"/>
        <w:ind w:firstLine="640" w:firstLineChars="200"/>
        <w:rPr>
          <w:rFonts w:hint="eastAsia"/>
          <w:bCs/>
          <w:color w:val="auto"/>
          <w:sz w:val="32"/>
          <w:szCs w:val="32"/>
        </w:rPr>
      </w:pPr>
      <w:bookmarkStart w:id="15" w:name="_Toc68703841"/>
      <w:r>
        <w:rPr>
          <w:rFonts w:hint="eastAsia"/>
          <w:bCs/>
          <w:color w:val="auto"/>
          <w:sz w:val="32"/>
          <w:szCs w:val="32"/>
        </w:rPr>
        <w:t>（四）项目效益情况。</w:t>
      </w:r>
      <w:bookmarkEnd w:id="15"/>
    </w:p>
    <w:p>
      <w:pPr>
        <w:spacing w:line="360" w:lineRule="auto"/>
        <w:ind w:firstLine="640" w:firstLineChars="200"/>
        <w:rPr>
          <w:rFonts w:hint="eastAsia"/>
          <w:bCs/>
          <w:color w:val="auto"/>
          <w:sz w:val="32"/>
          <w:szCs w:val="32"/>
        </w:rPr>
      </w:pPr>
      <w:r>
        <w:rPr>
          <w:rFonts w:hint="eastAsia"/>
          <w:bCs/>
          <w:color w:val="auto"/>
          <w:sz w:val="32"/>
          <w:szCs w:val="32"/>
          <w:lang w:val="en-US" w:eastAsia="zh-CN"/>
        </w:rPr>
        <w:t>1.</w:t>
      </w:r>
      <w:r>
        <w:rPr>
          <w:rFonts w:hint="eastAsia"/>
          <w:bCs/>
          <w:color w:val="auto"/>
          <w:sz w:val="32"/>
          <w:szCs w:val="32"/>
        </w:rPr>
        <w:t>社会效益指标：指标</w:t>
      </w:r>
      <w:r>
        <w:rPr>
          <w:rFonts w:hint="eastAsia"/>
          <w:bCs/>
          <w:color w:val="auto"/>
          <w:sz w:val="32"/>
          <w:szCs w:val="32"/>
          <w:lang w:val="en-US" w:eastAsia="zh-CN"/>
        </w:rPr>
        <w:t>1</w:t>
      </w:r>
      <w:r>
        <w:rPr>
          <w:rFonts w:hint="eastAsia"/>
          <w:bCs/>
          <w:color w:val="auto"/>
          <w:sz w:val="32"/>
          <w:szCs w:val="32"/>
        </w:rPr>
        <w:t>：解决困难群众的物资短缺，指标值：</w:t>
      </w:r>
      <w:r>
        <w:rPr>
          <w:rFonts w:hint="eastAsia"/>
          <w:bCs/>
          <w:color w:val="auto"/>
          <w:sz w:val="32"/>
          <w:szCs w:val="32"/>
          <w:lang w:val="en-US" w:eastAsia="zh-CN"/>
        </w:rPr>
        <w:t>有效解决</w:t>
      </w:r>
      <w:r>
        <w:rPr>
          <w:rFonts w:hint="eastAsia"/>
          <w:bCs/>
          <w:color w:val="auto"/>
          <w:sz w:val="32"/>
          <w:szCs w:val="32"/>
        </w:rPr>
        <w:t>，实际完成值</w:t>
      </w:r>
      <w:r>
        <w:rPr>
          <w:rFonts w:hint="eastAsia"/>
          <w:bCs/>
          <w:color w:val="auto"/>
          <w:sz w:val="32"/>
          <w:szCs w:val="32"/>
          <w:lang w:eastAsia="zh-CN"/>
        </w:rPr>
        <w:t>：</w:t>
      </w:r>
      <w:r>
        <w:rPr>
          <w:rFonts w:hint="eastAsia"/>
          <w:bCs/>
          <w:color w:val="auto"/>
          <w:sz w:val="32"/>
          <w:szCs w:val="32"/>
          <w:lang w:val="en-US" w:eastAsia="zh-CN"/>
        </w:rPr>
        <w:t>基本解决</w:t>
      </w:r>
      <w:r>
        <w:rPr>
          <w:rFonts w:hint="eastAsia"/>
          <w:bCs/>
          <w:color w:val="auto"/>
          <w:sz w:val="32"/>
          <w:szCs w:val="32"/>
        </w:rPr>
        <w:t>，指标完成率</w:t>
      </w:r>
      <w:r>
        <w:rPr>
          <w:rFonts w:hint="eastAsia"/>
          <w:bCs/>
          <w:color w:val="auto"/>
          <w:sz w:val="32"/>
          <w:szCs w:val="32"/>
          <w:lang w:val="en-US" w:eastAsia="zh-CN"/>
        </w:rPr>
        <w:t>95</w:t>
      </w:r>
      <w:r>
        <w:rPr>
          <w:rFonts w:hint="eastAsia"/>
          <w:bCs/>
          <w:color w:val="auto"/>
          <w:sz w:val="32"/>
          <w:szCs w:val="32"/>
        </w:rPr>
        <w:t>%。</w:t>
      </w:r>
    </w:p>
    <w:p>
      <w:pPr>
        <w:spacing w:line="360" w:lineRule="auto"/>
        <w:ind w:firstLine="640" w:firstLineChars="200"/>
        <w:rPr>
          <w:rFonts w:hint="default"/>
          <w:bCs/>
          <w:color w:val="auto"/>
          <w:sz w:val="32"/>
          <w:szCs w:val="32"/>
          <w:lang w:val="en-US" w:eastAsia="zh-CN"/>
        </w:rPr>
      </w:pPr>
      <w:r>
        <w:rPr>
          <w:rFonts w:hint="eastAsia"/>
          <w:bCs/>
          <w:color w:val="auto"/>
          <w:sz w:val="32"/>
          <w:szCs w:val="32"/>
          <w:lang w:val="en-US" w:eastAsia="zh-CN"/>
        </w:rPr>
        <w:t>2.</w:t>
      </w:r>
      <w:r>
        <w:rPr>
          <w:rFonts w:hint="eastAsia"/>
          <w:bCs/>
          <w:color w:val="auto"/>
          <w:sz w:val="32"/>
          <w:szCs w:val="32"/>
        </w:rPr>
        <w:t>满意度指标：指标</w:t>
      </w:r>
      <w:r>
        <w:rPr>
          <w:rFonts w:hint="eastAsia"/>
          <w:bCs/>
          <w:color w:val="auto"/>
          <w:sz w:val="32"/>
          <w:szCs w:val="32"/>
          <w:lang w:val="en-US" w:eastAsia="zh-CN"/>
        </w:rPr>
        <w:t>1</w:t>
      </w:r>
      <w:r>
        <w:rPr>
          <w:rFonts w:hint="eastAsia"/>
          <w:bCs/>
          <w:color w:val="auto"/>
          <w:sz w:val="32"/>
          <w:szCs w:val="32"/>
        </w:rPr>
        <w:t>：困难群众满意度</w:t>
      </w:r>
      <w:r>
        <w:rPr>
          <w:rFonts w:hint="eastAsia"/>
          <w:bCs/>
          <w:color w:val="auto"/>
          <w:sz w:val="32"/>
          <w:szCs w:val="32"/>
          <w:lang w:eastAsia="zh-CN"/>
        </w:rPr>
        <w:t>，</w:t>
      </w:r>
      <w:r>
        <w:rPr>
          <w:rFonts w:hint="eastAsia"/>
          <w:bCs/>
          <w:color w:val="auto"/>
          <w:sz w:val="32"/>
          <w:szCs w:val="32"/>
        </w:rPr>
        <w:t>指标值：≧</w:t>
      </w:r>
      <w:r>
        <w:rPr>
          <w:rFonts w:hint="eastAsia"/>
          <w:bCs/>
          <w:color w:val="auto"/>
          <w:sz w:val="32"/>
          <w:szCs w:val="32"/>
          <w:lang w:val="en-US" w:eastAsia="zh-CN"/>
        </w:rPr>
        <w:t>95%，</w:t>
      </w:r>
      <w:r>
        <w:rPr>
          <w:rFonts w:hint="eastAsia"/>
          <w:bCs/>
          <w:color w:val="auto"/>
          <w:sz w:val="32"/>
          <w:szCs w:val="32"/>
        </w:rPr>
        <w:t>实际完成值≧</w:t>
      </w:r>
      <w:r>
        <w:rPr>
          <w:rFonts w:hint="eastAsia"/>
          <w:bCs/>
          <w:color w:val="auto"/>
          <w:sz w:val="32"/>
          <w:szCs w:val="32"/>
          <w:lang w:val="en-US" w:eastAsia="zh-CN"/>
        </w:rPr>
        <w:t>95%，</w:t>
      </w:r>
      <w:r>
        <w:rPr>
          <w:rFonts w:hint="eastAsia"/>
          <w:bCs/>
          <w:color w:val="auto"/>
          <w:sz w:val="32"/>
          <w:szCs w:val="32"/>
        </w:rPr>
        <w:t>指标完成率</w:t>
      </w:r>
      <w:r>
        <w:rPr>
          <w:rFonts w:hint="eastAsia"/>
          <w:bCs/>
          <w:color w:val="auto"/>
          <w:sz w:val="32"/>
          <w:szCs w:val="32"/>
          <w:lang w:val="en-US" w:eastAsia="zh-CN"/>
        </w:rPr>
        <w:t>100</w:t>
      </w:r>
      <w:r>
        <w:rPr>
          <w:rFonts w:hint="eastAsia"/>
          <w:bCs/>
          <w:color w:val="auto"/>
          <w:sz w:val="32"/>
          <w:szCs w:val="32"/>
        </w:rPr>
        <w:t>%。</w:t>
      </w:r>
    </w:p>
    <w:p>
      <w:pPr>
        <w:pStyle w:val="4"/>
        <w:spacing w:line="360" w:lineRule="auto"/>
        <w:rPr>
          <w:rFonts w:hint="eastAsia" w:ascii="宋体" w:hAnsi="宋体" w:eastAsia="宋体"/>
          <w:sz w:val="36"/>
          <w:szCs w:val="36"/>
          <w:lang w:eastAsia="zh-CN"/>
        </w:rPr>
      </w:pPr>
      <w:bookmarkStart w:id="16" w:name="_Toc68703842"/>
      <w:r>
        <w:rPr>
          <w:rFonts w:hint="eastAsia" w:ascii="宋体" w:hAnsi="宋体" w:eastAsia="宋体"/>
          <w:sz w:val="36"/>
          <w:szCs w:val="36"/>
          <w:lang w:eastAsia="zh-CN"/>
        </w:rPr>
        <w:t>五、主要经验及做法、存在的问题及原因分析</w:t>
      </w:r>
      <w:bookmarkEnd w:id="16"/>
    </w:p>
    <w:p>
      <w:pPr>
        <w:spacing w:line="360" w:lineRule="auto"/>
        <w:ind w:firstLine="640" w:firstLineChars="200"/>
        <w:rPr>
          <w:rFonts w:hint="eastAsia"/>
          <w:bCs/>
          <w:color w:val="auto"/>
          <w:sz w:val="32"/>
          <w:szCs w:val="32"/>
        </w:rPr>
      </w:pPr>
      <w:bookmarkStart w:id="17" w:name="_Toc68703843"/>
      <w:r>
        <w:rPr>
          <w:rFonts w:hint="eastAsia"/>
          <w:bCs/>
          <w:color w:val="auto"/>
          <w:sz w:val="32"/>
          <w:szCs w:val="32"/>
        </w:rPr>
        <w:t>（一）主要经验及做法</w:t>
      </w:r>
      <w:bookmarkEnd w:id="17"/>
      <w:bookmarkStart w:id="18" w:name="_Toc68703844"/>
    </w:p>
    <w:p>
      <w:pPr>
        <w:spacing w:line="360" w:lineRule="auto"/>
        <w:ind w:firstLine="640" w:firstLineChars="200"/>
        <w:rPr>
          <w:rFonts w:hint="eastAsia"/>
          <w:bCs/>
          <w:color w:val="auto"/>
          <w:sz w:val="32"/>
          <w:szCs w:val="32"/>
        </w:rPr>
      </w:pPr>
      <w:r>
        <w:rPr>
          <w:rFonts w:hint="eastAsia"/>
          <w:bCs/>
          <w:color w:val="auto"/>
          <w:sz w:val="32"/>
          <w:szCs w:val="32"/>
          <w:lang w:eastAsia="zh-CN"/>
        </w:rPr>
        <w:t>中央灾害救灾</w:t>
      </w:r>
      <w:r>
        <w:rPr>
          <w:rFonts w:hint="eastAsia"/>
          <w:bCs/>
          <w:color w:val="auto"/>
          <w:sz w:val="32"/>
          <w:szCs w:val="32"/>
        </w:rPr>
        <w:t>救助</w:t>
      </w:r>
      <w:r>
        <w:rPr>
          <w:rFonts w:hint="eastAsia"/>
          <w:bCs/>
          <w:color w:val="auto"/>
          <w:sz w:val="32"/>
          <w:szCs w:val="32"/>
          <w:lang w:eastAsia="zh-CN"/>
        </w:rPr>
        <w:t>资金</w:t>
      </w:r>
      <w:r>
        <w:rPr>
          <w:rFonts w:hint="eastAsia"/>
          <w:bCs/>
          <w:color w:val="auto"/>
          <w:sz w:val="32"/>
          <w:szCs w:val="32"/>
          <w:lang w:val="en-US" w:eastAsia="zh-CN"/>
        </w:rPr>
        <w:t>通过“一卡（折）通”的方式直接发放。</w:t>
      </w:r>
      <w:r>
        <w:rPr>
          <w:rFonts w:hint="eastAsia"/>
          <w:bCs/>
          <w:color w:val="auto"/>
          <w:sz w:val="32"/>
          <w:szCs w:val="32"/>
          <w:lang w:eastAsia="zh-CN"/>
        </w:rPr>
        <w:t>冬春救助资金的</w:t>
      </w:r>
      <w:r>
        <w:rPr>
          <w:rFonts w:hint="eastAsia"/>
          <w:bCs/>
          <w:color w:val="auto"/>
          <w:sz w:val="32"/>
          <w:szCs w:val="32"/>
        </w:rPr>
        <w:t>使用要做到专账管理、专人负责、账款相符、手续完备，确保冬春救助</w:t>
      </w:r>
      <w:r>
        <w:rPr>
          <w:rFonts w:hint="eastAsia"/>
          <w:bCs/>
          <w:color w:val="auto"/>
          <w:sz w:val="32"/>
          <w:szCs w:val="32"/>
          <w:lang w:val="en-US" w:eastAsia="zh-CN"/>
        </w:rPr>
        <w:t>资金</w:t>
      </w:r>
      <w:r>
        <w:rPr>
          <w:rFonts w:hint="eastAsia"/>
          <w:bCs/>
          <w:color w:val="auto"/>
          <w:sz w:val="32"/>
          <w:szCs w:val="32"/>
        </w:rPr>
        <w:t>足额发放到困难群众手中。资金发放不得优亲厚友，不得平均分配，严禁以慰问金形式发放。</w:t>
      </w:r>
      <w:r>
        <w:rPr>
          <w:rFonts w:hint="eastAsia"/>
          <w:bCs/>
          <w:color w:val="auto"/>
          <w:sz w:val="32"/>
          <w:szCs w:val="32"/>
          <w:lang w:val="en-US" w:eastAsia="zh-CN"/>
        </w:rPr>
        <w:t>各乡镇（中心）要组织实施好冬春救助全过程的公开公示，重点做好</w:t>
      </w:r>
      <w:r>
        <w:rPr>
          <w:rFonts w:hint="eastAsia"/>
          <w:bCs/>
          <w:color w:val="auto"/>
          <w:sz w:val="32"/>
          <w:szCs w:val="32"/>
        </w:rPr>
        <w:t>救助对象</w:t>
      </w:r>
      <w:r>
        <w:rPr>
          <w:rFonts w:hint="eastAsia"/>
          <w:bCs/>
          <w:color w:val="auto"/>
          <w:sz w:val="32"/>
          <w:szCs w:val="32"/>
          <w:lang w:eastAsia="zh-CN"/>
        </w:rPr>
        <w:t>、</w:t>
      </w:r>
      <w:r>
        <w:rPr>
          <w:rFonts w:hint="eastAsia"/>
          <w:bCs/>
          <w:color w:val="auto"/>
          <w:sz w:val="32"/>
          <w:szCs w:val="32"/>
          <w:lang w:val="en-US" w:eastAsia="zh-CN"/>
        </w:rPr>
        <w:t>救助标准等内容的</w:t>
      </w:r>
      <w:r>
        <w:rPr>
          <w:rFonts w:hint="eastAsia"/>
          <w:bCs/>
          <w:color w:val="auto"/>
          <w:sz w:val="32"/>
          <w:szCs w:val="32"/>
        </w:rPr>
        <w:t>张榜公示</w:t>
      </w:r>
      <w:r>
        <w:rPr>
          <w:rFonts w:hint="eastAsia"/>
          <w:bCs/>
          <w:color w:val="auto"/>
          <w:sz w:val="32"/>
          <w:szCs w:val="32"/>
          <w:lang w:eastAsia="zh-CN"/>
        </w:rPr>
        <w:t>。</w:t>
      </w:r>
      <w:r>
        <w:rPr>
          <w:rFonts w:hint="eastAsia"/>
          <w:bCs/>
          <w:color w:val="auto"/>
          <w:sz w:val="32"/>
          <w:szCs w:val="32"/>
          <w:lang w:val="en-US" w:eastAsia="zh-CN"/>
        </w:rPr>
        <w:t>要</w:t>
      </w:r>
      <w:r>
        <w:rPr>
          <w:rFonts w:hint="eastAsia"/>
          <w:bCs/>
          <w:color w:val="auto"/>
          <w:sz w:val="32"/>
          <w:szCs w:val="32"/>
        </w:rPr>
        <w:t>拓宽公开渠道，充分利用</w:t>
      </w:r>
      <w:r>
        <w:rPr>
          <w:rFonts w:hint="eastAsia"/>
          <w:bCs/>
          <w:color w:val="auto"/>
          <w:sz w:val="32"/>
          <w:szCs w:val="32"/>
          <w:lang w:val="en-US" w:eastAsia="zh-CN"/>
        </w:rPr>
        <w:t>公示栏</w:t>
      </w:r>
      <w:r>
        <w:rPr>
          <w:rFonts w:hint="eastAsia"/>
          <w:bCs/>
          <w:color w:val="auto"/>
          <w:sz w:val="32"/>
          <w:szCs w:val="32"/>
        </w:rPr>
        <w:t>、</w:t>
      </w:r>
      <w:r>
        <w:rPr>
          <w:rFonts w:hint="eastAsia"/>
          <w:bCs/>
          <w:color w:val="auto"/>
          <w:sz w:val="32"/>
          <w:szCs w:val="32"/>
          <w:lang w:val="en-US" w:eastAsia="zh-CN"/>
        </w:rPr>
        <w:t>大喇叭</w:t>
      </w:r>
      <w:r>
        <w:rPr>
          <w:rFonts w:hint="eastAsia"/>
          <w:bCs/>
          <w:color w:val="auto"/>
          <w:sz w:val="32"/>
          <w:szCs w:val="32"/>
        </w:rPr>
        <w:t>、</w:t>
      </w:r>
      <w:r>
        <w:rPr>
          <w:rFonts w:hint="eastAsia"/>
          <w:bCs/>
          <w:color w:val="auto"/>
          <w:sz w:val="32"/>
          <w:szCs w:val="32"/>
          <w:lang w:val="en-US" w:eastAsia="zh-CN"/>
        </w:rPr>
        <w:t>网络</w:t>
      </w:r>
      <w:r>
        <w:rPr>
          <w:rFonts w:hint="eastAsia"/>
          <w:bCs/>
          <w:color w:val="auto"/>
          <w:sz w:val="32"/>
          <w:szCs w:val="32"/>
        </w:rPr>
        <w:t>等载体及时公开发布有关信息，使救助款物管理使用公开透明，自觉接受社会公众和新闻媒体监督。</w:t>
      </w:r>
      <w:r>
        <w:rPr>
          <w:rFonts w:hint="eastAsia"/>
          <w:bCs/>
          <w:color w:val="auto"/>
          <w:sz w:val="32"/>
          <w:szCs w:val="32"/>
          <w:lang w:val="en-US" w:eastAsia="zh-CN"/>
        </w:rPr>
        <w:t>各乡镇（中心）要</w:t>
      </w:r>
      <w:r>
        <w:rPr>
          <w:rFonts w:hint="eastAsia"/>
          <w:bCs/>
          <w:color w:val="auto"/>
          <w:sz w:val="32"/>
          <w:szCs w:val="32"/>
        </w:rPr>
        <w:t>加强数据分析、情况反馈和工作资料的收集整理，认真开展冬春救助工作的</w:t>
      </w:r>
      <w:r>
        <w:rPr>
          <w:rFonts w:hint="eastAsia"/>
          <w:bCs/>
          <w:color w:val="auto"/>
          <w:sz w:val="32"/>
          <w:szCs w:val="32"/>
          <w:lang w:val="en-US" w:eastAsia="zh-CN"/>
        </w:rPr>
        <w:t>研判和</w:t>
      </w:r>
      <w:r>
        <w:rPr>
          <w:rFonts w:hint="eastAsia"/>
          <w:bCs/>
          <w:color w:val="auto"/>
          <w:sz w:val="32"/>
          <w:szCs w:val="32"/>
        </w:rPr>
        <w:t>评估，实时掌握本地工作进展情况、实际救助效果，及时研究并妥善解决存在的困难和问题。冬春救助工作完成后，受灾群众基本生活仍存在困难的，</w:t>
      </w:r>
      <w:r>
        <w:rPr>
          <w:rFonts w:hint="eastAsia"/>
          <w:bCs/>
          <w:color w:val="auto"/>
          <w:sz w:val="32"/>
          <w:szCs w:val="32"/>
          <w:lang w:val="en-US" w:eastAsia="zh-CN"/>
        </w:rPr>
        <w:t>按照《应急管理部、财政部关于组织开展2022-2023年度全国受灾群众冬春救助工作的通知》有关要求，</w:t>
      </w:r>
      <w:r>
        <w:rPr>
          <w:rFonts w:hint="eastAsia"/>
          <w:bCs/>
          <w:color w:val="auto"/>
          <w:sz w:val="32"/>
          <w:szCs w:val="32"/>
        </w:rPr>
        <w:t>及时纳入相关社会救助制度安排，切实做好制度衔接，确保救助工作不断档。</w:t>
      </w:r>
    </w:p>
    <w:p>
      <w:pPr>
        <w:spacing w:line="360" w:lineRule="auto"/>
        <w:ind w:firstLine="640" w:firstLineChars="200"/>
        <w:rPr>
          <w:rFonts w:hint="eastAsia"/>
          <w:bCs/>
          <w:color w:val="auto"/>
          <w:sz w:val="32"/>
          <w:szCs w:val="32"/>
          <w:lang w:val="en-US" w:eastAsia="zh-CN"/>
        </w:rPr>
      </w:pPr>
      <w:r>
        <w:rPr>
          <w:rFonts w:hint="eastAsia"/>
          <w:bCs/>
          <w:color w:val="auto"/>
          <w:sz w:val="32"/>
          <w:szCs w:val="32"/>
          <w:lang w:val="en-US" w:eastAsia="zh-CN"/>
        </w:rPr>
        <w:t>资金下拨后，各乡镇（中心）要按照时间节点，督促受灾需救助群众查询救助资金到位情况，并</w:t>
      </w:r>
      <w:r>
        <w:rPr>
          <w:rFonts w:hint="eastAsia"/>
          <w:bCs/>
          <w:color w:val="auto"/>
          <w:sz w:val="32"/>
          <w:szCs w:val="32"/>
          <w:lang w:eastAsia="zh-CN"/>
        </w:rPr>
        <w:t>于</w:t>
      </w:r>
      <w:r>
        <w:rPr>
          <w:rFonts w:hint="eastAsia"/>
          <w:bCs/>
          <w:color w:val="auto"/>
          <w:sz w:val="32"/>
          <w:szCs w:val="32"/>
          <w:lang w:val="en-US" w:eastAsia="zh-CN"/>
        </w:rPr>
        <w:t>2023年1月15将《受灾人员冬春生活需救助人口一览表》《受灾人员冬春生活救助花名册》（签字摁印）《受灾人员冬春生活已救助人口一览表》上报县应急管理局。县</w:t>
      </w:r>
      <w:r>
        <w:rPr>
          <w:rFonts w:hint="eastAsia"/>
          <w:bCs/>
          <w:color w:val="auto"/>
          <w:sz w:val="32"/>
          <w:szCs w:val="32"/>
        </w:rPr>
        <w:t>应急管理</w:t>
      </w:r>
      <w:r>
        <w:rPr>
          <w:rFonts w:hint="eastAsia"/>
          <w:bCs/>
          <w:color w:val="auto"/>
          <w:sz w:val="32"/>
          <w:szCs w:val="32"/>
          <w:lang w:eastAsia="zh-CN"/>
        </w:rPr>
        <w:t>局</w:t>
      </w:r>
      <w:r>
        <w:rPr>
          <w:rFonts w:hint="eastAsia"/>
          <w:bCs/>
          <w:color w:val="auto"/>
          <w:sz w:val="32"/>
          <w:szCs w:val="32"/>
        </w:rPr>
        <w:t>将对</w:t>
      </w:r>
      <w:r>
        <w:rPr>
          <w:rFonts w:hint="eastAsia"/>
          <w:bCs/>
          <w:color w:val="auto"/>
          <w:sz w:val="32"/>
          <w:szCs w:val="32"/>
          <w:lang w:eastAsia="zh-CN"/>
        </w:rPr>
        <w:t>各</w:t>
      </w:r>
      <w:r>
        <w:rPr>
          <w:rFonts w:hint="eastAsia"/>
          <w:bCs/>
          <w:color w:val="auto"/>
          <w:sz w:val="32"/>
          <w:szCs w:val="32"/>
          <w:lang w:val="en-US" w:eastAsia="zh-CN"/>
        </w:rPr>
        <w:t>乡镇（中心）</w:t>
      </w:r>
      <w:r>
        <w:rPr>
          <w:rFonts w:hint="eastAsia"/>
          <w:bCs/>
          <w:color w:val="auto"/>
          <w:sz w:val="32"/>
          <w:szCs w:val="32"/>
        </w:rPr>
        <w:t>冬春</w:t>
      </w:r>
      <w:r>
        <w:rPr>
          <w:rFonts w:hint="eastAsia"/>
          <w:bCs/>
          <w:color w:val="auto"/>
          <w:sz w:val="32"/>
          <w:szCs w:val="32"/>
          <w:lang w:eastAsia="zh-CN"/>
        </w:rPr>
        <w:t>救助</w:t>
      </w:r>
      <w:r>
        <w:rPr>
          <w:rFonts w:hint="eastAsia"/>
          <w:bCs/>
          <w:color w:val="auto"/>
          <w:sz w:val="32"/>
          <w:szCs w:val="32"/>
        </w:rPr>
        <w:t>资金</w:t>
      </w:r>
      <w:r>
        <w:rPr>
          <w:rFonts w:hint="eastAsia"/>
          <w:bCs/>
          <w:color w:val="auto"/>
          <w:sz w:val="32"/>
          <w:szCs w:val="32"/>
          <w:lang w:val="en-US" w:eastAsia="zh-CN"/>
        </w:rPr>
        <w:t>使用情况适时专项检查和</w:t>
      </w:r>
      <w:r>
        <w:rPr>
          <w:rFonts w:hint="eastAsia"/>
          <w:bCs/>
          <w:color w:val="auto"/>
          <w:sz w:val="32"/>
          <w:szCs w:val="32"/>
        </w:rPr>
        <w:t>通报。</w:t>
      </w:r>
    </w:p>
    <w:p>
      <w:pPr>
        <w:spacing w:line="360" w:lineRule="auto"/>
        <w:ind w:firstLine="640" w:firstLineChars="200"/>
        <w:rPr>
          <w:rFonts w:hint="eastAsia"/>
          <w:bCs/>
          <w:color w:val="auto"/>
          <w:sz w:val="32"/>
          <w:szCs w:val="32"/>
        </w:rPr>
      </w:pPr>
    </w:p>
    <w:p>
      <w:pPr>
        <w:spacing w:line="360" w:lineRule="auto"/>
        <w:ind w:firstLine="640" w:firstLineChars="200"/>
        <w:rPr>
          <w:rFonts w:hint="eastAsia"/>
          <w:bCs/>
          <w:color w:val="auto"/>
          <w:sz w:val="32"/>
          <w:szCs w:val="32"/>
        </w:rPr>
      </w:pPr>
      <w:r>
        <w:rPr>
          <w:rFonts w:hint="eastAsia"/>
          <w:bCs/>
          <w:color w:val="auto"/>
          <w:sz w:val="32"/>
          <w:szCs w:val="32"/>
          <w:lang w:eastAsia="zh-CN"/>
        </w:rPr>
        <w:t>（二）</w:t>
      </w:r>
      <w:r>
        <w:rPr>
          <w:rFonts w:hint="eastAsia"/>
          <w:bCs/>
          <w:color w:val="auto"/>
          <w:sz w:val="32"/>
          <w:szCs w:val="32"/>
        </w:rPr>
        <w:t>存在的问题及原因分析</w:t>
      </w:r>
      <w:bookmarkEnd w:id="18"/>
      <w:bookmarkStart w:id="19" w:name="_Toc68703845"/>
    </w:p>
    <w:p>
      <w:pPr>
        <w:spacing w:line="360" w:lineRule="auto"/>
        <w:ind w:firstLine="640" w:firstLineChars="200"/>
        <w:rPr>
          <w:rFonts w:hint="eastAsia"/>
          <w:bCs/>
          <w:color w:val="auto"/>
          <w:sz w:val="32"/>
          <w:szCs w:val="32"/>
          <w:lang w:val="en-US" w:eastAsia="zh-CN"/>
        </w:rPr>
      </w:pPr>
      <w:r>
        <w:rPr>
          <w:rFonts w:hint="default"/>
          <w:bCs/>
          <w:color w:val="auto"/>
          <w:sz w:val="32"/>
          <w:szCs w:val="32"/>
          <w:lang w:val="en-US" w:eastAsia="zh-CN"/>
        </w:rPr>
        <w:fldChar w:fldCharType="begin"/>
      </w:r>
      <w:r>
        <w:rPr>
          <w:rFonts w:hint="default"/>
          <w:bCs/>
          <w:color w:val="auto"/>
          <w:sz w:val="32"/>
          <w:szCs w:val="32"/>
          <w:lang w:val="en-US" w:eastAsia="zh-CN"/>
        </w:rPr>
        <w:instrText xml:space="preserve"> = 1 \* GB3 </w:instrText>
      </w:r>
      <w:r>
        <w:rPr>
          <w:rFonts w:hint="default"/>
          <w:bCs/>
          <w:color w:val="auto"/>
          <w:sz w:val="32"/>
          <w:szCs w:val="32"/>
          <w:lang w:val="en-US" w:eastAsia="zh-CN"/>
        </w:rPr>
        <w:fldChar w:fldCharType="separate"/>
      </w:r>
      <w:r>
        <w:rPr>
          <w:rFonts w:hint="default"/>
          <w:bCs/>
          <w:color w:val="auto"/>
          <w:sz w:val="32"/>
          <w:szCs w:val="32"/>
          <w:lang w:val="en-US" w:eastAsia="zh-CN"/>
        </w:rPr>
        <w:t>①</w:t>
      </w:r>
      <w:r>
        <w:rPr>
          <w:rFonts w:hint="default"/>
          <w:bCs/>
          <w:color w:val="auto"/>
          <w:sz w:val="32"/>
          <w:szCs w:val="32"/>
          <w:lang w:val="en-US" w:eastAsia="zh-CN"/>
        </w:rPr>
        <w:fldChar w:fldCharType="end"/>
      </w:r>
      <w:r>
        <w:rPr>
          <w:rFonts w:hint="eastAsia"/>
          <w:bCs/>
          <w:color w:val="auto"/>
          <w:sz w:val="32"/>
          <w:szCs w:val="32"/>
          <w:lang w:val="en-US" w:eastAsia="zh-CN"/>
        </w:rPr>
        <w:t>绩效监督制度不完善，缺乏系统的监督体系，监督制度涉及范围缺乏全面性，未能使绩效监督组发挥应有的作用，使所有人员认识仅限于财务管理制定、会计核算管理、对绩效监督设立执行和监督缺乏全面性和深层次的思考，绩效监督发挥不到应有的效果。</w:t>
      </w:r>
    </w:p>
    <w:p>
      <w:pPr>
        <w:spacing w:line="360" w:lineRule="auto"/>
        <w:ind w:firstLine="640" w:firstLineChars="200"/>
        <w:rPr>
          <w:rFonts w:hint="default"/>
          <w:bCs/>
          <w:color w:val="auto"/>
          <w:sz w:val="32"/>
          <w:szCs w:val="32"/>
          <w:lang w:val="en-US" w:eastAsia="zh-CN"/>
        </w:rPr>
      </w:pPr>
      <w:r>
        <w:rPr>
          <w:rFonts w:hint="eastAsia"/>
          <w:bCs/>
          <w:color w:val="auto"/>
          <w:sz w:val="32"/>
          <w:szCs w:val="32"/>
          <w:lang w:val="en-US" w:eastAsia="zh-CN"/>
        </w:rPr>
        <w:t xml:space="preserve"> </w:t>
      </w:r>
      <w:r>
        <w:rPr>
          <w:rFonts w:hint="default"/>
          <w:bCs/>
          <w:color w:val="auto"/>
          <w:sz w:val="32"/>
          <w:szCs w:val="32"/>
          <w:lang w:val="en-US" w:eastAsia="zh-CN"/>
        </w:rPr>
        <w:fldChar w:fldCharType="begin"/>
      </w:r>
      <w:r>
        <w:rPr>
          <w:rFonts w:hint="default"/>
          <w:bCs/>
          <w:color w:val="auto"/>
          <w:sz w:val="32"/>
          <w:szCs w:val="32"/>
          <w:lang w:val="en-US" w:eastAsia="zh-CN"/>
        </w:rPr>
        <w:instrText xml:space="preserve"> = 2 \* GB3 </w:instrText>
      </w:r>
      <w:r>
        <w:rPr>
          <w:rFonts w:hint="default"/>
          <w:bCs/>
          <w:color w:val="auto"/>
          <w:sz w:val="32"/>
          <w:szCs w:val="32"/>
          <w:lang w:val="en-US" w:eastAsia="zh-CN"/>
        </w:rPr>
        <w:fldChar w:fldCharType="separate"/>
      </w:r>
      <w:r>
        <w:rPr>
          <w:rFonts w:hint="default"/>
          <w:bCs/>
          <w:color w:val="auto"/>
          <w:sz w:val="32"/>
          <w:szCs w:val="32"/>
          <w:lang w:val="en-US" w:eastAsia="zh-CN"/>
        </w:rPr>
        <w:t>②</w:t>
      </w:r>
      <w:r>
        <w:rPr>
          <w:rFonts w:hint="default"/>
          <w:bCs/>
          <w:color w:val="auto"/>
          <w:sz w:val="32"/>
          <w:szCs w:val="32"/>
          <w:lang w:val="en-US" w:eastAsia="zh-CN"/>
        </w:rPr>
        <w:fldChar w:fldCharType="end"/>
      </w:r>
      <w:r>
        <w:rPr>
          <w:rFonts w:hint="eastAsia"/>
          <w:bCs/>
          <w:color w:val="auto"/>
          <w:sz w:val="32"/>
          <w:szCs w:val="32"/>
          <w:lang w:val="en-US" w:eastAsia="zh-CN"/>
        </w:rPr>
        <w:t>缺乏必要的绩效监督的监控力度，绩效监督考核不到位，依附于财务机构，绩效监督小组的权威性和独立性不够，对绩效监督工作没有给予足够的权利和支持。</w:t>
      </w:r>
    </w:p>
    <w:p>
      <w:pPr>
        <w:pStyle w:val="4"/>
        <w:spacing w:line="360" w:lineRule="auto"/>
        <w:rPr>
          <w:rFonts w:hint="eastAsia" w:ascii="宋体" w:hAnsi="宋体" w:eastAsia="宋体"/>
          <w:sz w:val="36"/>
          <w:szCs w:val="36"/>
        </w:rPr>
      </w:pPr>
      <w:r>
        <w:rPr>
          <w:rFonts w:hint="eastAsia" w:ascii="宋体" w:hAnsi="宋体" w:eastAsia="宋体"/>
          <w:sz w:val="36"/>
          <w:szCs w:val="36"/>
          <w:lang w:eastAsia="zh-CN"/>
        </w:rPr>
        <w:t>六、</w:t>
      </w:r>
      <w:r>
        <w:rPr>
          <w:rFonts w:hint="eastAsia" w:ascii="宋体" w:hAnsi="宋体" w:eastAsia="宋体"/>
          <w:sz w:val="36"/>
          <w:szCs w:val="36"/>
        </w:rPr>
        <w:t>有关建议</w:t>
      </w:r>
      <w:bookmarkEnd w:id="19"/>
    </w:p>
    <w:p>
      <w:pPr>
        <w:spacing w:line="360" w:lineRule="auto"/>
        <w:ind w:firstLine="640" w:firstLineChars="200"/>
        <w:rPr>
          <w:rFonts w:hint="eastAsia"/>
          <w:bCs/>
          <w:color w:val="auto"/>
          <w:sz w:val="32"/>
          <w:szCs w:val="32"/>
          <w:lang w:val="en-US" w:eastAsia="zh-CN"/>
        </w:rPr>
      </w:pPr>
      <w:r>
        <w:rPr>
          <w:rFonts w:hint="eastAsia"/>
          <w:bCs/>
          <w:color w:val="auto"/>
          <w:sz w:val="32"/>
          <w:szCs w:val="32"/>
          <w:lang w:val="en-US" w:eastAsia="zh-CN"/>
        </w:rPr>
        <w:t>1、建立绩效监督、财务状况预警机制，加强财务风险预测，建立预测指标数据，通过数据监测从而达到对财务运作中潜在风险预警预报，将可能发生的财务风险予以化解。</w:t>
      </w:r>
    </w:p>
    <w:p>
      <w:pPr>
        <w:spacing w:line="360" w:lineRule="auto"/>
        <w:ind w:firstLine="640" w:firstLineChars="200"/>
        <w:rPr>
          <w:rFonts w:hint="eastAsia"/>
          <w:bCs/>
          <w:color w:val="auto"/>
          <w:sz w:val="32"/>
          <w:szCs w:val="32"/>
          <w:lang w:val="en-US" w:eastAsia="zh-CN"/>
        </w:rPr>
      </w:pPr>
      <w:r>
        <w:rPr>
          <w:rFonts w:hint="eastAsia"/>
          <w:bCs/>
          <w:color w:val="auto"/>
          <w:sz w:val="32"/>
          <w:szCs w:val="32"/>
          <w:lang w:val="en-US" w:eastAsia="zh-CN"/>
        </w:rPr>
        <w:t>2、加强绩效监督审计控制，落实责任制、追究责任制；以保证绩效监督监控制度的顺利、有效运行。通过绩效监督检查，及时发现会计控制中的漏洞和隐患，尤其对财务会计核算中出现的新问题，新情况，及时纠正和风险控制。</w:t>
      </w:r>
      <w:bookmarkStart w:id="20" w:name="_Toc68703846"/>
    </w:p>
    <w:p>
      <w:pPr>
        <w:pStyle w:val="4"/>
        <w:spacing w:line="360" w:lineRule="auto"/>
        <w:rPr>
          <w:rFonts w:hint="eastAsia" w:ascii="宋体" w:hAnsi="宋体" w:eastAsia="宋体"/>
          <w:sz w:val="36"/>
          <w:szCs w:val="36"/>
          <w:lang w:eastAsia="zh-CN"/>
        </w:rPr>
      </w:pPr>
      <w:r>
        <w:rPr>
          <w:rFonts w:hint="eastAsia" w:ascii="宋体" w:hAnsi="宋体" w:eastAsia="宋体"/>
          <w:sz w:val="36"/>
          <w:szCs w:val="36"/>
          <w:lang w:eastAsia="zh-CN"/>
        </w:rPr>
        <w:t>七、其他需要说明的问题</w:t>
      </w:r>
      <w:bookmarkEnd w:id="20"/>
    </w:p>
    <w:p>
      <w:pPr>
        <w:spacing w:line="360" w:lineRule="auto"/>
        <w:ind w:firstLine="640" w:firstLineChars="200"/>
        <w:rPr>
          <w:rFonts w:hint="eastAsia"/>
          <w:bCs/>
          <w:color w:val="auto"/>
          <w:sz w:val="32"/>
          <w:szCs w:val="32"/>
          <w:lang w:eastAsia="zh-CN"/>
        </w:rPr>
      </w:pPr>
      <w:r>
        <w:rPr>
          <w:rFonts w:hint="eastAsia"/>
          <w:bCs/>
          <w:color w:val="auto"/>
          <w:sz w:val="32"/>
          <w:szCs w:val="32"/>
          <w:lang w:eastAsia="zh-CN"/>
        </w:rPr>
        <w:t>无</w:t>
      </w:r>
    </w:p>
    <w:p>
      <w:pPr>
        <w:spacing w:line="360" w:lineRule="auto"/>
        <w:ind w:firstLine="640" w:firstLineChars="200"/>
        <w:rPr>
          <w:rFonts w:hint="eastAsia"/>
          <w:bCs/>
          <w:color w:val="auto"/>
          <w:sz w:val="32"/>
          <w:szCs w:val="32"/>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4ODZiMzcwZDFhNDE4NDE0N2YwY2E0Y2E3MzAxZmMifQ=="/>
  </w:docVars>
  <w:rsids>
    <w:rsidRoot w:val="007D49C5"/>
    <w:rsid w:val="000D63FA"/>
    <w:rsid w:val="005B64E8"/>
    <w:rsid w:val="00614288"/>
    <w:rsid w:val="00792CFE"/>
    <w:rsid w:val="007D49C5"/>
    <w:rsid w:val="008175E0"/>
    <w:rsid w:val="008C631D"/>
    <w:rsid w:val="00A114ED"/>
    <w:rsid w:val="00B24331"/>
    <w:rsid w:val="021348EB"/>
    <w:rsid w:val="026F2A60"/>
    <w:rsid w:val="02C31095"/>
    <w:rsid w:val="06C62F02"/>
    <w:rsid w:val="095962AF"/>
    <w:rsid w:val="0A283ED3"/>
    <w:rsid w:val="0C0A7D34"/>
    <w:rsid w:val="0CBD4DA7"/>
    <w:rsid w:val="0D074274"/>
    <w:rsid w:val="0D4B23B2"/>
    <w:rsid w:val="0F2A6BF7"/>
    <w:rsid w:val="0F6970A8"/>
    <w:rsid w:val="1193257A"/>
    <w:rsid w:val="12AD766B"/>
    <w:rsid w:val="14131750"/>
    <w:rsid w:val="14B20F69"/>
    <w:rsid w:val="19DD25E4"/>
    <w:rsid w:val="1C125FDC"/>
    <w:rsid w:val="1D464944"/>
    <w:rsid w:val="2059498F"/>
    <w:rsid w:val="233D40F4"/>
    <w:rsid w:val="25A05356"/>
    <w:rsid w:val="263537A8"/>
    <w:rsid w:val="29C966E1"/>
    <w:rsid w:val="2ED578D6"/>
    <w:rsid w:val="32250B75"/>
    <w:rsid w:val="324F79A0"/>
    <w:rsid w:val="345C0152"/>
    <w:rsid w:val="36B72533"/>
    <w:rsid w:val="375717D0"/>
    <w:rsid w:val="3B0C34F1"/>
    <w:rsid w:val="3F3146B5"/>
    <w:rsid w:val="3F95733A"/>
    <w:rsid w:val="40271F5C"/>
    <w:rsid w:val="4057649F"/>
    <w:rsid w:val="42004812"/>
    <w:rsid w:val="421F7C4F"/>
    <w:rsid w:val="437234EE"/>
    <w:rsid w:val="44DA57EF"/>
    <w:rsid w:val="456B4699"/>
    <w:rsid w:val="46470C62"/>
    <w:rsid w:val="465A0995"/>
    <w:rsid w:val="469E2B35"/>
    <w:rsid w:val="49A73871"/>
    <w:rsid w:val="4C147838"/>
    <w:rsid w:val="4C39104D"/>
    <w:rsid w:val="4CE865CF"/>
    <w:rsid w:val="4EBD5F65"/>
    <w:rsid w:val="4F0A4F22"/>
    <w:rsid w:val="50270429"/>
    <w:rsid w:val="51596580"/>
    <w:rsid w:val="516528E4"/>
    <w:rsid w:val="518C60C3"/>
    <w:rsid w:val="52140592"/>
    <w:rsid w:val="521E31BF"/>
    <w:rsid w:val="54D236F7"/>
    <w:rsid w:val="559B68D4"/>
    <w:rsid w:val="56796849"/>
    <w:rsid w:val="57F237B9"/>
    <w:rsid w:val="59C7413C"/>
    <w:rsid w:val="5DA95371"/>
    <w:rsid w:val="5DF72B16"/>
    <w:rsid w:val="5E0A0A9B"/>
    <w:rsid w:val="5E420235"/>
    <w:rsid w:val="5E9A1E1F"/>
    <w:rsid w:val="5F7F59B5"/>
    <w:rsid w:val="5FBE36E7"/>
    <w:rsid w:val="60EE0200"/>
    <w:rsid w:val="611D4DD2"/>
    <w:rsid w:val="62B611F1"/>
    <w:rsid w:val="63AB062A"/>
    <w:rsid w:val="65E322FD"/>
    <w:rsid w:val="65E63B9C"/>
    <w:rsid w:val="664E34EF"/>
    <w:rsid w:val="66AF0431"/>
    <w:rsid w:val="67931B01"/>
    <w:rsid w:val="68187B88"/>
    <w:rsid w:val="6BCE135A"/>
    <w:rsid w:val="6D561607"/>
    <w:rsid w:val="6DAA1953"/>
    <w:rsid w:val="6FFB6495"/>
    <w:rsid w:val="728B1D53"/>
    <w:rsid w:val="74856C75"/>
    <w:rsid w:val="751C1388"/>
    <w:rsid w:val="78FF7B36"/>
    <w:rsid w:val="7A7C4677"/>
    <w:rsid w:val="7B2E0E4E"/>
    <w:rsid w:val="7B707D38"/>
    <w:rsid w:val="7D3968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unhideWhenUsed/>
    <w:qFormat/>
    <w:uiPriority w:val="99"/>
    <w:pPr>
      <w:spacing w:after="0"/>
      <w:ind w:left="0" w:leftChars="0" w:firstLine="420" w:firstLineChars="200"/>
    </w:pPr>
    <w:rPr>
      <w:sz w:val="30"/>
    </w:rPr>
  </w:style>
  <w:style w:type="paragraph" w:styleId="3">
    <w:name w:val="Body Text Indent"/>
    <w:basedOn w:val="1"/>
    <w:next w:val="1"/>
    <w:unhideWhenUsed/>
    <w:qFormat/>
    <w:uiPriority w:val="99"/>
    <w:pPr>
      <w:spacing w:after="120"/>
      <w:ind w:left="420" w:leftChars="200"/>
    </w:pPr>
  </w:style>
  <w:style w:type="paragraph" w:styleId="6">
    <w:name w:val="footer"/>
    <w:basedOn w:val="1"/>
    <w:link w:val="18"/>
    <w:semiHidden/>
    <w:unhideWhenUsed/>
    <w:qFormat/>
    <w:uiPriority w:val="99"/>
    <w:pPr>
      <w:tabs>
        <w:tab w:val="center" w:pos="4153"/>
        <w:tab w:val="right" w:pos="8306"/>
      </w:tabs>
      <w:snapToGrid w:val="0"/>
      <w:jc w:val="left"/>
    </w:pPr>
    <w:rPr>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Strong"/>
    <w:basedOn w:val="11"/>
    <w:qFormat/>
    <w:uiPriority w:val="0"/>
    <w:rPr>
      <w:b/>
      <w:bCs/>
    </w:rPr>
  </w:style>
  <w:style w:type="character" w:styleId="13">
    <w:name w:val="Hyperlink"/>
    <w:basedOn w:val="11"/>
    <w:unhideWhenUsed/>
    <w:qFormat/>
    <w:uiPriority w:val="99"/>
    <w:rPr>
      <w:color w:val="0563C1" w:themeColor="hyperlink"/>
      <w:u w:val="single"/>
    </w:rPr>
  </w:style>
  <w:style w:type="character" w:customStyle="1" w:styleId="14">
    <w:name w:val="标题 1 Char"/>
    <w:basedOn w:val="11"/>
    <w:link w:val="4"/>
    <w:qFormat/>
    <w:uiPriority w:val="9"/>
    <w:rPr>
      <w:rFonts w:ascii="Times New Roman" w:hAnsi="Times New Roman" w:eastAsia="仿宋_GB2312" w:cs="Times New Roman"/>
      <w:b/>
      <w:bCs/>
      <w:kern w:val="44"/>
      <w:sz w:val="44"/>
      <w:szCs w:val="44"/>
    </w:rPr>
  </w:style>
  <w:style w:type="character" w:customStyle="1" w:styleId="15">
    <w:name w:val="标题 2 Char"/>
    <w:basedOn w:val="11"/>
    <w:link w:val="5"/>
    <w:qFormat/>
    <w:uiPriority w:val="9"/>
    <w:rPr>
      <w:rFonts w:asciiTheme="majorHAnsi" w:hAnsiTheme="majorHAnsi" w:eastAsiaTheme="majorEastAsia" w:cstheme="majorBidi"/>
      <w:b/>
      <w:bCs/>
      <w:sz w:val="32"/>
      <w:szCs w:val="32"/>
    </w:rPr>
  </w:style>
  <w:style w:type="paragraph" w:customStyle="1" w:styleId="16">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7">
    <w:name w:val="页眉 Char"/>
    <w:basedOn w:val="11"/>
    <w:link w:val="7"/>
    <w:semiHidden/>
    <w:qFormat/>
    <w:uiPriority w:val="99"/>
    <w:rPr>
      <w:rFonts w:ascii="Times New Roman" w:hAnsi="Times New Roman" w:eastAsia="仿宋_GB2312" w:cs="Times New Roman"/>
      <w:sz w:val="18"/>
      <w:szCs w:val="18"/>
    </w:rPr>
  </w:style>
  <w:style w:type="character" w:customStyle="1" w:styleId="18">
    <w:name w:val="页脚 Char"/>
    <w:basedOn w:val="11"/>
    <w:link w:val="6"/>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6886</Words>
  <Characters>7213</Characters>
  <Lines>37</Lines>
  <Paragraphs>10</Paragraphs>
  <TotalTime>10</TotalTime>
  <ScaleCrop>false</ScaleCrop>
  <LinksUpToDate>false</LinksUpToDate>
  <CharactersWithSpaces>7241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2023-03-20T08:31:00Z</cp:lastPrinted>
  <dcterms:modified xsi:type="dcterms:W3CDTF">2023-09-06T04:31:26Z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96A333CD57A5484583FA7FE1F2E8298D</vt:lpwstr>
  </property>
</Properties>
</file>