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bookmarkStart w:id="20" w:name="_GoBack"/>
      <w:r>
        <w:rPr>
          <w:rFonts w:hint="eastAsia" w:ascii="仿宋_GB2312" w:hAnsi="Times New Roman" w:cs="Times New Roman"/>
          <w:lang w:val="en-US" w:eastAsia="zh-CN"/>
        </w:rPr>
        <w:t xml:space="preserve">2022年人身意外伤害保险 </w:t>
      </w:r>
    </w:p>
    <w:bookmarkEnd w:id="20"/>
    <w:p>
      <w:pPr>
        <w:spacing w:line="560" w:lineRule="exact"/>
        <w:ind w:firstLine="321" w:firstLineChars="100"/>
        <w:rPr>
          <w:rFonts w:hint="eastAsia" w:ascii="仿宋_GB2312" w:hAnsi="Times New Roman" w:cs="Times New Roman"/>
          <w:lang w:val="en-US" w:eastAsia="zh-CN"/>
        </w:rPr>
      </w:pPr>
      <w:r>
        <w:rPr>
          <w:rFonts w:hint="eastAsia" w:ascii="宋体" w:hAnsi="宋体" w:eastAsia="宋体" w:cs="仿宋_GB2312"/>
          <w:b/>
          <w:bCs/>
          <w:color w:val="000000"/>
          <w:kern w:val="0"/>
          <w:sz w:val="32"/>
          <w:szCs w:val="32"/>
        </w:rPr>
        <w:t>实施单位（公章）：</w:t>
      </w:r>
      <w:r>
        <w:rPr>
          <w:rFonts w:hint="eastAsia" w:ascii="仿宋_GB2312" w:hAnsi="Times New Roman" w:cs="Times New Roman"/>
          <w:lang w:val="en-US" w:eastAsia="zh-CN"/>
        </w:rPr>
        <w:t xml:space="preserve">霍城县医疗保障局 </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主管部门（公章）：</w:t>
      </w:r>
      <w:r>
        <w:rPr>
          <w:rFonts w:hint="eastAsia" w:ascii="仿宋_GB2312" w:hAnsi="Times New Roman" w:cs="Times New Roman"/>
          <w:lang w:val="en-US" w:eastAsia="zh-CN"/>
        </w:rPr>
        <w:t xml:space="preserve">霍城县医疗保障局 </w:t>
      </w:r>
    </w:p>
    <w:p>
      <w:pPr>
        <w:spacing w:line="560" w:lineRule="exact"/>
        <w:ind w:firstLine="321" w:firstLineChars="100"/>
        <w:rPr>
          <w:rFonts w:hint="eastAsia" w:ascii="仿宋_GB2312" w:hAnsi="Times New Roman" w:cs="Times New Roman"/>
          <w:lang w:val="en-US" w:eastAsia="zh-CN"/>
        </w:rPr>
      </w:pPr>
      <w:r>
        <w:rPr>
          <w:rFonts w:hint="eastAsia" w:ascii="宋体" w:hAnsi="宋体" w:eastAsia="宋体" w:cs="仿宋_GB2312"/>
          <w:b/>
          <w:bCs/>
          <w:color w:val="000000"/>
          <w:kern w:val="0"/>
          <w:sz w:val="32"/>
          <w:szCs w:val="32"/>
        </w:rPr>
        <w:t>项目负责人（签章）：</w:t>
      </w:r>
      <w:r>
        <w:rPr>
          <w:rFonts w:hint="eastAsia" w:ascii="仿宋_GB2312" w:hAnsi="Times New Roman" w:cs="Times New Roman"/>
          <w:lang w:val="en-US" w:eastAsia="zh-CN"/>
        </w:rPr>
        <w:t>唐雁</w:t>
      </w:r>
    </w:p>
    <w:p>
      <w:pPr>
        <w:spacing w:line="560" w:lineRule="exact"/>
        <w:ind w:firstLine="321" w:firstLineChars="100"/>
        <w:rPr>
          <w:rFonts w:hint="eastAsia" w:ascii="仿宋_GB2312" w:hAnsi="Times New Roman" w:cs="Times New Roman"/>
          <w:lang w:val="en-US" w:eastAsia="zh-CN"/>
        </w:rPr>
      </w:pPr>
      <w:r>
        <w:rPr>
          <w:rFonts w:hint="eastAsia" w:ascii="宋体" w:hAnsi="宋体" w:eastAsia="宋体" w:cs="仿宋_GB2312"/>
          <w:b/>
          <w:bCs/>
          <w:color w:val="000000"/>
          <w:kern w:val="0"/>
          <w:sz w:val="32"/>
          <w:szCs w:val="32"/>
        </w:rPr>
        <w:t>填报时间：</w:t>
      </w:r>
      <w:r>
        <w:rPr>
          <w:rFonts w:hint="eastAsia" w:ascii="仿宋_GB2312" w:hAnsi="Times New Roman" w:cs="Times New Roman"/>
          <w:lang w:val="en-US" w:eastAsia="zh-CN"/>
        </w:rPr>
        <w:t>2023年  3 月 28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r>
        <w:rPr>
          <w:rFonts w:hint="eastAsia" w:ascii="仿宋_GB2312"/>
        </w:rPr>
        <w:t>（参考提纲）</w:t>
      </w:r>
    </w:p>
    <w:p>
      <w:pPr>
        <w:jc w:val="center"/>
        <w:rPr>
          <w:rFonts w:ascii="仿宋_GB2312"/>
          <w:szCs w:val="30"/>
        </w:rPr>
      </w:pPr>
    </w:p>
    <w:p>
      <w:pPr>
        <w:pStyle w:val="5"/>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6"/>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0"/>
        </w:numPr>
        <w:spacing w:line="360" w:lineRule="auto"/>
        <w:ind w:firstLine="600" w:firstLineChars="200"/>
        <w:rPr>
          <w:rFonts w:hint="eastAsia" w:ascii="仿宋_GB2312"/>
        </w:rPr>
      </w:pPr>
      <w:r>
        <w:rPr>
          <w:rFonts w:hint="eastAsia" w:ascii="仿宋_GB2312"/>
          <w:lang w:val="en-US" w:eastAsia="zh-CN"/>
        </w:rPr>
        <w:t>1.</w:t>
      </w:r>
      <w:r>
        <w:rPr>
          <w:rFonts w:hint="eastAsia" w:ascii="仿宋_GB2312"/>
        </w:rPr>
        <w:t>项目背景</w:t>
      </w:r>
    </w:p>
    <w:p>
      <w:pPr>
        <w:spacing w:line="360" w:lineRule="auto"/>
        <w:rPr>
          <w:rFonts w:hint="eastAsia" w:ascii="仿宋_GB2312" w:hAnsi="Times New Roman" w:cs="Times New Roman"/>
          <w:lang w:eastAsia="zh-CN"/>
        </w:rPr>
      </w:pPr>
      <w:r>
        <w:rPr>
          <w:rFonts w:hint="eastAsia"/>
          <w:lang w:eastAsia="zh-CN"/>
        </w:rPr>
        <w:t>　　</w:t>
      </w:r>
      <w:r>
        <w:rPr>
          <w:rFonts w:hint="eastAsia" w:ascii="仿宋_GB2312" w:hAnsi="Times New Roman" w:cs="Times New Roman"/>
          <w:lang w:eastAsia="zh-CN"/>
        </w:rPr>
        <w:t>根据《关于建立和实施人身意外伤害保险的通知》新人社发（2016）140号文件，对新疆户籍的居民，参加自治区城乡居民医疗和城镇职工医疗保险的非新疆户籍居民和援疆工作人员提供保障。每人每年10元的筹资标准，保险费由各级财政安排，个人不缴费，保障人身意外伤害对象经济负担减轻。</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w:t>
      </w:r>
      <w:r>
        <w:rPr>
          <w:rFonts w:hint="eastAsia" w:ascii="仿宋_GB2312" w:hAnsi="Times New Roman" w:cs="Times New Roman"/>
        </w:rPr>
        <w:t>内容及实施情况</w:t>
      </w:r>
    </w:p>
    <w:p>
      <w:pPr>
        <w:spacing w:line="360" w:lineRule="auto"/>
        <w:rPr>
          <w:rFonts w:hint="eastAsia" w:ascii="Times New Roman" w:hAnsi="Times New Roman" w:cs="Times New Roman"/>
          <w:lang w:eastAsia="zh-CN"/>
        </w:rPr>
      </w:pPr>
      <w:r>
        <w:rPr>
          <w:rFonts w:hint="eastAsia" w:ascii="仿宋_GB2312"/>
          <w:lang w:eastAsia="zh-CN"/>
        </w:rPr>
        <w:t>　　</w:t>
      </w:r>
      <w:r>
        <w:rPr>
          <w:rFonts w:hint="eastAsia" w:ascii="仿宋_GB2312"/>
        </w:rPr>
        <w:t>主要内容：</w:t>
      </w:r>
      <w:r>
        <w:rPr>
          <w:rFonts w:hint="eastAsia" w:ascii="Times New Roman" w:hAnsi="Times New Roman" w:cs="Times New Roman"/>
        </w:rPr>
        <w:t>为促进并落实自治区人身意外伤害保险的实施，做好人身意外伤害保险的宣传、投保和赔付工作</w:t>
      </w:r>
      <w:r>
        <w:rPr>
          <w:rFonts w:hint="eastAsia" w:ascii="Times New Roman" w:hAnsi="Times New Roman" w:cs="Times New Roman"/>
          <w:lang w:eastAsia="zh-CN"/>
        </w:rPr>
        <w:t>。根据《关于</w:t>
      </w:r>
      <w:r>
        <w:rPr>
          <w:rFonts w:hint="eastAsia" w:ascii="Times New Roman" w:hAnsi="Times New Roman" w:cs="Times New Roman"/>
          <w:lang w:val="en-US" w:eastAsia="zh-CN"/>
        </w:rPr>
        <w:t>2022年</w:t>
      </w:r>
      <w:r>
        <w:rPr>
          <w:rFonts w:hint="eastAsia" w:ascii="Times New Roman" w:hAnsi="Times New Roman" w:cs="Times New Roman"/>
          <w:lang w:eastAsia="zh-CN"/>
        </w:rPr>
        <w:t>自治区财政人身意外伤害保险补助资金预算分配的请求》伊州医保</w:t>
      </w:r>
      <w:r>
        <w:rPr>
          <w:rFonts w:hint="eastAsia" w:ascii="Times New Roman" w:hAnsi="Times New Roman" w:cs="Times New Roman"/>
          <w:lang w:val="en-US" w:eastAsia="zh-CN"/>
        </w:rPr>
        <w:t>[2022]33</w:t>
      </w:r>
      <w:r>
        <w:rPr>
          <w:rFonts w:hint="eastAsia" w:ascii="Times New Roman" w:hAnsi="Times New Roman" w:cs="Times New Roman"/>
          <w:lang w:eastAsia="zh-CN"/>
        </w:rPr>
        <w:t>号文件精神，现提前下达霍城县</w:t>
      </w:r>
      <w:r>
        <w:rPr>
          <w:rFonts w:hint="eastAsia" w:ascii="Times New Roman" w:hAnsi="Times New Roman" w:cs="Times New Roman"/>
          <w:lang w:val="en-US" w:eastAsia="zh-CN"/>
        </w:rPr>
        <w:t>133.3</w:t>
      </w:r>
      <w:r>
        <w:rPr>
          <w:rFonts w:hint="eastAsia" w:ascii="Times New Roman" w:hAnsi="Times New Roman" w:cs="Times New Roman"/>
          <w:lang w:eastAsia="zh-CN"/>
        </w:rPr>
        <w:t>万元，县财政补助</w:t>
      </w:r>
      <w:r>
        <w:rPr>
          <w:rFonts w:hint="eastAsia" w:cs="Times New Roman"/>
          <w:lang w:val="en-US" w:eastAsia="zh-CN"/>
        </w:rPr>
        <w:t>94.82</w:t>
      </w:r>
      <w:r>
        <w:rPr>
          <w:rFonts w:hint="eastAsia" w:ascii="Times New Roman" w:hAnsi="Times New Roman" w:cs="Times New Roman"/>
          <w:lang w:val="en-US" w:eastAsia="zh-CN"/>
        </w:rPr>
        <w:t>万元，</w:t>
      </w:r>
      <w:r>
        <w:rPr>
          <w:rFonts w:hint="eastAsia" w:ascii="Times New Roman" w:hAnsi="Times New Roman" w:cs="Times New Roman"/>
          <w:lang w:eastAsia="zh-CN"/>
        </w:rPr>
        <w:t>专项用于人身意外伤害保险补助。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Times New Roman" w:cs="Times New Roman"/>
          <w:lang w:eastAsia="zh-CN"/>
        </w:rPr>
      </w:pPr>
      <w:r>
        <w:rPr>
          <w:rFonts w:hint="eastAsia" w:ascii="仿宋_GB2312"/>
          <w:lang w:eastAsia="zh-CN"/>
        </w:rPr>
        <w:t>　　</w:t>
      </w:r>
      <w:r>
        <w:rPr>
          <w:rFonts w:hint="eastAsia" w:ascii="仿宋_GB2312" w:hAnsi="Times New Roman" w:cs="Times New Roman"/>
        </w:rPr>
        <w:t>实施情况：</w:t>
      </w:r>
      <w:r>
        <w:rPr>
          <w:rFonts w:hint="eastAsia" w:ascii="仿宋_GB2312" w:hAnsi="Times New Roman" w:cs="Times New Roman"/>
          <w:lang w:eastAsia="zh-CN"/>
        </w:rPr>
        <w:t>根据《关于</w:t>
      </w:r>
      <w:r>
        <w:rPr>
          <w:rFonts w:hint="eastAsia" w:ascii="仿宋_GB2312" w:hAnsi="Times New Roman" w:cs="Times New Roman"/>
          <w:lang w:val="en-US" w:eastAsia="zh-CN"/>
        </w:rPr>
        <w:t>2022年</w:t>
      </w:r>
      <w:r>
        <w:rPr>
          <w:rFonts w:hint="eastAsia" w:ascii="仿宋_GB2312" w:hAnsi="Times New Roman" w:cs="Times New Roman"/>
          <w:lang w:eastAsia="zh-CN"/>
        </w:rPr>
        <w:t>自治区财政人身意外伤害保险补助资金预算分配的请求》伊州医保</w:t>
      </w:r>
      <w:r>
        <w:rPr>
          <w:rFonts w:hint="eastAsia" w:ascii="仿宋_GB2312" w:hAnsi="Times New Roman" w:cs="Times New Roman"/>
          <w:lang w:val="en-US" w:eastAsia="zh-CN"/>
        </w:rPr>
        <w:t>[2022]33</w:t>
      </w:r>
      <w:r>
        <w:rPr>
          <w:rFonts w:hint="eastAsia" w:ascii="仿宋_GB2312" w:hAnsi="Times New Roman" w:cs="Times New Roman"/>
          <w:lang w:eastAsia="zh-CN"/>
        </w:rPr>
        <w:t>号文件精神，</w:t>
      </w:r>
      <w:r>
        <w:rPr>
          <w:rFonts w:hint="eastAsia" w:ascii="仿宋_GB2312" w:hAnsi="Times New Roman" w:cs="Times New Roman"/>
          <w:lang w:val="en-US" w:eastAsia="zh-CN"/>
        </w:rPr>
        <w:t>2021年我县参保人数为253399人，应上缴资金253.399万元，实际上缴278.68万元。2022年应上缴资金253.399万元，扣除2021年多上缴25.281万元，实际上缴228.118万元（其中：自治区财政专项资金133.3万元，县</w:t>
      </w:r>
      <w:r>
        <w:rPr>
          <w:rFonts w:hint="eastAsia" w:ascii="仿宋_GB2312" w:hAnsi="Times New Roman" w:cs="Times New Roman"/>
          <w:lang w:eastAsia="zh-CN"/>
        </w:rPr>
        <w:t>财政补助</w:t>
      </w:r>
      <w:r>
        <w:rPr>
          <w:rFonts w:hint="eastAsia" w:ascii="仿宋_GB2312" w:cs="Times New Roman"/>
          <w:lang w:val="en-US" w:eastAsia="zh-CN"/>
        </w:rPr>
        <w:t>94.82</w:t>
      </w:r>
      <w:r>
        <w:rPr>
          <w:rFonts w:hint="eastAsia" w:ascii="仿宋_GB2312" w:hAnsi="Times New Roman" w:cs="Times New Roman"/>
          <w:lang w:eastAsia="zh-CN"/>
        </w:rPr>
        <w:t>万元</w:t>
      </w:r>
      <w:r>
        <w:rPr>
          <w:rFonts w:hint="eastAsia" w:ascii="仿宋_GB2312" w:hAnsi="Times New Roman" w:cs="Times New Roman"/>
          <w:lang w:val="en-US" w:eastAsia="zh-CN"/>
        </w:rPr>
        <w:t>）</w:t>
      </w:r>
      <w:r>
        <w:rPr>
          <w:rFonts w:hint="eastAsia" w:ascii="仿宋_GB2312" w:hAnsi="Times New Roman" w:cs="Times New Roman"/>
          <w:lang w:eastAsia="zh-CN"/>
        </w:rPr>
        <w:t>。</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ascii="仿宋_GB2312" w:cs="Times New Roman"/>
          <w:color w:val="auto"/>
          <w:lang w:val="en-US" w:eastAsia="zh-CN"/>
        </w:rPr>
        <w:t>0</w:t>
      </w:r>
      <w:r>
        <w:rPr>
          <w:rFonts w:hint="eastAsia"/>
          <w:color w:val="auto"/>
        </w:rPr>
        <w:t>万元，全年预算数</w:t>
      </w:r>
      <w:r>
        <w:rPr>
          <w:rFonts w:hint="eastAsia" w:ascii="仿宋_GB2312" w:cs="Times New Roman"/>
          <w:color w:val="auto"/>
          <w:lang w:val="en-US" w:eastAsia="zh-CN"/>
        </w:rPr>
        <w:t>94.82</w:t>
      </w:r>
      <w:r>
        <w:rPr>
          <w:rFonts w:hint="eastAsia"/>
          <w:color w:val="auto"/>
        </w:rPr>
        <w:t>万元，实际总投入</w:t>
      </w:r>
      <w:r>
        <w:rPr>
          <w:rFonts w:hint="eastAsia" w:ascii="仿宋_GB2312" w:cs="Times New Roman"/>
          <w:color w:val="auto"/>
          <w:lang w:val="en-US" w:eastAsia="zh-CN"/>
        </w:rPr>
        <w:t>94.82</w:t>
      </w:r>
      <w:r>
        <w:rPr>
          <w:rFonts w:hint="eastAsia"/>
          <w:color w:val="auto"/>
        </w:rPr>
        <w:t>万元，该项目资金已全部落实到位，资金来源为</w:t>
      </w:r>
      <w:r>
        <w:rPr>
          <w:rFonts w:hint="eastAsia" w:ascii="仿宋_GB2312" w:hAnsi="Times New Roman" w:cs="Times New Roman"/>
          <w:color w:val="auto"/>
          <w:lang w:val="en-US" w:eastAsia="zh-CN"/>
        </w:rPr>
        <w:t>县</w:t>
      </w:r>
      <w:r>
        <w:rPr>
          <w:rFonts w:hint="eastAsia" w:ascii="仿宋_GB2312" w:hAnsi="Times New Roman" w:cs="Times New Roman"/>
          <w:color w:val="auto"/>
          <w:lang w:eastAsia="zh-CN"/>
        </w:rPr>
        <w:t>财政补助</w:t>
      </w:r>
      <w:r>
        <w:rPr>
          <w:rFonts w:hint="eastAsia"/>
          <w:color w:val="auto"/>
        </w:rPr>
        <w:t>。</w:t>
      </w:r>
    </w:p>
    <w:p>
      <w:pPr>
        <w:spacing w:line="360" w:lineRule="auto"/>
        <w:ind w:firstLine="600" w:firstLineChars="200"/>
        <w:rPr>
          <w:rFonts w:hint="eastAsia"/>
          <w:color w:val="auto"/>
        </w:rPr>
      </w:pPr>
      <w:r>
        <w:rPr>
          <w:rFonts w:hint="eastAsia"/>
          <w:color w:val="auto"/>
        </w:rPr>
        <w:t>资金使用情况：该项目年初预算数</w:t>
      </w:r>
      <w:r>
        <w:rPr>
          <w:rFonts w:hint="eastAsia" w:ascii="仿宋_GB2312" w:cs="Times New Roman"/>
          <w:color w:val="auto"/>
          <w:lang w:val="en-US" w:eastAsia="zh-CN"/>
        </w:rPr>
        <w:t>0</w:t>
      </w:r>
      <w:r>
        <w:rPr>
          <w:rFonts w:hint="eastAsia"/>
          <w:color w:val="auto"/>
        </w:rPr>
        <w:t>万元，全年预算数</w:t>
      </w:r>
      <w:r>
        <w:rPr>
          <w:rFonts w:hint="eastAsia" w:ascii="仿宋_GB2312" w:cs="Times New Roman"/>
          <w:color w:val="auto"/>
          <w:lang w:val="en-US" w:eastAsia="zh-CN"/>
        </w:rPr>
        <w:t>94.82</w:t>
      </w:r>
      <w:r>
        <w:rPr>
          <w:rFonts w:hint="eastAsia"/>
          <w:color w:val="auto"/>
        </w:rPr>
        <w:t>万元，全年执行数</w:t>
      </w:r>
      <w:r>
        <w:rPr>
          <w:rFonts w:hint="eastAsia" w:ascii="仿宋_GB2312" w:cs="Times New Roman"/>
          <w:color w:val="auto"/>
          <w:lang w:val="en-US" w:eastAsia="zh-CN"/>
        </w:rPr>
        <w:t>94.82</w:t>
      </w:r>
      <w:r>
        <w:rPr>
          <w:rFonts w:hint="eastAsia"/>
          <w:color w:val="auto"/>
        </w:rPr>
        <w:t>万元，预算执行率为</w:t>
      </w:r>
      <w:r>
        <w:rPr>
          <w:rFonts w:hint="eastAsia"/>
          <w:color w:val="auto"/>
          <w:lang w:val="en-US" w:eastAsia="zh-CN"/>
        </w:rPr>
        <w:t>100</w:t>
      </w:r>
      <w:r>
        <w:rPr>
          <w:rFonts w:hint="eastAsia"/>
          <w:color w:val="auto"/>
        </w:rPr>
        <w:t>%，用于：人均财政筹资标准</w:t>
      </w:r>
      <w:r>
        <w:rPr>
          <w:rFonts w:hint="eastAsia"/>
          <w:color w:val="auto"/>
          <w:lang w:val="en-US" w:eastAsia="zh-CN"/>
        </w:rPr>
        <w:t>10元/人共9.48万人，共计94.82</w:t>
      </w:r>
      <w:r>
        <w:rPr>
          <w:rFonts w:hint="eastAsia"/>
          <w:color w:val="auto"/>
        </w:rPr>
        <w:t>万元。</w:t>
      </w:r>
    </w:p>
    <w:p>
      <w:pPr>
        <w:pStyle w:val="6"/>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color w:val="auto"/>
        </w:rPr>
      </w:pPr>
      <w:r>
        <w:rPr>
          <w:rFonts w:hint="eastAsia"/>
        </w:rPr>
        <w:t>1</w:t>
      </w:r>
      <w:r>
        <w:rPr>
          <w:rFonts w:hint="eastAsia"/>
          <w:lang w:val="en-US" w:eastAsia="zh-CN"/>
        </w:rPr>
        <w:t>.</w:t>
      </w:r>
      <w:r>
        <w:rPr>
          <w:rFonts w:hint="eastAsia"/>
        </w:rPr>
        <w:t>总体目标：</w:t>
      </w:r>
      <w:r>
        <w:rPr>
          <w:rFonts w:hint="eastAsia"/>
          <w:color w:val="auto"/>
        </w:rPr>
        <w:t>根据《关于建立和实施人身意外伤害保险的通知》新人社发（2016）140号文件，对新疆户籍的居民，参加自治区城乡居民医疗和城镇职工医疗保险的非新疆户籍居民和援疆工作人员提供保障。每人每年10元的筹资标准，保险费由各级财政安排，个人不缴费，保障人身意外伤害对象经济负担减轻。</w:t>
      </w:r>
    </w:p>
    <w:p>
      <w:pPr>
        <w:pStyle w:val="12"/>
        <w:keepNext w:val="0"/>
        <w:keepLines w:val="0"/>
        <w:pageBreakBefore w:val="0"/>
        <w:kinsoku/>
        <w:wordWrap/>
        <w:overflowPunct/>
        <w:topLinePunct w:val="0"/>
        <w:autoSpaceDE/>
        <w:autoSpaceDN/>
        <w:bidi w:val="0"/>
        <w:adjustRightInd/>
        <w:snapToGrid/>
        <w:spacing w:line="360" w:lineRule="auto"/>
        <w:ind w:firstLine="640"/>
        <w:textAlignment w:val="auto"/>
        <w:rPr>
          <w:rFonts w:hint="eastAsia" w:ascii="Times New Roman" w:hAnsi="Times New Roman" w:eastAsia="仿宋_GB2312" w:cs="Times New Roman"/>
          <w:color w:val="auto"/>
          <w:kern w:val="2"/>
          <w:sz w:val="30"/>
          <w:szCs w:val="24"/>
          <w:shd w:val="clear" w:fill="FFFF00"/>
          <w:lang w:val="en-US" w:eastAsia="zh-CN" w:bidi="ar-SA"/>
        </w:rPr>
      </w:pPr>
      <w:r>
        <w:rPr>
          <w:rFonts w:hint="eastAsia" w:ascii="Times New Roman" w:hAnsi="Times New Roman" w:eastAsia="仿宋_GB2312" w:cs="Times New Roman"/>
          <w:color w:val="auto"/>
          <w:kern w:val="2"/>
          <w:sz w:val="30"/>
          <w:szCs w:val="24"/>
          <w:lang w:val="en-US" w:eastAsia="zh-CN" w:bidi="ar-SA"/>
        </w:rPr>
        <w:t>2.阶段性目标：2022年，2022年应上缴资金253.399万元，扣除2021年多上缴25.281万元，实际上缴228.118万元（其中：自治区财政专项资金133.3万元，县财政补助94.82万元）。2022年度截止12月受益人数845笔，2287597.97万元，结案率100%。意外住院医疗赔付428人次，赔付114.33万元</w:t>
      </w:r>
      <w:r>
        <w:rPr>
          <w:rFonts w:hint="eastAsia" w:ascii="Times New Roman" w:hAnsi="Times New Roman" w:cs="Times New Roman"/>
          <w:color w:val="auto"/>
          <w:kern w:val="2"/>
          <w:sz w:val="30"/>
          <w:szCs w:val="24"/>
          <w:lang w:val="en-US" w:eastAsia="zh-CN" w:bidi="ar-SA"/>
        </w:rPr>
        <w:t>。</w:t>
      </w:r>
    </w:p>
    <w:p>
      <w:pPr>
        <w:pStyle w:val="5"/>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6"/>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hAnsi="Times New Roman" w:cs="Times New Roman"/>
          <w:color w:val="auto"/>
          <w:lang w:eastAsia="zh-CN"/>
        </w:rPr>
        <w:t>人身意外伤害保险补助资金</w:t>
      </w:r>
      <w:r>
        <w:rPr>
          <w:rFonts w:hint="eastAsia" w:ascii="仿宋_GB2312"/>
          <w:bCs/>
          <w:color w:val="auto"/>
          <w:sz w:val="32"/>
          <w:szCs w:val="32"/>
        </w:rPr>
        <w:t>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局</w:t>
      </w:r>
      <w:r>
        <w:rPr>
          <w:rFonts w:hint="eastAsia" w:ascii="仿宋_GB2312"/>
          <w:bCs/>
          <w:color w:val="auto"/>
          <w:sz w:val="32"/>
          <w:szCs w:val="32"/>
        </w:rPr>
        <w:t>根据绩效评价中发现的问题，认真加以整改，及时调整和完善</w:t>
      </w:r>
      <w:r>
        <w:rPr>
          <w:rFonts w:hint="eastAsia" w:ascii="仿宋_GB2312"/>
          <w:bCs/>
          <w:color w:val="auto"/>
          <w:sz w:val="32"/>
          <w:szCs w:val="32"/>
          <w:lang w:eastAsia="zh-CN"/>
        </w:rPr>
        <w:t>保险公司的</w:t>
      </w:r>
      <w:r>
        <w:rPr>
          <w:rFonts w:hint="eastAsia" w:ascii="仿宋_GB2312"/>
          <w:bCs/>
          <w:color w:val="auto"/>
          <w:sz w:val="32"/>
          <w:szCs w:val="32"/>
        </w:rPr>
        <w:t>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rPr>
          <w:color w:val="auto"/>
        </w:rPr>
      </w:pPr>
      <w:r>
        <w:rPr>
          <w:rFonts w:hint="eastAsia"/>
          <w:color w:val="auto"/>
        </w:rPr>
        <w:t>2</w:t>
      </w:r>
      <w:r>
        <w:rPr>
          <w:rFonts w:hint="eastAsia"/>
          <w:color w:val="auto"/>
          <w:lang w:val="en-US" w:eastAsia="zh-CN"/>
        </w:rPr>
        <w:t>.</w:t>
      </w:r>
      <w:r>
        <w:rPr>
          <w:rFonts w:hint="eastAsia"/>
          <w:color w:val="auto"/>
        </w:rPr>
        <w:t>绩效评价对象：</w:t>
      </w:r>
    </w:p>
    <w:p>
      <w:pPr>
        <w:spacing w:line="360" w:lineRule="auto"/>
        <w:ind w:firstLine="640" w:firstLineChars="200"/>
        <w:rPr>
          <w:rFonts w:hint="eastAsia" w:ascii="仿宋" w:hAnsi="仿宋" w:eastAsia="仿宋" w:cs="仿宋_GB2312"/>
          <w:color w:val="auto"/>
          <w:sz w:val="32"/>
          <w:szCs w:val="32"/>
          <w:lang w:eastAsia="zh-CN"/>
        </w:rPr>
      </w:pPr>
      <w:r>
        <w:rPr>
          <w:rFonts w:hint="eastAsia" w:ascii="仿宋" w:hAnsi="仿宋" w:eastAsia="仿宋" w:cs="仿宋_GB2312"/>
          <w:color w:val="auto"/>
          <w:sz w:val="32"/>
          <w:szCs w:val="32"/>
          <w:lang w:val="en-US" w:eastAsia="zh-CN"/>
        </w:rPr>
        <w:t>2022年</w:t>
      </w:r>
      <w:r>
        <w:rPr>
          <w:rFonts w:hint="eastAsia" w:ascii="仿宋" w:hAnsi="仿宋" w:eastAsia="仿宋" w:cs="仿宋_GB2312"/>
          <w:color w:val="auto"/>
          <w:sz w:val="32"/>
          <w:szCs w:val="32"/>
          <w:lang w:eastAsia="zh-CN"/>
        </w:rPr>
        <w:t>人身意外伤害保险资金</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ascii="仿宋" w:hAnsi="仿宋" w:eastAsia="仿宋" w:cs="仿宋_GB2312"/>
          <w:color w:val="auto"/>
          <w:sz w:val="32"/>
          <w:szCs w:val="32"/>
          <w:lang w:val="en-US" w:eastAsia="zh-CN"/>
        </w:rPr>
        <w:t>2022年</w:t>
      </w:r>
      <w:r>
        <w:rPr>
          <w:rFonts w:hint="eastAsia" w:ascii="仿宋" w:hAnsi="仿宋" w:eastAsia="仿宋" w:cs="仿宋_GB2312"/>
          <w:color w:val="auto"/>
          <w:sz w:val="32"/>
          <w:szCs w:val="32"/>
          <w:lang w:eastAsia="zh-CN"/>
        </w:rPr>
        <w:t>人身意外伤害保险资金</w:t>
      </w:r>
      <w:r>
        <w:rPr>
          <w:rFonts w:hint="eastAsia"/>
          <w:color w:val="auto"/>
        </w:rPr>
        <w:t>评价，评价核心为资金的支出完成情况和效果。</w:t>
      </w:r>
    </w:p>
    <w:p>
      <w:pPr>
        <w:spacing w:line="360" w:lineRule="auto"/>
        <w:rPr>
          <w:color w:val="auto"/>
        </w:rPr>
      </w:pPr>
    </w:p>
    <w:p>
      <w:pPr>
        <w:pStyle w:val="6"/>
        <w:spacing w:line="360" w:lineRule="auto"/>
        <w:rPr>
          <w:rFonts w:hint="eastAsia"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Times New Roman" w:hAnsi="Times New Roman" w:cs="Times New Roman"/>
          <w:color w:val="auto"/>
          <w:lang w:eastAsia="zh-CN"/>
        </w:rPr>
        <w:t>霍城县人民政府</w:t>
      </w:r>
      <w:r>
        <w:rPr>
          <w:rFonts w:hint="eastAsia" w:ascii="仿宋_GB2312"/>
          <w:bCs/>
          <w:color w:val="auto"/>
          <w:sz w:val="32"/>
          <w:szCs w:val="32"/>
        </w:rPr>
        <w:t>网站上，并自觉接受社会监督。</w:t>
      </w:r>
    </w:p>
    <w:p>
      <w:pPr>
        <w:spacing w:line="360" w:lineRule="auto"/>
        <w:rPr>
          <w:color w:val="auto"/>
        </w:rPr>
      </w:pPr>
    </w:p>
    <w:p>
      <w:pPr>
        <w:spacing w:line="360" w:lineRule="auto"/>
        <w:ind w:firstLine="600" w:firstLineChars="200"/>
        <w:jc w:val="left"/>
        <w:rPr>
          <w:rFonts w:hint="eastAsia"/>
        </w:rPr>
      </w:pPr>
      <w:r>
        <w:rPr>
          <w:rFonts w:hint="eastAsia"/>
        </w:rPr>
        <w:t>2、评价指标体系（附表说明）</w:t>
      </w:r>
    </w:p>
    <w:p>
      <w:pPr>
        <w:pStyle w:val="6"/>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lang w:val="en-US" w:eastAsia="zh-CN"/>
        </w:rPr>
        <w:t>2022年</w:t>
      </w:r>
      <w:r>
        <w:rPr>
          <w:rFonts w:hint="eastAsia" w:ascii="Times New Roman" w:hAnsi="Times New Roman" w:eastAsia="仿宋_GB2312" w:cs="Times New Roman"/>
          <w:b w:val="0"/>
          <w:bCs w:val="0"/>
          <w:sz w:val="30"/>
          <w:szCs w:val="24"/>
          <w:lang w:eastAsia="zh-CN"/>
        </w:rPr>
        <w:t>人身意外伤害保险资金</w:t>
      </w:r>
      <w:r>
        <w:rPr>
          <w:rFonts w:hint="eastAsia" w:ascii="Times New Roman" w:hAnsi="Times New Roman" w:eastAsia="仿宋_GB2312" w:cs="Times New Roman"/>
          <w:b w:val="0"/>
          <w:bCs w:val="0"/>
          <w:sz w:val="30"/>
          <w:szCs w:val="24"/>
        </w:rPr>
        <w:t>项目支出绩效评价指标体系</w:t>
      </w:r>
    </w:p>
    <w:tbl>
      <w:tblPr>
        <w:tblStyle w:val="13"/>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600" w:lineRule="auto"/>
              <w:jc w:val="center"/>
            </w:pPr>
            <w:r>
              <w:rPr>
                <w:rFonts w:hint="eastAsia"/>
                <w:color w:val="auto"/>
                <w:lang w:val="en-US" w:eastAsia="zh-CN"/>
              </w:rPr>
              <w:t>4</w:t>
            </w:r>
          </w:p>
        </w:tc>
        <w:tc>
          <w:tcPr>
            <w:tcW w:w="874" w:type="dxa"/>
            <w:tcBorders>
              <w:bottom w:val="single" w:color="auto" w:sz="4" w:space="0"/>
            </w:tcBorders>
            <w:shd w:val="clear" w:color="auto" w:fill="FFFFFF"/>
            <w:vAlign w:val="top"/>
          </w:tcPr>
          <w:p>
            <w:pPr>
              <w:spacing w:line="600" w:lineRule="auto"/>
              <w:jc w:val="cente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spacing w:line="600" w:lineRule="auto"/>
              <w:jc w:val="center"/>
            </w:pPr>
            <w:r>
              <w:rPr>
                <w:rFonts w:hint="eastAsia"/>
                <w:color w:val="auto"/>
                <w:lang w:val="en-US" w:eastAsia="zh-CN"/>
              </w:rPr>
              <w:t>4</w:t>
            </w:r>
          </w:p>
        </w:tc>
        <w:tc>
          <w:tcPr>
            <w:tcW w:w="874" w:type="dxa"/>
            <w:shd w:val="clear" w:color="auto" w:fill="FFFFFF"/>
            <w:vAlign w:val="top"/>
          </w:tcPr>
          <w:p>
            <w:pPr>
              <w:spacing w:line="600" w:lineRule="auto"/>
              <w:jc w:val="cente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c>
          <w:tcPr>
            <w:tcW w:w="874" w:type="dxa"/>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10</w:t>
            </w:r>
          </w:p>
        </w:tc>
        <w:tc>
          <w:tcPr>
            <w:tcW w:w="874" w:type="dxa"/>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874" w:type="dxa"/>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15</w:t>
            </w:r>
          </w:p>
        </w:tc>
        <w:tc>
          <w:tcPr>
            <w:tcW w:w="874" w:type="dxa"/>
            <w:shd w:val="clear" w:color="auto"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top"/>
          </w:tcPr>
          <w:p>
            <w:pPr>
              <w:spacing w:line="600" w:lineRule="auto"/>
              <w:jc w:val="cente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10</w:t>
            </w:r>
          </w:p>
        </w:tc>
        <w:tc>
          <w:tcPr>
            <w:tcW w:w="874" w:type="dxa"/>
            <w:shd w:val="clear" w:color="000000" w:fill="FFFFFF"/>
            <w:vAlign w:val="top"/>
          </w:tcPr>
          <w:p>
            <w:pPr>
              <w:spacing w:line="600" w:lineRule="auto"/>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spacing w:line="600" w:lineRule="auto"/>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100</w:t>
            </w:r>
          </w:p>
        </w:tc>
        <w:tc>
          <w:tcPr>
            <w:tcW w:w="874" w:type="dxa"/>
            <w:shd w:val="clear" w:color="auto" w:fill="FFFFFF"/>
            <w:vAlign w:val="center"/>
          </w:tcPr>
          <w:p>
            <w:pPr>
              <w:spacing w:line="600" w:lineRule="auto"/>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28"/>
          <w:szCs w:val="28"/>
          <w:highlight w:val="none"/>
          <w:lang w:val="en-US" w:eastAsia="zh-CN"/>
        </w:rPr>
      </w:pPr>
      <w:r>
        <w:rPr>
          <w:rFonts w:hint="eastAsia" w:ascii="Times New Roman" w:hAnsi="Times New Roman" w:cs="Times New Roman"/>
          <w:bCs/>
          <w:color w:val="auto"/>
          <w:sz w:val="32"/>
          <w:szCs w:val="32"/>
          <w:lang w:val="en-US" w:eastAsia="zh-CN"/>
        </w:rPr>
        <w:t>本次人身意外伤害保险项目支出绩效自评</w:t>
      </w:r>
      <w:r>
        <w:rPr>
          <w:rFonts w:hint="eastAsia" w:ascii="Times New Roman" w:hAnsi="Times New Roman" w:cs="Times New Roman"/>
          <w:bCs/>
          <w:color w:val="auto"/>
          <w:sz w:val="32"/>
          <w:szCs w:val="32"/>
        </w:rPr>
        <w:t>采用比较法</w:t>
      </w:r>
      <w:r>
        <w:rPr>
          <w:rFonts w:hint="eastAsia" w:ascii="Times New Roman" w:hAnsi="Times New Roman" w:cs="Times New Roman"/>
          <w:bCs/>
          <w:color w:val="auto"/>
          <w:sz w:val="32"/>
          <w:szCs w:val="32"/>
          <w:lang w:eastAsia="zh-CN"/>
        </w:rPr>
        <w:t>、</w:t>
      </w:r>
      <w:r>
        <w:rPr>
          <w:rFonts w:hint="eastAsia" w:ascii="Times New Roman" w:hAnsi="Times New Roman" w:cs="Times New Roman"/>
          <w:bCs/>
          <w:color w:val="auto"/>
          <w:sz w:val="32"/>
          <w:szCs w:val="32"/>
        </w:rPr>
        <w:t>因素分析法</w:t>
      </w:r>
      <w:r>
        <w:rPr>
          <w:rFonts w:hint="eastAsia" w:ascii="Times New Roman" w:hAnsi="Times New Roman" w:cs="Times New Roman"/>
          <w:bCs/>
          <w:color w:val="auto"/>
          <w:sz w:val="32"/>
          <w:szCs w:val="32"/>
          <w:lang w:eastAsia="zh-CN"/>
        </w:rPr>
        <w:t>等方法</w:t>
      </w:r>
      <w:r>
        <w:rPr>
          <w:rFonts w:hint="eastAsia" w:ascii="Times New Roman" w:hAnsi="Times New Roman" w:cs="Times New Roman"/>
          <w:bCs/>
          <w:color w:val="auto"/>
          <w:sz w:val="32"/>
          <w:szCs w:val="32"/>
        </w:rPr>
        <w:t>，</w:t>
      </w:r>
      <w:r>
        <w:rPr>
          <w:rFonts w:hint="eastAsia" w:ascii="Times New Roman" w:hAnsi="Times New Roman" w:cs="Times New Roman"/>
          <w:bCs/>
          <w:color w:val="auto"/>
          <w:sz w:val="32"/>
          <w:szCs w:val="32"/>
          <w:lang w:val="en-US" w:eastAsia="zh-CN"/>
        </w:rPr>
        <w:t>原因是：运用比较法是对上年度和本年度资金使用情况进行比较，找出差异；</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28"/>
          <w:szCs w:val="28"/>
          <w:highlight w:val="none"/>
          <w:lang w:val="en-US" w:eastAsia="zh-CN"/>
        </w:rPr>
      </w:pPr>
      <w:r>
        <w:rPr>
          <w:rFonts w:hint="eastAsia" w:ascii="Times New Roman" w:hAnsi="Times New Roman" w:cs="Times New Roman"/>
          <w:bCs/>
          <w:color w:val="auto"/>
          <w:sz w:val="32"/>
          <w:szCs w:val="32"/>
          <w:lang w:val="en-US" w:eastAsia="zh-CN"/>
        </w:rPr>
        <w:t>根据各项因素分析产生差异的原因进行调整和整改，以减少差异产生</w:t>
      </w:r>
      <w:r>
        <w:rPr>
          <w:rFonts w:hint="eastAsia" w:ascii="Times New Roman" w:hAnsi="Times New Roman" w:cs="Times New Roman"/>
          <w:bCs/>
          <w:color w:val="auto"/>
          <w:sz w:val="32"/>
          <w:szCs w:val="32"/>
          <w:highlight w:val="none"/>
          <w:lang w:val="en-US" w:eastAsia="zh-CN"/>
        </w:rPr>
        <w:t>的原因；同时结合各项综合指数</w:t>
      </w:r>
      <w:r>
        <w:rPr>
          <w:rFonts w:hint="eastAsia" w:ascii="仿宋_GB2312" w:hAnsi="仿宋_GB2312" w:eastAsia="仿宋_GB2312" w:cs="仿宋_GB2312"/>
          <w:sz w:val="28"/>
          <w:szCs w:val="28"/>
          <w:highlight w:val="none"/>
          <w:lang w:val="en-US" w:eastAsia="zh-CN"/>
        </w:rPr>
        <w:t>来评价人身意外伤害保险资金使用的效益。</w:t>
      </w:r>
    </w:p>
    <w:p>
      <w:pPr>
        <w:spacing w:line="360" w:lineRule="auto"/>
        <w:ind w:firstLine="600" w:firstLineChars="200"/>
        <w:jc w:val="left"/>
        <w:rPr>
          <w:rFonts w:hint="eastAsia"/>
          <w:highlight w:val="none"/>
        </w:rPr>
      </w:pPr>
      <w:r>
        <w:rPr>
          <w:rFonts w:hint="eastAsia"/>
          <w:highlight w:val="none"/>
        </w:rPr>
        <w:t>4</w:t>
      </w:r>
      <w:r>
        <w:rPr>
          <w:rFonts w:hint="eastAsia"/>
          <w:highlight w:val="none"/>
          <w:lang w:val="en-US" w:eastAsia="zh-CN"/>
        </w:rPr>
        <w:t>.</w:t>
      </w:r>
      <w:r>
        <w:rPr>
          <w:rFonts w:hint="eastAsia"/>
          <w:highlight w:val="none"/>
        </w:rPr>
        <w:t>评价标准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hAnsiTheme="majorHAnsi" w:cstheme="majorBidi"/>
          <w:b w:val="0"/>
          <w:bCs w:val="0"/>
          <w:kern w:val="2"/>
          <w:sz w:val="32"/>
          <w:szCs w:val="32"/>
          <w:highlight w:val="none"/>
          <w:lang w:val="en-US" w:eastAsia="zh-CN" w:bidi="ar-SA"/>
        </w:rPr>
      </w:pPr>
      <w:bookmarkStart w:id="6" w:name="_Toc68703833"/>
      <w:r>
        <w:rPr>
          <w:rFonts w:hint="eastAsia" w:ascii="仿宋_GB2312" w:eastAsia="仿宋_GB2312" w:hAnsiTheme="majorHAnsi" w:cstheme="majorBidi"/>
          <w:b w:val="0"/>
          <w:bCs w:val="0"/>
          <w:kern w:val="2"/>
          <w:sz w:val="32"/>
          <w:szCs w:val="32"/>
          <w:highlight w:val="none"/>
          <w:lang w:val="en-US" w:eastAsia="zh-CN" w:bidi="ar-SA"/>
        </w:rPr>
        <w:t>本次项目支出绩效自评采用行业标准，原因是：人身意外保险政策</w:t>
      </w:r>
      <w:r>
        <w:rPr>
          <w:rFonts w:hint="eastAsia" w:ascii="仿宋_GB2312" w:hAnsiTheme="majorHAnsi" w:cstheme="majorBidi"/>
          <w:b w:val="0"/>
          <w:bCs w:val="0"/>
          <w:kern w:val="2"/>
          <w:sz w:val="32"/>
          <w:szCs w:val="32"/>
          <w:highlight w:val="none"/>
          <w:lang w:val="en-US" w:eastAsia="zh-CN" w:bidi="ar-SA"/>
        </w:rPr>
        <w:t>属于医疗保险业务，所以参照国家公布的医疗保险行业</w:t>
      </w:r>
      <w:r>
        <w:rPr>
          <w:rFonts w:hint="eastAsia" w:ascii="仿宋_GB2312" w:eastAsia="仿宋_GB2312" w:hAnsiTheme="majorHAnsi" w:cstheme="majorBidi"/>
          <w:b w:val="0"/>
          <w:bCs w:val="0"/>
          <w:kern w:val="2"/>
          <w:sz w:val="32"/>
          <w:szCs w:val="32"/>
          <w:highlight w:val="none"/>
          <w:lang w:val="en-US" w:eastAsia="zh-CN" w:bidi="ar-SA"/>
        </w:rPr>
        <w:t>数据制定的评价标准</w:t>
      </w:r>
      <w:r>
        <w:rPr>
          <w:rFonts w:hint="eastAsia" w:ascii="仿宋_GB2312" w:hAnsiTheme="majorHAnsi" w:cstheme="majorBidi"/>
          <w:b w:val="0"/>
          <w:bCs w:val="0"/>
          <w:kern w:val="2"/>
          <w:sz w:val="32"/>
          <w:szCs w:val="32"/>
          <w:highlight w:val="none"/>
          <w:lang w:val="en-US" w:eastAsia="zh-CN" w:bidi="ar-SA"/>
        </w:rPr>
        <w:t>指标数据制定</w:t>
      </w:r>
      <w:r>
        <w:rPr>
          <w:rFonts w:hint="eastAsia" w:ascii="仿宋_GB2312" w:eastAsia="仿宋_GB2312" w:hAnsiTheme="majorHAnsi" w:cstheme="majorBidi"/>
          <w:b w:val="0"/>
          <w:bCs w:val="0"/>
          <w:kern w:val="2"/>
          <w:sz w:val="32"/>
          <w:szCs w:val="32"/>
          <w:highlight w:val="none"/>
          <w:lang w:val="en-US" w:eastAsia="zh-CN" w:bidi="ar-SA"/>
        </w:rPr>
        <w:t>评价标准。</w:t>
      </w:r>
    </w:p>
    <w:p>
      <w:pPr>
        <w:pStyle w:val="6"/>
        <w:spacing w:line="360" w:lineRule="auto"/>
        <w:rPr>
          <w:rFonts w:hint="eastAsia" w:ascii="仿宋_GB2312" w:eastAsia="仿宋_GB2312"/>
          <w:b/>
          <w:bCs/>
        </w:rPr>
      </w:pPr>
      <w:r>
        <w:rPr>
          <w:rFonts w:hint="eastAsia" w:ascii="仿宋_GB2312" w:eastAsia="仿宋_GB2312"/>
          <w:b/>
          <w:bCs/>
        </w:rPr>
        <w:t>（三）绩效评价工作过程。</w:t>
      </w:r>
      <w:bookmarkEnd w:id="6"/>
    </w:p>
    <w:p>
      <w:pPr>
        <w:spacing w:line="360" w:lineRule="auto"/>
      </w:pPr>
      <w:bookmarkStart w:id="7" w:name="_Toc68703834"/>
      <w:r>
        <w:rPr>
          <w:rFonts w:hint="eastAsia"/>
        </w:rPr>
        <w:t>1、前期准备：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pPr>
      <w:r>
        <w:t>2</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pPr>
      <w:r>
        <w:rPr>
          <w:rFonts w:hint="eastAsia"/>
        </w:rPr>
        <w:t>3、分析评价：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16</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ascii="宋体" w:hAnsi="宋体" w:eastAsia="宋体"/>
          <w:sz w:val="32"/>
          <w:szCs w:val="32"/>
        </w:rPr>
      </w:pPr>
      <w:r>
        <w:rPr>
          <w:rFonts w:hint="eastAsia" w:ascii="宋体" w:hAnsi="宋体" w:eastAsia="宋体"/>
          <w:sz w:val="32"/>
          <w:szCs w:val="32"/>
        </w:rPr>
        <w:t>三、综合评价情况及评价结论</w:t>
      </w:r>
      <w:bookmarkEnd w:id="7"/>
    </w:p>
    <w:p>
      <w:pPr>
        <w:pStyle w:val="6"/>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bookmarkStart w:id="9" w:name="_Toc68703836"/>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ascii="仿宋_GB2312" w:hAnsi="仿宋_GB2312" w:eastAsia="仿宋_GB2312" w:cs="仿宋_GB2312"/>
          <w:color w:val="auto"/>
          <w:sz w:val="28"/>
          <w:szCs w:val="28"/>
          <w:highlight w:val="none"/>
        </w:rPr>
        <w:t>比较法</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因素分析法</w:t>
      </w:r>
      <w:r>
        <w:rPr>
          <w:rFonts w:hint="eastAsia"/>
          <w:color w:val="auto"/>
        </w:rPr>
        <w:t>，坚持</w:t>
      </w:r>
      <w:r>
        <w:rPr>
          <w:rFonts w:hint="eastAsia"/>
          <w:color w:val="auto"/>
          <w:lang w:eastAsia="zh-CN"/>
        </w:rPr>
        <w:t>行业标准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40" w:firstLineChars="200"/>
        <w:jc w:val="center"/>
        <w:rPr>
          <w:color w:val="auto"/>
        </w:rPr>
      </w:pPr>
      <w:r>
        <w:rPr>
          <w:rFonts w:hint="eastAsia"/>
          <w:bCs/>
          <w:color w:val="auto"/>
          <w:sz w:val="32"/>
          <w:szCs w:val="32"/>
          <w:lang w:eastAsia="zh-CN"/>
        </w:rPr>
        <w:t>人身意外保险</w:t>
      </w:r>
      <w:r>
        <w:rPr>
          <w:rFonts w:hint="eastAsia"/>
          <w:color w:val="auto"/>
        </w:rPr>
        <w:t>项目评价得分情况</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spacing w:line="400" w:lineRule="exact"/>
              <w:jc w:val="center"/>
              <w:rPr>
                <w:rFonts w:hint="default"/>
                <w:color w:val="auto"/>
                <w:sz w:val="22"/>
                <w:lang w:val="en-US"/>
              </w:rPr>
            </w:pPr>
            <w:r>
              <w:rPr>
                <w:rFonts w:hint="eastAsia" w:ascii="仿宋_GB2312" w:hAnsi="仿宋_GB2312" w:cs="仿宋_GB2312"/>
                <w:color w:val="auto"/>
                <w:kern w:val="0"/>
                <w:sz w:val="30"/>
                <w:szCs w:val="30"/>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spacing w:line="400" w:lineRule="exact"/>
              <w:jc w:val="center"/>
              <w:rPr>
                <w:rFonts w:hint="default"/>
                <w:color w:val="auto"/>
                <w:sz w:val="22"/>
                <w:lang w:val="en-US"/>
              </w:rPr>
            </w:pPr>
            <w:r>
              <w:rPr>
                <w:rFonts w:hint="eastAsia" w:ascii="仿宋_GB2312" w:hAnsi="仿宋_GB2312" w:cs="仿宋_GB2312"/>
                <w:color w:val="auto"/>
                <w:kern w:val="0"/>
                <w:sz w:val="30"/>
                <w:szCs w:val="30"/>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spacing w:line="400" w:lineRule="exact"/>
              <w:jc w:val="center"/>
              <w:rPr>
                <w:color w:val="auto"/>
                <w:sz w:val="22"/>
              </w:rPr>
            </w:pPr>
            <w:r>
              <w:rPr>
                <w:rFonts w:hint="eastAsia" w:ascii="仿宋_GB2312" w:hAnsi="仿宋_GB2312" w:cs="仿宋_GB2312"/>
                <w:color w:val="auto"/>
                <w:kern w:val="0"/>
                <w:sz w:val="30"/>
                <w:szCs w:val="30"/>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spacing w:line="400" w:lineRule="exact"/>
              <w:jc w:val="center"/>
              <w:rPr>
                <w:color w:val="auto"/>
                <w:sz w:val="22"/>
              </w:rPr>
            </w:pPr>
            <w:r>
              <w:rPr>
                <w:rFonts w:hint="eastAsia" w:ascii="仿宋_GB2312" w:hAnsi="仿宋_GB2312" w:cs="仿宋_GB2312"/>
                <w:color w:val="auto"/>
                <w:kern w:val="0"/>
                <w:sz w:val="30"/>
                <w:szCs w:val="30"/>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spacing w:line="400" w:lineRule="exact"/>
              <w:jc w:val="center"/>
              <w:rPr>
                <w:rFonts w:hint="default"/>
                <w:color w:val="auto"/>
                <w:sz w:val="22"/>
                <w:lang w:val="en-US"/>
              </w:rPr>
            </w:pPr>
            <w:r>
              <w:rPr>
                <w:rFonts w:hint="eastAsia" w:ascii="仿宋_GB2312" w:hAnsi="仿宋_GB2312" w:cs="仿宋_GB2312"/>
                <w:color w:val="auto"/>
                <w:kern w:val="0"/>
                <w:sz w:val="30"/>
                <w:szCs w:val="30"/>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spacing w:line="400" w:lineRule="exact"/>
              <w:jc w:val="center"/>
              <w:rPr>
                <w:rFonts w:hint="default"/>
                <w:color w:val="auto"/>
                <w:sz w:val="22"/>
                <w:lang w:val="en-US"/>
              </w:rPr>
            </w:pPr>
            <w:r>
              <w:rPr>
                <w:rFonts w:hint="eastAsia" w:ascii="仿宋_GB2312" w:hAnsi="仿宋_GB2312" w:cs="仿宋_GB2312"/>
                <w:color w:val="auto"/>
                <w:kern w:val="0"/>
                <w:sz w:val="30"/>
                <w:szCs w:val="30"/>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spacing w:line="400" w:lineRule="exact"/>
              <w:jc w:val="center"/>
              <w:rPr>
                <w:rFonts w:hint="default"/>
                <w:color w:val="auto"/>
                <w:sz w:val="22"/>
                <w:lang w:val="en-US"/>
              </w:rPr>
            </w:pPr>
            <w:r>
              <w:rPr>
                <w:rFonts w:hint="eastAsia" w:ascii="仿宋_GB2312" w:hAnsi="仿宋_GB2312" w:cs="仿宋_GB2312"/>
                <w:color w:val="auto"/>
                <w:kern w:val="0"/>
                <w:sz w:val="30"/>
                <w:szCs w:val="30"/>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spacing w:line="400" w:lineRule="exact"/>
              <w:jc w:val="center"/>
              <w:rPr>
                <w:rFonts w:hint="default"/>
                <w:color w:val="auto"/>
                <w:sz w:val="22"/>
                <w:lang w:val="en-US"/>
              </w:rPr>
            </w:pPr>
            <w:r>
              <w:rPr>
                <w:rFonts w:hint="eastAsia" w:ascii="仿宋_GB2312" w:hAnsi="仿宋_GB2312" w:cs="仿宋_GB2312"/>
                <w:color w:val="auto"/>
                <w:kern w:val="0"/>
                <w:sz w:val="30"/>
                <w:szCs w:val="30"/>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spacing w:line="400" w:lineRule="exact"/>
              <w:jc w:val="center"/>
              <w:rPr>
                <w:b/>
                <w:bCs/>
                <w:color w:val="auto"/>
                <w:sz w:val="22"/>
              </w:rPr>
            </w:pPr>
            <w:r>
              <w:rPr>
                <w:rFonts w:hint="eastAsia" w:ascii="仿宋_GB2312" w:hAnsi="仿宋_GB2312" w:cs="仿宋_GB2312"/>
                <w:color w:val="auto"/>
                <w:kern w:val="0"/>
                <w:sz w:val="30"/>
                <w:szCs w:val="30"/>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spacing w:line="400" w:lineRule="exact"/>
              <w:jc w:val="center"/>
              <w:rPr>
                <w:rFonts w:hint="default"/>
                <w:b/>
                <w:bCs/>
                <w:color w:val="auto"/>
                <w:sz w:val="22"/>
                <w:lang w:val="en-US"/>
              </w:rPr>
            </w:pPr>
            <w:r>
              <w:rPr>
                <w:rFonts w:hint="eastAsia" w:ascii="仿宋_GB2312" w:hAnsi="仿宋_GB2312" w:cs="仿宋_GB2312"/>
                <w:color w:val="auto"/>
                <w:kern w:val="0"/>
                <w:sz w:val="30"/>
                <w:szCs w:val="30"/>
                <w:lang w:val="en-US" w:eastAsia="zh-CN"/>
              </w:rPr>
              <w:t>100</w:t>
            </w:r>
          </w:p>
        </w:tc>
      </w:tr>
    </w:tbl>
    <w:p>
      <w:pPr>
        <w:pStyle w:val="6"/>
        <w:spacing w:line="360" w:lineRule="auto"/>
        <w:rPr>
          <w:rFonts w:ascii="仿宋_GB2312" w:eastAsia="仿宋_GB2312"/>
          <w:b w:val="0"/>
          <w:bCs w:val="0"/>
        </w:rPr>
      </w:pPr>
      <w:r>
        <w:rPr>
          <w:rFonts w:hint="eastAsia" w:ascii="仿宋_GB2312" w:eastAsia="仿宋_GB2312"/>
          <w:b w:val="0"/>
          <w:bCs w:val="0"/>
        </w:rPr>
        <w:t>（二）评价结论</w:t>
      </w:r>
    </w:p>
    <w:p>
      <w:pPr>
        <w:spacing w:line="360" w:lineRule="auto"/>
        <w:ind w:firstLine="600" w:firstLineChars="200"/>
        <w:rPr>
          <w:rFonts w:hint="eastAsia" w:ascii="Times New Roman" w:hAnsi="Times New Roman" w:eastAsia="仿宋_GB2312" w:cs="Times New Roman"/>
          <w:color w:val="auto"/>
          <w:lang w:eastAsia="zh-CN"/>
        </w:rPr>
      </w:pPr>
      <w:r>
        <w:rPr>
          <w:rFonts w:hint="eastAsia" w:ascii="Times New Roman" w:hAnsi="Times New Roman" w:cs="Times New Roman"/>
          <w:color w:val="auto"/>
        </w:rPr>
        <w:t>本项目的项目决策、项目过程、项目产出、项目效益均达到了预期要求，最终得分为</w:t>
      </w:r>
      <w:r>
        <w:rPr>
          <w:rFonts w:hint="eastAsia" w:ascii="Times New Roman" w:hAnsi="Times New Roman" w:cs="Times New Roman"/>
          <w:color w:val="auto"/>
          <w:lang w:val="en-US" w:eastAsia="zh-CN"/>
        </w:rPr>
        <w:t>100</w:t>
      </w:r>
      <w:r>
        <w:rPr>
          <w:rFonts w:hint="eastAsia" w:ascii="Times New Roman" w:hAnsi="Times New Roman" w:cs="Times New Roman"/>
          <w:color w:val="auto"/>
        </w:rPr>
        <w:t>分</w:t>
      </w:r>
      <w:r>
        <w:rPr>
          <w:rFonts w:hint="eastAsia" w:cs="Times New Roman"/>
          <w:color w:val="auto"/>
          <w:lang w:eastAsia="zh-CN"/>
        </w:rPr>
        <w:t>，评价等级为“优”，项目达成年度指标。</w:t>
      </w:r>
    </w:p>
    <w:bookmarkEnd w:id="9"/>
    <w:p>
      <w:pPr>
        <w:pStyle w:val="5"/>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6"/>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rFonts w:hint="eastAsia" w:ascii="Times New Roman" w:hAnsi="Times New Roman" w:eastAsia="仿宋_GB2312" w:cs="Times New Roman"/>
          <w:color w:val="auto"/>
          <w:lang w:eastAsia="zh-CN"/>
        </w:rPr>
      </w:pP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项目立项依据</w:t>
      </w:r>
      <w:r>
        <w:rPr>
          <w:rFonts w:hint="eastAsia" w:ascii="Times New Roman" w:hAnsi="Times New Roman" w:cs="Times New Roman"/>
          <w:color w:val="auto"/>
          <w:lang w:eastAsia="zh-CN"/>
        </w:rPr>
        <w:t>：《关于建立和实施人身意外伤害保险的通知》新人社发</w:t>
      </w:r>
      <w:r>
        <w:rPr>
          <w:rFonts w:hint="eastAsia" w:ascii="Times New Roman" w:hAnsi="Times New Roman" w:cs="Times New Roman"/>
          <w:color w:val="auto"/>
          <w:lang w:val="en-US" w:eastAsia="zh-CN"/>
        </w:rPr>
        <w:t>[2016]140</w:t>
      </w:r>
      <w:r>
        <w:rPr>
          <w:rFonts w:hint="eastAsia" w:ascii="Times New Roman" w:hAnsi="Times New Roman" w:cs="Times New Roman"/>
          <w:color w:val="auto"/>
          <w:lang w:eastAsia="zh-CN"/>
        </w:rPr>
        <w:t>号、《新疆维吾尔自治区人身意外伤害保险资金管理暂行办法》、《自治区人身意外伤害保险服务协议》及</w:t>
      </w:r>
      <w:r>
        <w:rPr>
          <w:rFonts w:hint="eastAsia" w:ascii="仿宋" w:hAnsi="仿宋" w:eastAsia="仿宋" w:cs="仿宋"/>
          <w:sz w:val="32"/>
          <w:szCs w:val="32"/>
          <w:lang w:eastAsia="zh-CN"/>
        </w:rPr>
        <w:t>《关于</w:t>
      </w:r>
      <w:r>
        <w:rPr>
          <w:rFonts w:hint="eastAsia" w:ascii="仿宋" w:hAnsi="仿宋" w:eastAsia="仿宋" w:cs="仿宋"/>
          <w:sz w:val="32"/>
          <w:szCs w:val="32"/>
          <w:lang w:val="en-US" w:eastAsia="zh-CN"/>
        </w:rPr>
        <w:t>2022年自治区财政人身意外伤害保险补助资金预算分配的请求</w:t>
      </w:r>
      <w:r>
        <w:rPr>
          <w:rFonts w:hint="eastAsia" w:ascii="仿宋" w:hAnsi="仿宋" w:eastAsia="仿宋" w:cs="仿宋"/>
          <w:sz w:val="32"/>
          <w:szCs w:val="32"/>
          <w:lang w:eastAsia="zh-CN"/>
        </w:rPr>
        <w:t>》伊州医保</w:t>
      </w:r>
      <w:r>
        <w:rPr>
          <w:rFonts w:hint="eastAsia" w:ascii="仿宋" w:hAnsi="仿宋" w:eastAsia="仿宋" w:cs="仿宋"/>
          <w:sz w:val="32"/>
          <w:szCs w:val="32"/>
          <w:lang w:val="en-US" w:eastAsia="zh-CN"/>
        </w:rPr>
        <w:t>[2022]33号</w:t>
      </w: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项目立项符合</w:t>
      </w:r>
      <w:r>
        <w:rPr>
          <w:rFonts w:hint="eastAsia" w:ascii="Times New Roman" w:hAnsi="Times New Roman" w:cs="Times New Roman"/>
          <w:color w:val="auto"/>
          <w:lang w:eastAsia="zh-CN"/>
        </w:rPr>
        <w:t>医疗保障局</w:t>
      </w:r>
      <w:r>
        <w:rPr>
          <w:rFonts w:hint="eastAsia" w:ascii="Times New Roman" w:hAnsi="Times New Roman" w:cs="Times New Roman"/>
          <w:color w:val="auto"/>
        </w:rPr>
        <w:t>行业发展规划和政策要求；项目立项与</w:t>
      </w:r>
      <w:r>
        <w:rPr>
          <w:rFonts w:hint="eastAsia" w:ascii="Times New Roman" w:hAnsi="Times New Roman" w:cs="Times New Roman"/>
          <w:color w:val="auto"/>
          <w:lang w:eastAsia="zh-CN"/>
        </w:rPr>
        <w:t>医疗保障局</w:t>
      </w:r>
      <w:r>
        <w:rPr>
          <w:rFonts w:hint="eastAsia" w:ascii="Times New Roman" w:hAnsi="Times New Roman" w:cs="Times New Roman"/>
          <w:color w:val="auto"/>
        </w:rPr>
        <w:t>部门职责范围相符，属于部门履职所需；</w:t>
      </w: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属于公共财政支持范围，符合地方事权支出责任划分原则；</w:t>
      </w: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项目</w:t>
      </w:r>
      <w:r>
        <w:rPr>
          <w:rFonts w:hint="eastAsia" w:ascii="Times New Roman" w:hAnsi="Times New Roman" w:cs="Times New Roman"/>
          <w:color w:val="auto"/>
          <w:lang w:eastAsia="zh-CN"/>
        </w:rPr>
        <w:t>与</w:t>
      </w:r>
      <w:r>
        <w:rPr>
          <w:rFonts w:hint="eastAsia" w:ascii="Times New Roman" w:hAnsi="Times New Roman" w:cs="Times New Roman"/>
          <w:color w:val="auto"/>
        </w:rPr>
        <w:t>相关</w:t>
      </w:r>
      <w:r>
        <w:rPr>
          <w:rFonts w:hint="eastAsia" w:ascii="Times New Roman" w:hAnsi="Times New Roman" w:cs="Times New Roman"/>
          <w:color w:val="auto"/>
          <w:lang w:eastAsia="zh-CN"/>
        </w:rPr>
        <w:t>保险在报销总额上不会</w:t>
      </w:r>
      <w:r>
        <w:rPr>
          <w:rFonts w:hint="eastAsia" w:ascii="Times New Roman" w:hAnsi="Times New Roman" w:cs="Times New Roman"/>
          <w:color w:val="auto"/>
        </w:rPr>
        <w:t>重复</w:t>
      </w:r>
      <w:r>
        <w:rPr>
          <w:rFonts w:hint="eastAsia" w:cs="Times New Roman"/>
          <w:color w:val="auto"/>
          <w:lang w:eastAsia="zh-CN"/>
        </w:rPr>
        <w:t>。</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2、立项程序规范性</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项目是按照规定的程序申请设立；项目审批文件、材料</w:t>
      </w:r>
      <w:r>
        <w:rPr>
          <w:rFonts w:hint="eastAsia" w:ascii="Times New Roman" w:hAnsi="Times New Roman" w:cs="Times New Roman"/>
          <w:color w:val="auto"/>
          <w:lang w:eastAsia="zh-CN"/>
        </w:rPr>
        <w:t>均</w:t>
      </w:r>
      <w:r>
        <w:rPr>
          <w:rFonts w:hint="eastAsia" w:ascii="Times New Roman" w:hAnsi="Times New Roman" w:cs="Times New Roman"/>
          <w:color w:val="auto"/>
        </w:rPr>
        <w:t>符合相关要求；</w:t>
      </w: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项目事前已经过</w:t>
      </w:r>
      <w:r>
        <w:rPr>
          <w:rFonts w:hint="eastAsia" w:ascii="Times New Roman" w:hAnsi="Times New Roman" w:cs="Times New Roman"/>
          <w:color w:val="auto"/>
          <w:lang w:eastAsia="zh-CN"/>
        </w:rPr>
        <w:t>自治区和州级进行</w:t>
      </w:r>
      <w:r>
        <w:rPr>
          <w:rFonts w:hint="eastAsia" w:ascii="Times New Roman" w:hAnsi="Times New Roman" w:cs="Times New Roman"/>
          <w:color w:val="auto"/>
        </w:rPr>
        <w:t>必要的可行性研究、专家论证、风险评估、绩效评估、集体决策。</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3、绩效目标合理性</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项目设立了项目绩效目标，与</w:t>
      </w:r>
      <w:r>
        <w:rPr>
          <w:rFonts w:hint="eastAsia" w:ascii="Times New Roman" w:hAnsi="Times New Roman" w:cs="Times New Roman"/>
          <w:color w:val="auto"/>
          <w:lang w:eastAsia="zh-CN"/>
        </w:rPr>
        <w:t>医疗保障工作</w:t>
      </w:r>
      <w:r>
        <w:rPr>
          <w:rFonts w:hint="eastAsia" w:ascii="Times New Roman" w:hAnsi="Times New Roman" w:cs="Times New Roman"/>
          <w:color w:val="auto"/>
        </w:rPr>
        <w:t>具有相关性，项目的预期产出效益和效果也均能符合正常的业绩水平，并且与预算确定的项目投资额或资金量相匹配。</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4、绩效指标明确性</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项目将项目绩效目标细化分解为具体的绩效指标，一级指标共</w:t>
      </w:r>
      <w:r>
        <w:rPr>
          <w:rFonts w:hint="eastAsia" w:ascii="Times New Roman" w:hAnsi="Times New Roman" w:cs="Times New Roman"/>
          <w:color w:val="auto"/>
          <w:lang w:val="en-US" w:eastAsia="zh-CN"/>
        </w:rPr>
        <w:t>3</w:t>
      </w:r>
      <w:r>
        <w:rPr>
          <w:rFonts w:hint="eastAsia" w:ascii="Times New Roman" w:hAnsi="Times New Roman" w:cs="Times New Roman"/>
          <w:color w:val="auto"/>
        </w:rPr>
        <w:t>条，二级指标共</w:t>
      </w:r>
      <w:r>
        <w:rPr>
          <w:rFonts w:hint="eastAsia" w:ascii="Times New Roman" w:hAnsi="Times New Roman" w:cs="Times New Roman"/>
          <w:color w:val="auto"/>
          <w:lang w:val="en-US" w:eastAsia="zh-CN"/>
        </w:rPr>
        <w:t>7</w:t>
      </w:r>
      <w:r>
        <w:rPr>
          <w:rFonts w:hint="eastAsia" w:ascii="Times New Roman" w:hAnsi="Times New Roman" w:cs="Times New Roman"/>
          <w:color w:val="auto"/>
        </w:rPr>
        <w:t>条，三级指标共</w:t>
      </w:r>
      <w:r>
        <w:rPr>
          <w:rFonts w:hint="eastAsia" w:ascii="Times New Roman" w:hAnsi="Times New Roman" w:cs="Times New Roman"/>
          <w:color w:val="auto"/>
          <w:lang w:val="en-US" w:eastAsia="zh-CN"/>
        </w:rPr>
        <w:t>8</w:t>
      </w:r>
      <w:r>
        <w:rPr>
          <w:rFonts w:hint="eastAsia" w:ascii="Times New Roman" w:hAnsi="Times New Roman" w:cs="Times New Roman"/>
          <w:color w:val="auto"/>
        </w:rPr>
        <w:t>条，其中量化指标条数共</w:t>
      </w:r>
      <w:r>
        <w:rPr>
          <w:rFonts w:hint="eastAsia" w:cs="Times New Roman"/>
          <w:color w:val="auto"/>
          <w:lang w:val="en-US" w:eastAsia="zh-CN"/>
        </w:rPr>
        <w:t>7</w:t>
      </w:r>
      <w:r>
        <w:rPr>
          <w:rFonts w:hint="eastAsia" w:ascii="Times New Roman" w:hAnsi="Times New Roman" w:cs="Times New Roman"/>
          <w:color w:val="auto"/>
        </w:rPr>
        <w:t>条，所有绩效指标均通过清晰、可衡量的指标值予以体现，并且做到了与项目目标任务数或计划数相对应。</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5、预算编制科学性</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预算编制经过</w:t>
      </w:r>
      <w:r>
        <w:rPr>
          <w:rFonts w:hint="eastAsia" w:ascii="Times New Roman" w:hAnsi="Times New Roman" w:cs="Times New Roman"/>
          <w:color w:val="auto"/>
          <w:lang w:eastAsia="zh-CN"/>
        </w:rPr>
        <w:t>了</w:t>
      </w:r>
      <w:r>
        <w:rPr>
          <w:rFonts w:hint="eastAsia" w:ascii="Times New Roman" w:hAnsi="Times New Roman" w:cs="Times New Roman"/>
          <w:color w:val="auto"/>
        </w:rPr>
        <w:t>科学论证</w:t>
      </w:r>
      <w:r>
        <w:rPr>
          <w:rFonts w:hint="eastAsia" w:ascii="Times New Roman" w:hAnsi="Times New Roman" w:cs="Times New Roman"/>
          <w:color w:val="auto"/>
          <w:lang w:eastAsia="zh-CN"/>
        </w:rPr>
        <w:t>，</w:t>
      </w:r>
      <w:r>
        <w:rPr>
          <w:rFonts w:hint="eastAsia" w:ascii="Times New Roman" w:hAnsi="Times New Roman" w:cs="Times New Roman"/>
          <w:color w:val="auto"/>
        </w:rPr>
        <w:t>预算内容与项目内容</w:t>
      </w:r>
      <w:r>
        <w:rPr>
          <w:rFonts w:hint="eastAsia" w:ascii="Times New Roman" w:hAnsi="Times New Roman" w:cs="Times New Roman"/>
          <w:color w:val="auto"/>
          <w:lang w:eastAsia="zh-CN"/>
        </w:rPr>
        <w:t>相</w:t>
      </w:r>
      <w:r>
        <w:rPr>
          <w:rFonts w:hint="eastAsia" w:ascii="Times New Roman" w:hAnsi="Times New Roman" w:cs="Times New Roman"/>
          <w:color w:val="auto"/>
        </w:rPr>
        <w:t>匹配</w:t>
      </w:r>
      <w:r>
        <w:rPr>
          <w:rFonts w:hint="eastAsia" w:ascii="Times New Roman" w:hAnsi="Times New Roman" w:cs="Times New Roman"/>
          <w:color w:val="auto"/>
          <w:lang w:eastAsia="zh-CN"/>
        </w:rPr>
        <w:t>，</w:t>
      </w:r>
      <w:r>
        <w:rPr>
          <w:rFonts w:hint="eastAsia" w:ascii="Times New Roman" w:hAnsi="Times New Roman" w:cs="Times New Roman"/>
          <w:color w:val="auto"/>
        </w:rPr>
        <w:t>预算额度测算依据充分，按照</w:t>
      </w:r>
      <w:r>
        <w:rPr>
          <w:rFonts w:hint="eastAsia" w:ascii="Times New Roman" w:hAnsi="Times New Roman" w:cs="Times New Roman"/>
          <w:color w:val="auto"/>
          <w:lang w:eastAsia="zh-CN"/>
        </w:rPr>
        <w:t>人均</w:t>
      </w:r>
      <w:r>
        <w:rPr>
          <w:rFonts w:hint="eastAsia" w:ascii="Times New Roman" w:hAnsi="Times New Roman" w:cs="Times New Roman"/>
          <w:color w:val="auto"/>
          <w:lang w:val="en-US" w:eastAsia="zh-CN"/>
        </w:rPr>
        <w:t>10</w:t>
      </w:r>
      <w:r>
        <w:rPr>
          <w:rFonts w:hint="eastAsia" w:cs="Times New Roman"/>
          <w:color w:val="auto"/>
          <w:lang w:val="en-US" w:eastAsia="zh-CN"/>
        </w:rPr>
        <w:t>元</w:t>
      </w:r>
      <w:r>
        <w:rPr>
          <w:rFonts w:hint="eastAsia" w:ascii="Times New Roman" w:hAnsi="Times New Roman" w:cs="Times New Roman"/>
          <w:color w:val="auto"/>
          <w:lang w:val="en-US" w:eastAsia="zh-CN"/>
        </w:rPr>
        <w:t>/人的</w:t>
      </w:r>
      <w:r>
        <w:rPr>
          <w:rFonts w:hint="eastAsia" w:ascii="Times New Roman" w:hAnsi="Times New Roman" w:cs="Times New Roman"/>
          <w:color w:val="auto"/>
        </w:rPr>
        <w:t>标准编制；预算确定的项目资金量是否与</w:t>
      </w:r>
      <w:r>
        <w:rPr>
          <w:rFonts w:hint="eastAsia" w:ascii="Times New Roman" w:hAnsi="Times New Roman" w:cs="Times New Roman"/>
          <w:color w:val="auto"/>
          <w:lang w:eastAsia="zh-CN"/>
        </w:rPr>
        <w:t>人身意外伤害保险</w:t>
      </w:r>
      <w:r>
        <w:rPr>
          <w:rFonts w:hint="eastAsia" w:ascii="Times New Roman" w:hAnsi="Times New Roman" w:cs="Times New Roman"/>
          <w:color w:val="auto"/>
        </w:rPr>
        <w:t>工作任务相匹配。</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6、资金分配合理性</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rPr>
        <w:t>预算资金分配依据充分；资金分配额度合理，与地方实际相适应。</w:t>
      </w:r>
    </w:p>
    <w:p>
      <w:pPr>
        <w:pStyle w:val="6"/>
        <w:spacing w:line="360" w:lineRule="auto"/>
        <w:rPr>
          <w:rFonts w:hint="eastAsia" w:ascii="仿宋_GB2312" w:eastAsia="仿宋_GB2312"/>
          <w:b w:val="0"/>
          <w:bCs w:val="0"/>
        </w:rPr>
      </w:pPr>
      <w:bookmarkStart w:id="12" w:name="_Toc68703839"/>
      <w:r>
        <w:rPr>
          <w:rFonts w:hint="eastAsia" w:ascii="仿宋_GB2312" w:eastAsia="仿宋_GB2312"/>
          <w:b w:val="0"/>
          <w:bCs w:val="0"/>
        </w:rPr>
        <w:t>（二）项目过程情况。</w:t>
      </w:r>
      <w:bookmarkEnd w:id="12"/>
    </w:p>
    <w:p>
      <w:pPr>
        <w:spacing w:line="360" w:lineRule="auto"/>
        <w:rPr>
          <w:rFonts w:hint="eastAsia"/>
        </w:rPr>
      </w:pPr>
      <w:bookmarkStart w:id="13" w:name="_Toc68703840"/>
      <w:r>
        <w:rPr>
          <w:rFonts w:hint="eastAsia"/>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94.82</w:t>
      </w:r>
      <w:r>
        <w:rPr>
          <w:rFonts w:hint="eastAsia"/>
          <w:color w:val="auto"/>
        </w:rPr>
        <w:t>万元，实际到位资金</w:t>
      </w:r>
      <w:r>
        <w:rPr>
          <w:rFonts w:hint="eastAsia"/>
          <w:color w:val="auto"/>
          <w:lang w:val="en-US" w:eastAsia="zh-CN"/>
        </w:rPr>
        <w:t>94.82</w:t>
      </w:r>
      <w:r>
        <w:rPr>
          <w:rFonts w:hint="eastAsia"/>
          <w:color w:val="auto"/>
        </w:rPr>
        <w:t>万元，资金到位率</w:t>
      </w:r>
      <w:r>
        <w:rPr>
          <w:rFonts w:hint="eastAsia"/>
          <w:color w:val="auto"/>
          <w:lang w:val="en-US" w:eastAsia="zh-CN"/>
        </w:rPr>
        <w:t>100</w:t>
      </w:r>
      <w:r>
        <w:rPr>
          <w:rFonts w:hint="eastAsia"/>
          <w:color w:val="auto"/>
        </w:rPr>
        <w:t>%。</w:t>
      </w:r>
    </w:p>
    <w:p>
      <w:pPr>
        <w:numPr>
          <w:ilvl w:val="0"/>
          <w:numId w:val="1"/>
        </w:numPr>
        <w:spacing w:line="360" w:lineRule="auto"/>
        <w:rPr>
          <w:rFonts w:hint="eastAsia"/>
          <w:color w:val="auto"/>
          <w:lang w:eastAsia="zh-CN"/>
        </w:rPr>
      </w:pPr>
      <w:r>
        <w:rPr>
          <w:rFonts w:hint="eastAsia"/>
          <w:color w:val="auto"/>
        </w:rPr>
        <w:t>预算执行率</w:t>
      </w:r>
      <w:r>
        <w:rPr>
          <w:rFonts w:hint="eastAsia"/>
          <w:color w:val="auto"/>
          <w:lang w:eastAsia="zh-CN"/>
        </w:rPr>
        <w:t>：</w:t>
      </w:r>
    </w:p>
    <w:p>
      <w:pPr>
        <w:numPr>
          <w:ilvl w:val="0"/>
          <w:numId w:val="0"/>
        </w:numPr>
        <w:spacing w:line="360" w:lineRule="auto"/>
        <w:ind w:firstLine="600" w:firstLineChars="200"/>
        <w:rPr>
          <w:rFonts w:hint="eastAsia" w:eastAsia="仿宋_GB2312"/>
          <w:color w:val="auto"/>
          <w:lang w:val="en-US" w:eastAsia="zh-CN"/>
        </w:rPr>
      </w:pPr>
      <w:r>
        <w:rPr>
          <w:rFonts w:hint="eastAsia"/>
          <w:color w:val="auto"/>
        </w:rPr>
        <w:t>年初预算数</w:t>
      </w:r>
      <w:r>
        <w:rPr>
          <w:rFonts w:hint="eastAsia"/>
          <w:color w:val="auto"/>
          <w:lang w:val="en-US" w:eastAsia="zh-CN"/>
        </w:rPr>
        <w:t>94.82</w:t>
      </w:r>
      <w:r>
        <w:rPr>
          <w:rFonts w:hint="eastAsia"/>
          <w:color w:val="auto"/>
        </w:rPr>
        <w:t>万元，全年预算数</w:t>
      </w:r>
      <w:r>
        <w:rPr>
          <w:rFonts w:hint="eastAsia"/>
          <w:color w:val="auto"/>
          <w:lang w:val="en-US" w:eastAsia="zh-CN"/>
        </w:rPr>
        <w:t>94.82</w:t>
      </w:r>
      <w:r>
        <w:rPr>
          <w:rFonts w:hint="eastAsia"/>
          <w:color w:val="auto"/>
        </w:rPr>
        <w:t>万元</w:t>
      </w:r>
      <w:r>
        <w:rPr>
          <w:rFonts w:hint="eastAsia"/>
          <w:color w:val="auto"/>
          <w:lang w:eastAsia="zh-CN"/>
        </w:rPr>
        <w:t>，</w:t>
      </w:r>
      <w:r>
        <w:rPr>
          <w:rFonts w:hint="eastAsia"/>
          <w:color w:val="auto"/>
        </w:rPr>
        <w:t>全年执行数</w:t>
      </w:r>
      <w:r>
        <w:rPr>
          <w:rFonts w:hint="eastAsia"/>
          <w:color w:val="auto"/>
          <w:lang w:val="en-US" w:eastAsia="zh-CN"/>
        </w:rPr>
        <w:t>94.82</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rPr>
        <w:t>资金使用符合国家财经法规和财务管理制度以及有关专项资金管理办法的规定；资金使用资金的拨付有完整的审批程序和手续</w:t>
      </w:r>
      <w:r>
        <w:rPr>
          <w:rFonts w:hint="eastAsia"/>
          <w:color w:val="auto"/>
          <w:lang w:eastAsia="zh-CN"/>
        </w:rPr>
        <w:t>，</w:t>
      </w:r>
      <w:r>
        <w:rPr>
          <w:rFonts w:hint="eastAsia"/>
          <w:color w:val="auto"/>
        </w:rPr>
        <w:t>资金使用符合项目预算批复或合同规定的用途；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rPr>
        <w:t>已制定或具有</w:t>
      </w:r>
      <w:r>
        <w:rPr>
          <w:rFonts w:hint="eastAsia"/>
          <w:color w:val="auto"/>
          <w:lang w:eastAsia="zh-CN"/>
        </w:rPr>
        <w:t>医疗保障基金</w:t>
      </w:r>
      <w:r>
        <w:rPr>
          <w:rFonts w:hint="eastAsia"/>
          <w:color w:val="auto"/>
        </w:rPr>
        <w:t>财务和业务管理制度；</w:t>
      </w:r>
      <w:r>
        <w:rPr>
          <w:rFonts w:hint="eastAsia"/>
          <w:color w:val="auto"/>
          <w:lang w:eastAsia="zh-CN"/>
        </w:rPr>
        <w:t>医疗保障基金</w:t>
      </w:r>
      <w:r>
        <w:rPr>
          <w:rFonts w:hint="eastAsia"/>
          <w:color w:val="auto"/>
        </w:rPr>
        <w:t>财务和业务管理制度</w:t>
      </w:r>
      <w:r>
        <w:rPr>
          <w:rFonts w:hint="eastAsia"/>
          <w:color w:val="auto"/>
          <w:lang w:eastAsia="zh-CN"/>
        </w:rPr>
        <w:t>均</w:t>
      </w:r>
      <w:r>
        <w:rPr>
          <w:rFonts w:hint="eastAsia"/>
          <w:color w:val="auto"/>
        </w:rPr>
        <w:t>合法、合规、完整。</w:t>
      </w:r>
    </w:p>
    <w:p>
      <w:pPr>
        <w:numPr>
          <w:ilvl w:val="0"/>
          <w:numId w:val="2"/>
        </w:numPr>
        <w:spacing w:line="360" w:lineRule="auto"/>
        <w:rPr>
          <w:rFonts w:hint="eastAsia"/>
          <w:color w:val="auto"/>
        </w:rPr>
      </w:pPr>
      <w:r>
        <w:rPr>
          <w:rFonts w:hint="eastAsia"/>
          <w:color w:val="auto"/>
        </w:rPr>
        <w:t>制度执行有效性</w:t>
      </w:r>
    </w:p>
    <w:p>
      <w:pPr>
        <w:numPr>
          <w:ilvl w:val="0"/>
          <w:numId w:val="0"/>
        </w:numPr>
        <w:spacing w:line="360" w:lineRule="auto"/>
        <w:ind w:firstLine="600" w:firstLineChars="200"/>
        <w:rPr>
          <w:color w:val="auto"/>
        </w:rPr>
      </w:pPr>
      <w:r>
        <w:rPr>
          <w:rFonts w:hint="eastAsia"/>
          <w:color w:val="auto"/>
        </w:rPr>
        <w:t>制度执行遵守相关法律法规和相关管理规定；项目调整及支出调整手续完备；项目合同书、齐全并及时归档；项目实施的人员条件、场地设备、信息支撑等</w:t>
      </w:r>
      <w:r>
        <w:rPr>
          <w:rFonts w:hint="eastAsia"/>
          <w:color w:val="auto"/>
          <w:lang w:eastAsia="zh-CN"/>
        </w:rPr>
        <w:t>均</w:t>
      </w:r>
      <w:r>
        <w:rPr>
          <w:rFonts w:hint="eastAsia"/>
          <w:color w:val="auto"/>
        </w:rPr>
        <w:t>落实到位。</w:t>
      </w:r>
    </w:p>
    <w:p>
      <w:pPr>
        <w:pStyle w:val="6"/>
        <w:spacing w:line="360" w:lineRule="auto"/>
        <w:rPr>
          <w:rFonts w:hint="eastAsia" w:ascii="仿宋_GB2312" w:eastAsia="仿宋_GB2312"/>
          <w:b/>
          <w:bCs/>
        </w:rPr>
      </w:pPr>
      <w:r>
        <w:rPr>
          <w:rFonts w:hint="eastAsia" w:ascii="仿宋_GB2312" w:eastAsia="仿宋_GB2312"/>
          <w:b/>
          <w:bCs/>
        </w:rPr>
        <w:t>（三）项目产出情况。</w:t>
      </w:r>
      <w:bookmarkEnd w:id="13"/>
    </w:p>
    <w:p>
      <w:pPr>
        <w:shd w:val="clear"/>
        <w:spacing w:line="360" w:lineRule="auto"/>
        <w:ind w:firstLine="600" w:firstLineChars="200"/>
        <w:rPr>
          <w:rFonts w:hint="eastAsia" w:ascii="Times New Roman" w:hAnsi="Times New Roman" w:cs="Times New Roman"/>
          <w:color w:val="auto"/>
          <w:highlight w:val="none"/>
          <w:lang w:val="en-US" w:eastAsia="zh-CN"/>
        </w:rPr>
      </w:pPr>
      <w:bookmarkStart w:id="14" w:name="_Toc68703841"/>
      <w:r>
        <w:rPr>
          <w:rFonts w:hint="eastAsia" w:ascii="Times New Roman" w:hAnsi="Times New Roman" w:cs="Times New Roman"/>
          <w:color w:val="auto"/>
          <w:highlight w:val="none"/>
          <w:lang w:val="en-US" w:eastAsia="zh-CN"/>
        </w:rPr>
        <w:t>1、数量指标：指标1：人身意外伤害保障人数（万人），指标值：9.48，实际完成值 9.48 ，指标完成率 100 %；</w:t>
      </w:r>
    </w:p>
    <w:p>
      <w:pPr>
        <w:shd w:val="clear"/>
        <w:spacing w:line="360" w:lineRule="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　　2、质量指标：指标1：人身意外伤害案件赔付率，指标值：≥90%，实际完成值100%，指标完成率</w:t>
      </w:r>
      <w:r>
        <w:rPr>
          <w:rFonts w:hint="eastAsia" w:cs="Times New Roman"/>
          <w:color w:val="auto"/>
          <w:highlight w:val="none"/>
          <w:lang w:val="en-US" w:eastAsia="zh-CN"/>
        </w:rPr>
        <w:t>111.11</w:t>
      </w:r>
      <w:r>
        <w:rPr>
          <w:rFonts w:hint="eastAsia" w:ascii="Times New Roman" w:hAnsi="Times New Roman" w:cs="Times New Roman"/>
          <w:color w:val="auto"/>
          <w:highlight w:val="none"/>
          <w:lang w:val="en-US" w:eastAsia="zh-CN"/>
        </w:rPr>
        <w:t>%；指标2：政策范围内赔付比例，指标值：≥50%，实际完成值50%，指标完成率100%</w:t>
      </w:r>
    </w:p>
    <w:p>
      <w:pPr>
        <w:shd w:val="clear"/>
        <w:spacing w:line="360" w:lineRule="auto"/>
        <w:ind w:firstLine="60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3、时效指标：指标1：当年各级财政补助资金到位率(%)，指标值：≥100%，实际完成值：100%，指标完成率100%</w:t>
      </w:r>
      <w:r>
        <w:rPr>
          <w:rFonts w:hint="eastAsia" w:cs="Times New Roman"/>
          <w:color w:val="auto"/>
          <w:highlight w:val="none"/>
          <w:lang w:val="en-US" w:eastAsia="zh-CN"/>
        </w:rPr>
        <w:t>；</w:t>
      </w:r>
    </w:p>
    <w:p>
      <w:pPr>
        <w:shd w:val="clear"/>
        <w:spacing w:line="360" w:lineRule="auto"/>
        <w:ind w:firstLine="60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4、成本指标：指标1：人均筹资标准（元），指标值：</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10，实际完成值：10，指标完成率100%</w:t>
      </w:r>
      <w:r>
        <w:rPr>
          <w:rFonts w:hint="eastAsia" w:cs="Times New Roman"/>
          <w:color w:val="auto"/>
          <w:highlight w:val="none"/>
          <w:lang w:val="en-US" w:eastAsia="zh-CN"/>
        </w:rPr>
        <w:t>。</w:t>
      </w:r>
    </w:p>
    <w:p>
      <w:pPr>
        <w:pStyle w:val="6"/>
        <w:spacing w:line="360" w:lineRule="auto"/>
        <w:rPr>
          <w:rFonts w:hint="eastAsia" w:ascii="仿宋_GB2312" w:eastAsia="仿宋_GB2312"/>
          <w:b/>
          <w:bCs/>
        </w:rPr>
      </w:pPr>
      <w:r>
        <w:rPr>
          <w:rFonts w:hint="eastAsia" w:ascii="仿宋_GB2312" w:eastAsia="仿宋_GB2312"/>
          <w:b/>
          <w:bCs/>
        </w:rPr>
        <w:t>（四）项目效益情况。</w:t>
      </w:r>
      <w:bookmarkEnd w:id="14"/>
    </w:p>
    <w:p>
      <w:pPr>
        <w:shd w:val="clear"/>
        <w:spacing w:line="360" w:lineRule="auto"/>
        <w:ind w:firstLine="600" w:firstLineChars="200"/>
        <w:rPr>
          <w:color w:val="auto"/>
          <w:highlight w:val="none"/>
        </w:rPr>
      </w:pPr>
      <w:bookmarkStart w:id="15" w:name="_Toc68703842"/>
      <w:r>
        <w:rPr>
          <w:rFonts w:hint="eastAsia"/>
          <w:color w:val="auto"/>
          <w:highlight w:val="none"/>
          <w:lang w:val="en-US" w:eastAsia="zh-CN"/>
        </w:rPr>
        <w:t>1</w:t>
      </w:r>
      <w:r>
        <w:rPr>
          <w:rFonts w:hint="eastAsia"/>
          <w:color w:val="auto"/>
          <w:highlight w:val="none"/>
        </w:rPr>
        <w:t>、社会效益指标：指标1：政策知晓率</w:t>
      </w:r>
      <w:r>
        <w:rPr>
          <w:rFonts w:hint="eastAsia"/>
          <w:color w:val="auto"/>
          <w:highlight w:val="none"/>
          <w:lang w:eastAsia="zh-CN"/>
        </w:rPr>
        <w:t>，</w:t>
      </w:r>
      <w:r>
        <w:rPr>
          <w:rFonts w:hint="eastAsia"/>
          <w:color w:val="auto"/>
          <w:highlight w:val="none"/>
        </w:rPr>
        <w:t>指标值：≥</w:t>
      </w:r>
      <w:r>
        <w:rPr>
          <w:rFonts w:hint="eastAsia"/>
          <w:color w:val="auto"/>
          <w:highlight w:val="none"/>
          <w:lang w:val="en-US" w:eastAsia="zh-CN"/>
        </w:rPr>
        <w:t>8</w:t>
      </w:r>
      <w:r>
        <w:rPr>
          <w:rFonts w:hint="eastAsia"/>
          <w:color w:val="auto"/>
          <w:highlight w:val="none"/>
        </w:rPr>
        <w:t>0%</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92.86%，</w:t>
      </w:r>
      <w:r>
        <w:rPr>
          <w:rFonts w:hint="eastAsia"/>
          <w:color w:val="auto"/>
          <w:highlight w:val="none"/>
        </w:rPr>
        <w:t>指标完成率</w:t>
      </w:r>
      <w:r>
        <w:rPr>
          <w:rFonts w:hint="eastAsia"/>
          <w:color w:val="auto"/>
          <w:highlight w:val="none"/>
          <w:lang w:val="en-US" w:eastAsia="zh-CN"/>
        </w:rPr>
        <w:t>116.08</w:t>
      </w:r>
      <w:r>
        <w:rPr>
          <w:rFonts w:hint="eastAsia"/>
          <w:color w:val="auto"/>
          <w:highlight w:val="none"/>
        </w:rPr>
        <w:t>%</w:t>
      </w:r>
      <w:r>
        <w:rPr>
          <w:rFonts w:hint="eastAsia"/>
          <w:color w:val="auto"/>
          <w:highlight w:val="none"/>
          <w:lang w:eastAsia="zh-CN"/>
        </w:rPr>
        <w:t>，</w:t>
      </w:r>
      <w:r>
        <w:rPr>
          <w:rFonts w:hint="eastAsia"/>
          <w:color w:val="auto"/>
          <w:highlight w:val="none"/>
        </w:rPr>
        <w:t>偏差原因：</w:t>
      </w:r>
      <w:r>
        <w:rPr>
          <w:rFonts w:hint="eastAsia"/>
          <w:color w:val="auto"/>
          <w:highlight w:val="none"/>
          <w:lang w:eastAsia="zh-CN"/>
        </w:rPr>
        <w:t>对意外伤害的政策宣传力度加大，群众政策知晓率有所提高</w:t>
      </w:r>
      <w:r>
        <w:rPr>
          <w:rFonts w:hint="eastAsia"/>
          <w:color w:val="auto"/>
          <w:highlight w:val="none"/>
        </w:rPr>
        <w:t>；</w:t>
      </w:r>
    </w:p>
    <w:p>
      <w:pPr>
        <w:shd w:val="clear"/>
        <w:spacing w:line="360" w:lineRule="auto"/>
        <w:ind w:firstLine="604"/>
        <w:rPr>
          <w:rFonts w:hint="eastAsia" w:eastAsia="仿宋_GB2312"/>
          <w:color w:val="auto"/>
          <w:highlight w:val="none"/>
          <w:lang w:val="en-US" w:eastAsia="zh-CN"/>
        </w:rPr>
      </w:pPr>
      <w:r>
        <w:rPr>
          <w:rFonts w:hint="eastAsia"/>
          <w:color w:val="auto"/>
          <w:highlight w:val="none"/>
          <w:lang w:val="en-US" w:eastAsia="zh-CN"/>
        </w:rPr>
        <w:t>2</w:t>
      </w:r>
      <w:r>
        <w:rPr>
          <w:rFonts w:hint="eastAsia"/>
          <w:color w:val="auto"/>
          <w:highlight w:val="none"/>
        </w:rPr>
        <w:t>、可持续影响指标：指标1：</w:t>
      </w:r>
      <w:r>
        <w:rPr>
          <w:rFonts w:hint="eastAsia"/>
          <w:color w:val="auto"/>
          <w:highlight w:val="none"/>
          <w:lang w:eastAsia="zh-CN"/>
        </w:rPr>
        <w:t>对健全医疗保障制度体系的作用，</w:t>
      </w:r>
      <w:r>
        <w:rPr>
          <w:rFonts w:hint="eastAsia"/>
          <w:color w:val="auto"/>
          <w:highlight w:val="none"/>
        </w:rPr>
        <w:t>指标值：</w:t>
      </w:r>
      <w:r>
        <w:rPr>
          <w:rFonts w:hint="eastAsia"/>
          <w:color w:val="auto"/>
          <w:highlight w:val="none"/>
          <w:lang w:eastAsia="zh-CN"/>
        </w:rPr>
        <w:t>成效明显，</w:t>
      </w:r>
      <w:r>
        <w:rPr>
          <w:rFonts w:hint="eastAsia"/>
          <w:color w:val="auto"/>
          <w:highlight w:val="none"/>
        </w:rPr>
        <w:t>实际完成值</w:t>
      </w:r>
      <w:r>
        <w:rPr>
          <w:rFonts w:hint="eastAsia"/>
          <w:color w:val="auto"/>
          <w:highlight w:val="none"/>
          <w:lang w:eastAsia="zh-CN"/>
        </w:rPr>
        <w:t>：成效明显</w:t>
      </w:r>
      <w:r>
        <w:rPr>
          <w:rFonts w:hint="eastAsia"/>
          <w:color w:val="auto"/>
          <w:highlight w:val="none"/>
          <w:lang w:val="en-US" w:eastAsia="zh-CN"/>
        </w:rPr>
        <w:t>，</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shd w:val="clear"/>
        <w:spacing w:line="360" w:lineRule="auto"/>
        <w:ind w:firstLine="604"/>
        <w:rPr>
          <w:color w:val="auto"/>
          <w:highlight w:val="none"/>
        </w:rPr>
      </w:pPr>
      <w:r>
        <w:rPr>
          <w:rFonts w:hint="eastAsia"/>
          <w:color w:val="auto"/>
          <w:highlight w:val="none"/>
          <w:lang w:val="en-US" w:eastAsia="zh-CN"/>
        </w:rPr>
        <w:t>3</w:t>
      </w:r>
      <w:r>
        <w:rPr>
          <w:rFonts w:hint="eastAsia"/>
          <w:color w:val="auto"/>
          <w:highlight w:val="none"/>
        </w:rPr>
        <w:t>、满意度指标：指标1：保障对象满意度</w:t>
      </w:r>
      <w:r>
        <w:rPr>
          <w:rFonts w:hint="eastAsia"/>
          <w:color w:val="auto"/>
          <w:highlight w:val="none"/>
          <w:lang w:eastAsia="zh-CN"/>
        </w:rPr>
        <w:t>，</w:t>
      </w:r>
      <w:r>
        <w:rPr>
          <w:rFonts w:hint="eastAsia"/>
          <w:color w:val="auto"/>
          <w:highlight w:val="none"/>
        </w:rPr>
        <w:t>指标值：≥90%</w:t>
      </w:r>
      <w:r>
        <w:rPr>
          <w:rFonts w:hint="eastAsia"/>
          <w:color w:val="auto"/>
          <w:highlight w:val="none"/>
          <w:lang w:eastAsia="zh-CN"/>
        </w:rPr>
        <w:t>，</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100%，</w:t>
      </w:r>
      <w:r>
        <w:rPr>
          <w:rFonts w:hint="eastAsia"/>
          <w:color w:val="auto"/>
          <w:highlight w:val="none"/>
        </w:rPr>
        <w:t>指标完成率</w:t>
      </w:r>
      <w:r>
        <w:rPr>
          <w:rFonts w:hint="eastAsia"/>
          <w:color w:val="auto"/>
          <w:highlight w:val="none"/>
          <w:lang w:val="en-US" w:eastAsia="zh-CN"/>
        </w:rPr>
        <w:t>111.11</w:t>
      </w:r>
      <w:r>
        <w:rPr>
          <w:rFonts w:hint="eastAsia"/>
          <w:color w:val="auto"/>
          <w:highlight w:val="none"/>
        </w:rPr>
        <w:t>%</w:t>
      </w:r>
      <w:r>
        <w:rPr>
          <w:rFonts w:hint="eastAsia"/>
          <w:color w:val="auto"/>
          <w:highlight w:val="none"/>
          <w:lang w:eastAsia="zh-CN"/>
        </w:rPr>
        <w:t>，</w:t>
      </w:r>
      <w:r>
        <w:rPr>
          <w:rFonts w:hint="eastAsia"/>
          <w:color w:val="auto"/>
          <w:highlight w:val="none"/>
        </w:rPr>
        <w:t>偏差原因：</w:t>
      </w:r>
      <w:r>
        <w:rPr>
          <w:rFonts w:hint="eastAsia"/>
          <w:color w:val="auto"/>
          <w:highlight w:val="none"/>
          <w:lang w:eastAsia="zh-CN"/>
        </w:rPr>
        <w:t>业务人员提高服务质量，优化了服务态度，保障对象满意度大提升。</w:t>
      </w:r>
    </w:p>
    <w:p>
      <w:pPr>
        <w:pStyle w:val="5"/>
        <w:spacing w:line="360" w:lineRule="auto"/>
        <w:rPr>
          <w:rFonts w:ascii="宋体" w:hAnsi="宋体" w:eastAsia="宋体"/>
          <w:sz w:val="32"/>
          <w:szCs w:val="32"/>
        </w:rPr>
      </w:pPr>
      <w:r>
        <w:rPr>
          <w:rFonts w:hint="eastAsia" w:ascii="宋体" w:hAnsi="宋体" w:eastAsia="宋体"/>
          <w:sz w:val="32"/>
          <w:szCs w:val="32"/>
        </w:rPr>
        <w:t>五、主要经验及做法、存在的问题及原因分析</w:t>
      </w:r>
      <w:bookmarkEnd w:id="15"/>
    </w:p>
    <w:p>
      <w:pPr>
        <w:pStyle w:val="6"/>
        <w:spacing w:line="360" w:lineRule="auto"/>
        <w:rPr>
          <w:rFonts w:hint="eastAsia" w:ascii="仿宋_GB2312" w:hAnsi="Times New Roman" w:eastAsia="仿宋_GB2312" w:cs="Times New Roman"/>
          <w:b w:val="0"/>
          <w:bCs w:val="0"/>
          <w:color w:val="auto"/>
          <w:kern w:val="2"/>
          <w:sz w:val="30"/>
          <w:szCs w:val="24"/>
          <w:lang w:val="en-US" w:eastAsia="zh-CN" w:bidi="ar-SA"/>
        </w:rPr>
      </w:pPr>
      <w:bookmarkStart w:id="16" w:name="_Toc68703843"/>
      <w:r>
        <w:rPr>
          <w:rFonts w:hint="eastAsia" w:ascii="仿宋_GB2312" w:hAnsi="Times New Roman" w:eastAsia="仿宋_GB2312" w:cs="Times New Roman"/>
          <w:b w:val="0"/>
          <w:bCs w:val="0"/>
          <w:color w:val="auto"/>
          <w:kern w:val="2"/>
          <w:sz w:val="30"/>
          <w:szCs w:val="24"/>
          <w:lang w:val="en-US" w:eastAsia="zh-CN" w:bidi="ar-SA"/>
        </w:rPr>
        <w:t>（一）主要经验及做法</w:t>
      </w:r>
      <w:bookmarkEnd w:id="16"/>
    </w:p>
    <w:p>
      <w:pPr>
        <w:spacing w:line="360" w:lineRule="auto"/>
        <w:ind w:firstLine="600" w:firstLineChars="200"/>
        <w:rPr>
          <w:rFonts w:hint="eastAsia" w:ascii="仿宋_GB2312" w:hAnsi="Times New Roman" w:eastAsia="仿宋_GB2312" w:cs="Times New Roman"/>
          <w:b w:val="0"/>
          <w:bCs w:val="0"/>
          <w:color w:val="auto"/>
        </w:rPr>
      </w:pPr>
      <w:bookmarkStart w:id="17" w:name="_Toc68703844"/>
      <w:r>
        <w:rPr>
          <w:rFonts w:hint="eastAsia" w:ascii="仿宋_GB2312" w:hAnsi="Times New Roman" w:eastAsia="仿宋_GB2312" w:cs="Times New Roman"/>
          <w:b w:val="0"/>
          <w:bCs w:val="0"/>
          <w:color w:val="auto"/>
        </w:rPr>
        <w:t>我县各有关部门要落实工作责任、细化配套措施，发挥政策合力，定期互相通报医保基金运行数据、支付政策执行和监督管理等情况。县医</w:t>
      </w:r>
      <w:r>
        <w:rPr>
          <w:rFonts w:hint="eastAsia" w:ascii="仿宋_GB2312" w:hAnsi="Times New Roman" w:cs="Times New Roman"/>
          <w:b w:val="0"/>
          <w:bCs w:val="0"/>
          <w:color w:val="auto"/>
          <w:lang w:eastAsia="zh-CN"/>
        </w:rPr>
        <w:t>保局加强了与承保公司的沟通与协调，</w:t>
      </w:r>
      <w:r>
        <w:rPr>
          <w:rFonts w:hint="eastAsia" w:ascii="仿宋_GB2312" w:hAnsi="Times New Roman" w:eastAsia="仿宋_GB2312" w:cs="Times New Roman"/>
          <w:b w:val="0"/>
          <w:bCs w:val="0"/>
          <w:color w:val="auto"/>
        </w:rPr>
        <w:t>同相关部门对</w:t>
      </w:r>
      <w:r>
        <w:rPr>
          <w:rFonts w:hint="eastAsia" w:ascii="仿宋_GB2312" w:hAnsi="Times New Roman" w:cs="Times New Roman"/>
          <w:b w:val="0"/>
          <w:bCs w:val="0"/>
          <w:color w:val="auto"/>
          <w:lang w:eastAsia="zh-CN"/>
        </w:rPr>
        <w:t>保险公司</w:t>
      </w:r>
      <w:r>
        <w:rPr>
          <w:rFonts w:hint="eastAsia" w:ascii="仿宋_GB2312" w:hAnsi="Times New Roman" w:eastAsia="仿宋_GB2312" w:cs="Times New Roman"/>
          <w:b w:val="0"/>
          <w:bCs w:val="0"/>
          <w:color w:val="auto"/>
        </w:rPr>
        <w:t>执行</w:t>
      </w:r>
      <w:r>
        <w:rPr>
          <w:rFonts w:hint="eastAsia" w:ascii="仿宋_GB2312" w:hAnsi="Times New Roman" w:eastAsia="仿宋_GB2312" w:cs="Times New Roman"/>
          <w:b w:val="0"/>
          <w:bCs w:val="0"/>
          <w:color w:val="auto"/>
          <w:lang w:eastAsia="zh-CN"/>
        </w:rPr>
        <w:t>人身意外伤害保险</w:t>
      </w:r>
      <w:r>
        <w:rPr>
          <w:rFonts w:hint="eastAsia" w:ascii="仿宋_GB2312" w:hAnsi="Times New Roman" w:eastAsia="仿宋_GB2312" w:cs="Times New Roman"/>
          <w:b w:val="0"/>
          <w:bCs w:val="0"/>
          <w:color w:val="auto"/>
        </w:rPr>
        <w:t>政策情况进行督查评估考核。</w:t>
      </w:r>
    </w:p>
    <w:p>
      <w:pPr>
        <w:pStyle w:val="6"/>
        <w:spacing w:line="360" w:lineRule="auto"/>
        <w:rPr>
          <w:rFonts w:hint="eastAsia" w:ascii="仿宋_GB2312" w:hAnsi="Times New Roman" w:eastAsia="仿宋_GB2312" w:cs="Times New Roman"/>
          <w:b w:val="0"/>
          <w:bCs w:val="0"/>
          <w:color w:val="auto"/>
          <w:kern w:val="2"/>
          <w:sz w:val="30"/>
          <w:szCs w:val="24"/>
          <w:lang w:val="en-US" w:eastAsia="zh-CN" w:bidi="ar-SA"/>
        </w:rPr>
      </w:pPr>
      <w:r>
        <w:rPr>
          <w:rFonts w:hint="eastAsia" w:ascii="仿宋_GB2312" w:hAnsi="Times New Roman" w:eastAsia="仿宋_GB2312" w:cs="Times New Roman"/>
          <w:b w:val="0"/>
          <w:bCs w:val="0"/>
          <w:color w:val="auto"/>
          <w:kern w:val="2"/>
          <w:sz w:val="30"/>
          <w:szCs w:val="24"/>
          <w:lang w:val="en-US" w:eastAsia="zh-CN" w:bidi="ar-SA"/>
        </w:rPr>
        <w:t>（二）存在的问题及原因分析</w:t>
      </w:r>
      <w:bookmarkEnd w:id="17"/>
      <w:bookmarkStart w:id="18" w:name="_Toc68703845"/>
    </w:p>
    <w:p>
      <w:pPr>
        <w:numPr>
          <w:ilvl w:val="0"/>
          <w:numId w:val="0"/>
        </w:numPr>
        <w:spacing w:line="360" w:lineRule="auto"/>
        <w:rPr>
          <w:rFonts w:hint="eastAsia" w:ascii="仿宋_GB2312" w:hAnsi="Times New Roman" w:eastAsia="仿宋_GB2312" w:cs="Times New Roman"/>
          <w:b w:val="0"/>
          <w:bCs w:val="0"/>
          <w:color w:val="auto"/>
          <w:kern w:val="2"/>
          <w:sz w:val="30"/>
          <w:szCs w:val="24"/>
          <w:lang w:val="en-US" w:eastAsia="zh-CN" w:bidi="ar-SA"/>
        </w:rPr>
      </w:pPr>
      <w:r>
        <w:rPr>
          <w:rFonts w:hint="eastAsia" w:ascii="仿宋_GB2312" w:hAnsi="Times New Roman" w:cs="Times New Roman"/>
          <w:b w:val="0"/>
          <w:bCs w:val="0"/>
          <w:color w:val="auto"/>
          <w:kern w:val="2"/>
          <w:sz w:val="30"/>
          <w:szCs w:val="24"/>
          <w:lang w:val="en-US" w:eastAsia="zh-CN" w:bidi="ar-SA"/>
        </w:rPr>
        <w:t>　　</w:t>
      </w:r>
      <w:r>
        <w:rPr>
          <w:rFonts w:hint="eastAsia" w:ascii="仿宋_GB2312" w:hAnsi="Times New Roman" w:eastAsia="仿宋_GB2312" w:cs="Times New Roman"/>
          <w:b w:val="0"/>
          <w:bCs w:val="0"/>
          <w:color w:val="auto"/>
          <w:kern w:val="2"/>
          <w:sz w:val="30"/>
          <w:szCs w:val="24"/>
          <w:lang w:val="en-US" w:eastAsia="zh-CN" w:bidi="ar-SA"/>
        </w:rPr>
        <w:t>1、对意外伤害的政策宣传还不全面，政策知晓率低，导致个别人员没有及时享受到人身意外伤害保销。主要原因是人身意外伤害不是医疗机构一站式结算，而是由病人先自费用再到保险公司报销，所以导致病人以为人身意外伤害不予报销，主要是保险公司及各级机构的宣传不到位。</w:t>
      </w:r>
    </w:p>
    <w:p>
      <w:pPr>
        <w:pStyle w:val="5"/>
        <w:spacing w:line="360" w:lineRule="auto"/>
        <w:rPr>
          <w:rFonts w:hint="eastAsia" w:ascii="仿宋_GB2312" w:hAnsi="Times New Roman" w:eastAsia="仿宋_GB2312" w:cs="Times New Roman"/>
          <w:b w:val="0"/>
          <w:bCs w:val="0"/>
          <w:color w:val="auto"/>
          <w:kern w:val="2"/>
          <w:sz w:val="30"/>
          <w:szCs w:val="24"/>
          <w:lang w:val="en-US" w:eastAsia="zh-CN" w:bidi="ar-SA"/>
        </w:rPr>
      </w:pPr>
      <w:r>
        <w:rPr>
          <w:rFonts w:hint="eastAsia" w:ascii="仿宋_GB2312" w:hAnsi="Times New Roman" w:cs="Times New Roman"/>
          <w:b w:val="0"/>
          <w:bCs w:val="0"/>
          <w:color w:val="auto"/>
          <w:kern w:val="2"/>
          <w:sz w:val="30"/>
          <w:szCs w:val="24"/>
          <w:lang w:val="en-US" w:eastAsia="zh-CN" w:bidi="ar-SA"/>
        </w:rPr>
        <w:t>2、</w:t>
      </w:r>
      <w:r>
        <w:rPr>
          <w:rFonts w:hint="eastAsia" w:ascii="仿宋_GB2312" w:hAnsi="Times New Roman" w:eastAsia="仿宋_GB2312" w:cs="Times New Roman"/>
          <w:b w:val="0"/>
          <w:bCs w:val="0"/>
          <w:color w:val="auto"/>
          <w:kern w:val="2"/>
          <w:sz w:val="30"/>
          <w:szCs w:val="24"/>
          <w:lang w:val="en-US" w:eastAsia="zh-CN" w:bidi="ar-SA"/>
        </w:rPr>
        <w:t>虽然县医保局加强了与承保公司的沟通与协调，但是具体业务不归医保局管理，医保局无法更好的监督与评价承保公司对资金的使用与效益。</w:t>
      </w:r>
    </w:p>
    <w:p>
      <w:pPr>
        <w:pStyle w:val="5"/>
        <w:numPr>
          <w:ilvl w:val="0"/>
          <w:numId w:val="0"/>
        </w:numPr>
        <w:spacing w:line="360" w:lineRule="auto"/>
        <w:rPr>
          <w:rFonts w:hint="eastAsia" w:ascii="宋体" w:hAnsi="宋体" w:eastAsia="宋体"/>
          <w:sz w:val="32"/>
          <w:szCs w:val="32"/>
        </w:rPr>
      </w:pPr>
      <w:r>
        <w:rPr>
          <w:rFonts w:hint="eastAsia" w:ascii="宋体" w:hAnsi="宋体" w:eastAsia="宋体"/>
          <w:sz w:val="32"/>
          <w:szCs w:val="32"/>
        </w:rPr>
        <w:t>六、有关建议</w:t>
      </w:r>
      <w:bookmarkEnd w:id="18"/>
    </w:p>
    <w:p>
      <w:pPr>
        <w:pStyle w:val="5"/>
        <w:spacing w:line="360" w:lineRule="auto"/>
        <w:rPr>
          <w:rFonts w:hint="eastAsia" w:ascii="仿宋_GB2312" w:hAnsi="Times New Roman" w:eastAsia="仿宋_GB2312" w:cs="Times New Roman"/>
          <w:b w:val="0"/>
          <w:bCs w:val="0"/>
          <w:color w:val="auto"/>
          <w:kern w:val="2"/>
          <w:sz w:val="30"/>
          <w:szCs w:val="24"/>
          <w:lang w:val="en-US" w:eastAsia="zh-CN" w:bidi="ar-SA"/>
        </w:rPr>
      </w:pPr>
      <w:r>
        <w:rPr>
          <w:rFonts w:hint="eastAsia" w:ascii="仿宋_GB2312" w:hAnsi="Times New Roman" w:eastAsia="仿宋_GB2312" w:cs="Times New Roman"/>
          <w:b w:val="0"/>
          <w:bCs w:val="0"/>
          <w:color w:val="auto"/>
          <w:kern w:val="2"/>
          <w:sz w:val="30"/>
          <w:szCs w:val="24"/>
          <w:lang w:val="en-US" w:eastAsia="zh-CN" w:bidi="ar-SA"/>
        </w:rPr>
        <w:t>1、进一步加强医保局与承保公司的沟通与协调，并明文规定由医保局监督管理人身意外伤害保险业务。</w:t>
      </w:r>
    </w:p>
    <w:p>
      <w:pPr>
        <w:pStyle w:val="5"/>
        <w:spacing w:line="360" w:lineRule="auto"/>
        <w:rPr>
          <w:rFonts w:hint="eastAsia" w:ascii="仿宋_GB2312" w:hAnsi="Times New Roman" w:eastAsia="仿宋_GB2312" w:cs="Times New Roman"/>
          <w:b w:val="0"/>
          <w:bCs w:val="0"/>
          <w:color w:val="auto"/>
          <w:kern w:val="2"/>
          <w:sz w:val="30"/>
          <w:szCs w:val="24"/>
          <w:lang w:val="en-US" w:eastAsia="zh-CN" w:bidi="ar-SA"/>
        </w:rPr>
      </w:pPr>
      <w:r>
        <w:rPr>
          <w:rFonts w:hint="eastAsia" w:ascii="仿宋_GB2312" w:hAnsi="Times New Roman" w:eastAsia="仿宋_GB2312" w:cs="Times New Roman"/>
          <w:b w:val="0"/>
          <w:bCs w:val="0"/>
          <w:color w:val="auto"/>
          <w:kern w:val="2"/>
          <w:sz w:val="30"/>
          <w:szCs w:val="24"/>
          <w:lang w:val="en-US" w:eastAsia="zh-CN" w:bidi="ar-SA"/>
        </w:rPr>
        <w:t>2、建议今后保险公司和医保经办机构和各医疗机构进一步加大人身意外伤害保险政策的宣传力度。</w:t>
      </w:r>
    </w:p>
    <w:p>
      <w:pPr>
        <w:pStyle w:val="5"/>
        <w:numPr>
          <w:ilvl w:val="0"/>
          <w:numId w:val="0"/>
        </w:numPr>
        <w:spacing w:line="360" w:lineRule="auto"/>
        <w:ind w:firstLine="642"/>
        <w:rPr>
          <w:rFonts w:hint="eastAsia" w:ascii="仿宋_GB2312" w:hAnsi="Times New Roman" w:eastAsia="仿宋_GB2312" w:cs="Times New Roman"/>
          <w:b w:val="0"/>
          <w:bCs w:val="0"/>
          <w:kern w:val="2"/>
          <w:sz w:val="30"/>
          <w:szCs w:val="24"/>
          <w:highlight w:val="yellow"/>
          <w:lang w:val="en-US" w:eastAsia="zh-CN" w:bidi="ar-SA"/>
        </w:rPr>
      </w:pPr>
      <w:r>
        <w:rPr>
          <w:rFonts w:hint="eastAsia" w:ascii="仿宋_GB2312" w:hAnsi="Times New Roman" w:cs="Times New Roman"/>
          <w:b w:val="0"/>
          <w:bCs w:val="0"/>
          <w:color w:val="auto"/>
          <w:kern w:val="2"/>
          <w:sz w:val="30"/>
          <w:szCs w:val="24"/>
          <w:lang w:val="en-US" w:eastAsia="zh-CN" w:bidi="ar-SA"/>
        </w:rPr>
        <w:t>3、</w:t>
      </w:r>
      <w:r>
        <w:rPr>
          <w:rFonts w:hint="eastAsia" w:ascii="仿宋_GB2312" w:hAnsi="Times New Roman" w:eastAsia="仿宋_GB2312" w:cs="Times New Roman"/>
          <w:b w:val="0"/>
          <w:bCs w:val="0"/>
          <w:color w:val="auto"/>
          <w:kern w:val="2"/>
          <w:sz w:val="30"/>
          <w:szCs w:val="24"/>
          <w:lang w:val="en-US" w:eastAsia="zh-CN" w:bidi="ar-SA"/>
        </w:rPr>
        <w:t>实行人身意外伤害保险一站式结算，让病人少跑腿，让数据多跑腿，增加群众的满意度</w:t>
      </w:r>
      <w:r>
        <w:rPr>
          <w:rFonts w:hint="eastAsia" w:ascii="仿宋_GB2312" w:hAnsi="Times New Roman" w:cs="Times New Roman"/>
          <w:b w:val="0"/>
          <w:bCs w:val="0"/>
          <w:color w:val="auto"/>
          <w:kern w:val="2"/>
          <w:sz w:val="30"/>
          <w:szCs w:val="24"/>
          <w:lang w:val="en-US" w:eastAsia="zh-CN" w:bidi="ar-SA"/>
        </w:rPr>
        <w:t>和受益率</w:t>
      </w:r>
      <w:r>
        <w:rPr>
          <w:rFonts w:hint="eastAsia" w:ascii="仿宋_GB2312" w:hAnsi="Times New Roman" w:eastAsia="仿宋_GB2312" w:cs="Times New Roman"/>
          <w:b w:val="0"/>
          <w:bCs w:val="0"/>
          <w:color w:val="auto"/>
          <w:kern w:val="2"/>
          <w:sz w:val="30"/>
          <w:szCs w:val="24"/>
          <w:lang w:val="en-US" w:eastAsia="zh-CN" w:bidi="ar-SA"/>
        </w:rPr>
        <w:t>。</w:t>
      </w:r>
    </w:p>
    <w:p>
      <w:pPr>
        <w:pStyle w:val="5"/>
        <w:spacing w:line="360" w:lineRule="auto"/>
        <w:rPr>
          <w:rFonts w:ascii="宋体" w:hAnsi="宋体" w:eastAsia="宋体"/>
          <w:sz w:val="32"/>
          <w:szCs w:val="32"/>
        </w:rPr>
      </w:pPr>
    </w:p>
    <w:p>
      <w:pPr>
        <w:pStyle w:val="5"/>
        <w:spacing w:line="360" w:lineRule="auto"/>
        <w:rPr>
          <w:rFonts w:ascii="宋体" w:hAnsi="宋体" w:eastAsia="宋体"/>
          <w:sz w:val="32"/>
          <w:szCs w:val="32"/>
        </w:rPr>
      </w:pPr>
      <w:bookmarkStart w:id="19" w:name="_Toc68703846"/>
      <w:r>
        <w:rPr>
          <w:rFonts w:hint="eastAsia" w:ascii="宋体" w:hAnsi="宋体" w:eastAsia="宋体"/>
          <w:sz w:val="32"/>
          <w:szCs w:val="32"/>
        </w:rPr>
        <w:t>七、其他需要说明的问题</w:t>
      </w:r>
      <w:bookmarkEnd w:id="19"/>
    </w:p>
    <w:p>
      <w:pPr>
        <w:spacing w:line="360" w:lineRule="auto"/>
        <w:rPr>
          <w:rFonts w:hint="eastAsia" w:ascii="仿宋_GB2312" w:hAnsi="Times New Roman" w:eastAsia="仿宋_GB2312" w:cs="Times New Roman"/>
          <w:b w:val="0"/>
          <w:bCs w:val="0"/>
          <w:color w:val="auto"/>
          <w:kern w:val="2"/>
          <w:sz w:val="30"/>
          <w:szCs w:val="24"/>
          <w:lang w:val="en-US" w:eastAsia="zh-CN" w:bidi="ar-SA"/>
        </w:rPr>
      </w:pPr>
      <w:r>
        <w:rPr>
          <w:rFonts w:hint="eastAsia" w:ascii="仿宋_GB2312" w:hAnsi="Times New Roman" w:eastAsia="仿宋_GB2312" w:cs="Times New Roman"/>
          <w:b w:val="0"/>
          <w:bCs w:val="0"/>
          <w:color w:val="auto"/>
          <w:kern w:val="2"/>
          <w:sz w:val="30"/>
          <w:szCs w:val="24"/>
          <w:lang w:val="en-US" w:eastAsia="zh-CN" w:bidi="ar-SA"/>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40CC8D"/>
    <w:multiLevelType w:val="singleLevel"/>
    <w:tmpl w:val="F940CC8D"/>
    <w:lvl w:ilvl="0" w:tentative="0">
      <w:start w:val="2"/>
      <w:numFmt w:val="decimal"/>
      <w:suff w:val="nothing"/>
      <w:lvlText w:val="%1、"/>
      <w:lvlJc w:val="left"/>
    </w:lvl>
  </w:abstractNum>
  <w:abstractNum w:abstractNumId="1">
    <w:nsid w:val="0316FFA2"/>
    <w:multiLevelType w:val="singleLevel"/>
    <w:tmpl w:val="0316FFA2"/>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5B64E8"/>
    <w:rsid w:val="00614288"/>
    <w:rsid w:val="00792CFE"/>
    <w:rsid w:val="007D49C5"/>
    <w:rsid w:val="008175E0"/>
    <w:rsid w:val="008C631D"/>
    <w:rsid w:val="00A114ED"/>
    <w:rsid w:val="00B24331"/>
    <w:rsid w:val="04E74212"/>
    <w:rsid w:val="0F2A6BF7"/>
    <w:rsid w:val="117C5A64"/>
    <w:rsid w:val="18BE6773"/>
    <w:rsid w:val="35D145CF"/>
    <w:rsid w:val="36B72533"/>
    <w:rsid w:val="4057649F"/>
    <w:rsid w:val="4D2320C1"/>
    <w:rsid w:val="563D2ECF"/>
    <w:rsid w:val="56796849"/>
    <w:rsid w:val="5DA95371"/>
    <w:rsid w:val="60B9045B"/>
    <w:rsid w:val="6FA77B30"/>
    <w:rsid w:val="77794408"/>
    <w:rsid w:val="77ED20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index 6"/>
    <w:basedOn w:val="1"/>
    <w:next w:val="1"/>
    <w:qFormat/>
    <w:uiPriority w:val="0"/>
    <w:pPr>
      <w:ind w:left="1000" w:leftChars="1000"/>
    </w:pPr>
  </w:style>
  <w:style w:type="paragraph" w:styleId="7">
    <w:name w:val="annotation text"/>
    <w:basedOn w:val="1"/>
    <w:semiHidden/>
    <w:unhideWhenUsed/>
    <w:qFormat/>
    <w:uiPriority w:val="99"/>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rPr>
  </w:style>
  <w:style w:type="character" w:styleId="15">
    <w:name w:val="Hyperlink"/>
    <w:basedOn w:val="14"/>
    <w:unhideWhenUsed/>
    <w:qFormat/>
    <w:uiPriority w:val="99"/>
    <w:rPr>
      <w:color w:val="0563C1" w:themeColor="hyperlink"/>
      <w:u w:val="single"/>
    </w:rPr>
  </w:style>
  <w:style w:type="character" w:customStyle="1" w:styleId="16">
    <w:name w:val="标题 1 Char"/>
    <w:basedOn w:val="14"/>
    <w:link w:val="5"/>
    <w:qFormat/>
    <w:uiPriority w:val="9"/>
    <w:rPr>
      <w:rFonts w:ascii="Times New Roman" w:hAnsi="Times New Roman" w:eastAsia="仿宋_GB2312" w:cs="Times New Roman"/>
      <w:b/>
      <w:bCs/>
      <w:kern w:val="44"/>
      <w:sz w:val="44"/>
      <w:szCs w:val="44"/>
    </w:rPr>
  </w:style>
  <w:style w:type="character" w:customStyle="1" w:styleId="17">
    <w:name w:val="标题 2 Char"/>
    <w:basedOn w:val="14"/>
    <w:link w:val="6"/>
    <w:qFormat/>
    <w:uiPriority w:val="9"/>
    <w:rPr>
      <w:rFonts w:asciiTheme="majorHAnsi" w:hAnsiTheme="majorHAnsi" w:eastAsiaTheme="majorEastAsia" w:cstheme="majorBidi"/>
      <w:b/>
      <w:bCs/>
      <w:sz w:val="32"/>
      <w:szCs w:val="32"/>
    </w:rPr>
  </w:style>
  <w:style w:type="paragraph" w:customStyle="1" w:styleId="18">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9">
    <w:name w:val="页眉 Char"/>
    <w:basedOn w:val="14"/>
    <w:link w:val="9"/>
    <w:semiHidden/>
    <w:qFormat/>
    <w:uiPriority w:val="99"/>
    <w:rPr>
      <w:rFonts w:ascii="Times New Roman" w:hAnsi="Times New Roman" w:eastAsia="仿宋_GB2312" w:cs="Times New Roman"/>
      <w:sz w:val="18"/>
      <w:szCs w:val="18"/>
    </w:rPr>
  </w:style>
  <w:style w:type="character" w:customStyle="1" w:styleId="20">
    <w:name w:val="页脚 Char"/>
    <w:basedOn w:val="14"/>
    <w:link w:val="8"/>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1</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2023-09-06T05:05:30Z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40D5DEE693914BD382D7B94B53B18906</vt:lpwstr>
  </property>
</Properties>
</file>