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b w:val="0"/>
          <w:bCs w:val="0"/>
          <w:kern w:val="0"/>
          <w:sz w:val="32"/>
          <w:szCs w:val="32"/>
        </w:rPr>
      </w:pPr>
      <w:r>
        <w:rPr>
          <w:rFonts w:hint="eastAsia" w:ascii="宋体" w:hAnsi="宋体" w:eastAsia="宋体" w:cs="仿宋_GB2312"/>
          <w:b/>
          <w:bCs/>
          <w:color w:val="000000"/>
          <w:kern w:val="0"/>
          <w:sz w:val="32"/>
          <w:szCs w:val="32"/>
        </w:rPr>
        <w:t>项目名称：</w:t>
      </w:r>
      <w:bookmarkStart w:id="18" w:name="_GoBack"/>
      <w:r>
        <w:rPr>
          <w:rFonts w:hint="eastAsia" w:ascii="宋体" w:hAnsi="宋体" w:eastAsia="宋体" w:cs="仿宋_GB2312"/>
          <w:b w:val="0"/>
          <w:bCs w:val="0"/>
          <w:color w:val="000000"/>
          <w:kern w:val="0"/>
          <w:sz w:val="32"/>
          <w:szCs w:val="32"/>
        </w:rPr>
        <w:t>机关办公业务项目</w:t>
      </w:r>
    </w:p>
    <w:bookmarkEnd w:id="18"/>
    <w:p>
      <w:pPr>
        <w:spacing w:line="560" w:lineRule="exact"/>
        <w:ind w:firstLine="321" w:firstLineChars="100"/>
        <w:rPr>
          <w:rFonts w:hint="eastAsia" w:ascii="宋体" w:hAnsi="宋体" w:eastAsia="宋体" w:cs="宋体"/>
          <w:b w:val="0"/>
          <w:bCs w:val="0"/>
          <w:kern w:val="0"/>
          <w:sz w:val="32"/>
          <w:szCs w:val="32"/>
          <w:lang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val="0"/>
          <w:bCs w:val="0"/>
          <w:color w:val="000000"/>
          <w:kern w:val="0"/>
          <w:sz w:val="32"/>
          <w:szCs w:val="32"/>
          <w:lang w:eastAsia="zh-CN"/>
        </w:rPr>
        <w:t>霍城县信访局</w:t>
      </w:r>
    </w:p>
    <w:p>
      <w:pPr>
        <w:spacing w:line="560" w:lineRule="exact"/>
        <w:ind w:firstLine="321" w:firstLineChars="100"/>
        <w:rPr>
          <w:rFonts w:hint="eastAsia" w:ascii="宋体" w:hAnsi="宋体" w:eastAsia="宋体" w:cs="宋体"/>
          <w:b w:val="0"/>
          <w:bCs w:val="0"/>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val="0"/>
          <w:bCs w:val="0"/>
          <w:color w:val="000000"/>
          <w:kern w:val="0"/>
          <w:sz w:val="32"/>
          <w:szCs w:val="32"/>
          <w:lang w:eastAsia="zh-CN"/>
        </w:rPr>
        <w:t>霍城县信访局</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val="0"/>
          <w:bCs w:val="0"/>
          <w:color w:val="000000"/>
          <w:kern w:val="0"/>
          <w:sz w:val="32"/>
          <w:szCs w:val="32"/>
          <w:lang w:eastAsia="zh-CN"/>
        </w:rPr>
        <w:t>锁金虎</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30</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4"/>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5"/>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项目背景：聚焦党的二十大，以“事要解决”为核心，信访基础业务“四率”力争达到“100%”；推进集中治理重复信访、化解信访积案专项工作，实现上级交办重复信访事项上半年全部化解；紧盯重点领域开展大排查大化解，信访突出问题整治成效显著，坚决实现“三个不发生”和“北京一个不去”的目标。</w:t>
      </w:r>
    </w:p>
    <w:p>
      <w:pPr>
        <w:spacing w:line="360" w:lineRule="auto"/>
        <w:ind w:firstLine="600" w:firstLineChars="200"/>
        <w:rPr>
          <w:rFonts w:hint="eastAsia" w:ascii="仿宋_GB2312"/>
        </w:rPr>
      </w:pPr>
      <w:r>
        <w:rPr>
          <w:rFonts w:hint="eastAsia" w:ascii="仿宋_GB2312"/>
        </w:rPr>
        <w:t>2、主要内容及实施情况</w:t>
      </w:r>
    </w:p>
    <w:p>
      <w:pPr>
        <w:keepNext w:val="0"/>
        <w:keepLines w:val="0"/>
        <w:pageBreakBefore w:val="0"/>
        <w:widowControl w:val="0"/>
        <w:kinsoku/>
        <w:wordWrap/>
        <w:overflowPunct/>
        <w:topLinePunct w:val="0"/>
        <w:autoSpaceDE/>
        <w:autoSpaceDN/>
        <w:bidi w:val="0"/>
        <w:adjustRightInd/>
        <w:snapToGrid/>
        <w:spacing w:beforeAutospacing="0" w:line="520" w:lineRule="exact"/>
        <w:ind w:leftChars="0" w:firstLine="600" w:firstLineChars="200"/>
        <w:jc w:val="left"/>
        <w:textAlignment w:val="auto"/>
        <w:rPr>
          <w:rFonts w:hint="eastAsia" w:ascii="仿宋_GB2312" w:hAnsi="Times New Roman" w:eastAsia="仿宋_GB2312" w:cs="Times New Roman"/>
          <w:highlight w:val="none"/>
          <w:lang w:val="en-US" w:eastAsia="zh-CN"/>
        </w:rPr>
      </w:pPr>
      <w:r>
        <w:rPr>
          <w:rFonts w:hint="eastAsia" w:ascii="仿宋_GB2312" w:hAnsi="Times New Roman" w:eastAsia="仿宋_GB2312" w:cs="Times New Roman"/>
          <w:highlight w:val="none"/>
          <w:lang w:val="en-US" w:eastAsia="zh-CN"/>
        </w:rPr>
        <w:t>主要内容:</w:t>
      </w:r>
      <w:r>
        <w:rPr>
          <w:rFonts w:hint="eastAsia" w:ascii="仿宋_GB2312" w:eastAsia="仿宋_GB2312"/>
          <w:color w:val="auto"/>
          <w:sz w:val="32"/>
          <w:szCs w:val="32"/>
          <w:lang w:eastAsia="zh-CN"/>
        </w:rPr>
        <w:t>县</w:t>
      </w:r>
      <w:r>
        <w:rPr>
          <w:rFonts w:hint="eastAsia" w:ascii="仿宋_GB2312" w:eastAsia="仿宋_GB2312"/>
          <w:color w:val="auto"/>
          <w:sz w:val="32"/>
          <w:szCs w:val="32"/>
        </w:rPr>
        <w:t>联</w:t>
      </w:r>
      <w:r>
        <w:rPr>
          <w:rFonts w:hint="eastAsia" w:ascii="仿宋_GB2312" w:eastAsia="仿宋_GB2312"/>
          <w:color w:val="auto"/>
          <w:sz w:val="32"/>
          <w:szCs w:val="32"/>
          <w:lang w:eastAsia="zh-CN"/>
        </w:rPr>
        <w:t>办把治理重复信访、化解信访积案作为首要政治任务，</w:t>
      </w:r>
      <w:r>
        <w:rPr>
          <w:rFonts w:hint="eastAsia" w:ascii="仿宋_GB2312" w:eastAsia="仿宋_GB2312"/>
          <w:color w:val="auto"/>
          <w:sz w:val="32"/>
          <w:szCs w:val="32"/>
        </w:rPr>
        <w:t>坚持质量与进度并重，</w:t>
      </w:r>
      <w:r>
        <w:rPr>
          <w:rFonts w:hint="eastAsia" w:ascii="仿宋_GB2312" w:eastAsia="仿宋_GB2312" w:cs="Times New Roman"/>
          <w:color w:val="auto"/>
          <w:sz w:val="32"/>
          <w:szCs w:val="32"/>
        </w:rPr>
        <w:t>精准交办</w:t>
      </w:r>
      <w:r>
        <w:rPr>
          <w:rFonts w:hint="eastAsia" w:ascii="仿宋_GB2312" w:eastAsia="仿宋_GB2312" w:cs="Times New Roman"/>
          <w:color w:val="auto"/>
          <w:sz w:val="32"/>
          <w:szCs w:val="32"/>
          <w:lang w:eastAsia="zh-CN"/>
        </w:rPr>
        <w:t>、靶向施策、合力攻坚。目前，</w:t>
      </w:r>
      <w:r>
        <w:rPr>
          <w:rFonts w:hint="eastAsia" w:ascii="仿宋_GB2312" w:hAnsi="仿宋_GB2312" w:eastAsia="仿宋_GB2312" w:cs="仿宋_GB2312"/>
          <w:color w:val="auto"/>
          <w:sz w:val="32"/>
          <w:szCs w:val="32"/>
          <w:lang w:val="en-US" w:eastAsia="zh-CN"/>
        </w:rPr>
        <w:t>中央和自治区第一批交办21件，已化解20件，审核化解率95.24%，再次信访率4.76%。中央和自治区第二批交办7件，已化解7件，审核化解率100%。自治区信联办交办“百日攻坚”重复信访事项32件，已化解32件，化解率100%。</w:t>
      </w:r>
      <w:r>
        <w:rPr>
          <w:rFonts w:hint="eastAsia" w:ascii="仿宋_GB2312" w:eastAsia="仿宋_GB2312"/>
          <w:sz w:val="32"/>
          <w:szCs w:val="32"/>
        </w:rPr>
        <w:t>争取疑难信访专项资金</w:t>
      </w:r>
      <w:r>
        <w:rPr>
          <w:rFonts w:hint="eastAsia" w:ascii="仿宋_GB2312" w:eastAsia="仿宋_GB2312"/>
          <w:sz w:val="32"/>
          <w:szCs w:val="32"/>
          <w:lang w:val="en-US" w:eastAsia="zh-CN"/>
        </w:rPr>
        <w:t>24.8</w:t>
      </w:r>
      <w:r>
        <w:rPr>
          <w:rFonts w:hint="eastAsia" w:ascii="仿宋_GB2312" w:eastAsia="仿宋_GB2312"/>
          <w:sz w:val="32"/>
          <w:szCs w:val="32"/>
        </w:rPr>
        <w:t>万元，化解</w:t>
      </w:r>
      <w:r>
        <w:rPr>
          <w:rFonts w:hint="eastAsia" w:ascii="仿宋_GB2312" w:eastAsia="仿宋_GB2312"/>
          <w:sz w:val="32"/>
          <w:szCs w:val="32"/>
          <w:lang w:val="en-US" w:eastAsia="zh-CN"/>
        </w:rPr>
        <w:t>2</w:t>
      </w:r>
      <w:r>
        <w:rPr>
          <w:rFonts w:hint="eastAsia" w:ascii="仿宋_GB2312" w:eastAsia="仿宋_GB2312"/>
          <w:sz w:val="32"/>
          <w:szCs w:val="32"/>
        </w:rPr>
        <w:t>件“</w:t>
      </w:r>
      <w:r>
        <w:rPr>
          <w:rFonts w:hint="eastAsia" w:ascii="仿宋_GB2312" w:eastAsia="仿宋_GB2312"/>
          <w:sz w:val="32"/>
          <w:szCs w:val="32"/>
          <w:lang w:eastAsia="zh-CN"/>
        </w:rPr>
        <w:t>疑难</w:t>
      </w:r>
      <w:r>
        <w:rPr>
          <w:rFonts w:hint="eastAsia" w:ascii="仿宋_GB2312" w:eastAsia="仿宋_GB2312"/>
          <w:sz w:val="32"/>
          <w:szCs w:val="32"/>
        </w:rPr>
        <w:t>案”。</w:t>
      </w:r>
      <w:r>
        <w:rPr>
          <w:rFonts w:hint="eastAsia" w:ascii="仿宋_GB2312" w:hAnsi="Times New Roman" w:eastAsia="仿宋_GB2312" w:cs="Times New Roman"/>
          <w:highlight w:val="none"/>
          <w:lang w:val="en-US" w:eastAsia="zh-CN"/>
        </w:rPr>
        <w:t>通过做好信访保障工作达到为民解难、为党分忧的政治责任，畅通和规范群众诉求表达、把信访制度优势转化为解决信访问题、化解突出矛盾的社会治理效能，更好地维护群众合法权益，更好地促进社会和谐稳定。</w:t>
      </w:r>
    </w:p>
    <w:p>
      <w:pPr>
        <w:keepNext w:val="0"/>
        <w:keepLines w:val="0"/>
        <w:pageBreakBefore w:val="0"/>
        <w:widowControl w:val="0"/>
        <w:kinsoku/>
        <w:wordWrap/>
        <w:overflowPunct/>
        <w:topLinePunct w:val="0"/>
        <w:autoSpaceDE/>
        <w:autoSpaceDN/>
        <w:bidi w:val="0"/>
        <w:adjustRightInd/>
        <w:snapToGrid/>
        <w:spacing w:beforeAutospacing="0" w:line="520" w:lineRule="exact"/>
        <w:ind w:leftChars="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实施情况:目前，中央和自治区第一批交办21件，已化解20件，审核化解率95.24%，再次信访率4.76%。中央和自治区第二批交办7件，已化解7件，审核化解率100%。自治区信联办交办“百日攻坚”重复信访事项32件，已化解32件，化解率100%。争取疑难信访专项资金24.8万元，化解2件“疑难案”。其中信访保障工作差旅费专用1万元；网络安全及通讯费2.2万元；公益性岗位人员工资差额部分1.8万元。自觉承担起“为民解难、为党分忧”职责使命，以“事要解决”为核心，全力打好集中治理重复信访、化解信访积案攻坚战，大力推进信访制度改革，化解了一大批“疑难杂案”，有力维护了群众合法权益，促进了社会和谐稳定。</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rFonts w:hint="eastAsia"/>
        </w:rPr>
      </w:pPr>
      <w:r>
        <w:rPr>
          <w:rFonts w:hint="eastAsia"/>
        </w:rPr>
        <w:t>资金投入情况：该项目年初预算数5万元，全年预算数5万元，实际总投入5万元，该项目资金已全部落实到位，资金来源为一般公共预算资金。</w:t>
      </w:r>
    </w:p>
    <w:p>
      <w:pPr>
        <w:spacing w:line="360" w:lineRule="auto"/>
        <w:ind w:firstLine="600" w:firstLineChars="200"/>
        <w:rPr>
          <w:rFonts w:hint="eastAsia" w:eastAsia="仿宋_GB2312"/>
          <w:color w:val="FF0000"/>
          <w:lang w:eastAsia="zh-CN"/>
        </w:rPr>
      </w:pPr>
      <w:r>
        <w:rPr>
          <w:rFonts w:hint="eastAsia"/>
        </w:rPr>
        <w:t>资金使用情况：该项目年初预算数5万元，全年预算数5万元，全年执行数5万元，预算执行率为100%，用于：其中信访保障工作差旅费专用1万元；网络安全及通讯费2.2万元；公益性岗位人员工资差额部分1.8万元。共计5万元</w:t>
      </w:r>
      <w:r>
        <w:rPr>
          <w:rFonts w:hint="eastAsia"/>
          <w:lang w:eastAsia="zh-CN"/>
        </w:rPr>
        <w:t>。</w:t>
      </w:r>
    </w:p>
    <w:p>
      <w:pPr>
        <w:pStyle w:val="5"/>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rPr>
      </w:pPr>
      <w:r>
        <w:rPr>
          <w:rFonts w:hint="eastAsia"/>
        </w:rPr>
        <w:t>1</w:t>
      </w:r>
      <w:r>
        <w:rPr>
          <w:rFonts w:hint="eastAsia"/>
          <w:lang w:val="en-US" w:eastAsia="zh-CN"/>
        </w:rPr>
        <w:t>.</w:t>
      </w:r>
      <w:r>
        <w:rPr>
          <w:rFonts w:hint="eastAsia"/>
        </w:rPr>
        <w:t>总体目标：总目标：聚焦党的二十大，以“事要解决”为核心，信访基础业务“四率”力争达到“100%”；推进集中治理重复信访、化解信访积案专项工作，实现上级交办重复信访事项上半年全部化解；紧盯重点领域开展大排查大化解，信访突出问题整治成效显著，坚决实现“三个不发生”和“北京一个不去”的目标。</w:t>
      </w:r>
    </w:p>
    <w:p>
      <w:pPr>
        <w:spacing w:line="360" w:lineRule="auto"/>
        <w:ind w:firstLine="600" w:firstLineChars="200"/>
      </w:pPr>
      <w:r>
        <w:t>2</w:t>
      </w:r>
      <w:r>
        <w:rPr>
          <w:rFonts w:hint="eastAsia"/>
          <w:lang w:val="en-US" w:eastAsia="zh-CN"/>
        </w:rPr>
        <w:t>.</w:t>
      </w:r>
      <w:r>
        <w:rPr>
          <w:rFonts w:hint="eastAsia"/>
        </w:rPr>
        <w:t>阶段性目标：阶段性目标：1、保障工作差旅费专用1万元；2、网络安全及通讯费2.2万元；3、公益性岗位人员工资差额部分1.8万元。通过做好信访保障工作达到为民解难、为党分忧的政治责任，畅通和规范群众诉求表达、把信访制度优势转化为解决信访问题、化解突出矛盾的社会治理效能，更好地维护群众合法权益，更好地促进社会和谐稳定。</w:t>
      </w:r>
    </w:p>
    <w:p>
      <w:pPr>
        <w:pStyle w:val="4"/>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5"/>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hint="eastAsia" w:ascii="仿宋_GB2312" w:eastAsia="仿宋_GB2312"/>
          <w:bCs/>
          <w:color w:val="auto"/>
          <w:sz w:val="32"/>
          <w:szCs w:val="32"/>
          <w:lang w:eastAsia="zh-CN"/>
        </w:rPr>
      </w:pPr>
      <w:r>
        <w:rPr>
          <w:rFonts w:hint="eastAsia" w:ascii="仿宋_GB2312"/>
          <w:bCs/>
          <w:color w:val="auto"/>
          <w:sz w:val="32"/>
          <w:szCs w:val="32"/>
        </w:rPr>
        <w:t>绩效评价目的：持续开展重点领域信访突出问题大排查大梳理，确保底数清、情况明。对涉及重点群体、重点人员、重点问题，严格落实“双交办”和“五个一”工作机制，逐案建立台账，逐案成立工作专班，逐案落实领导包案，明确化解责任和化解时限</w:t>
      </w:r>
      <w:r>
        <w:rPr>
          <w:rFonts w:hint="eastAsia" w:ascii="仿宋_GB2312"/>
          <w:bCs/>
          <w:color w:val="auto"/>
          <w:sz w:val="32"/>
          <w:szCs w:val="32"/>
          <w:lang w:eastAsia="zh-CN"/>
        </w:rPr>
        <w:t>。</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color w:val="auto"/>
        </w:rPr>
      </w:pPr>
      <w:r>
        <w:rPr>
          <w:rFonts w:hint="eastAsia"/>
          <w:color w:val="auto"/>
        </w:rPr>
        <w:t>机关办公业务项目</w:t>
      </w:r>
    </w:p>
    <w:p>
      <w:pPr>
        <w:spacing w:line="360" w:lineRule="auto"/>
        <w:ind w:firstLine="600" w:firstLineChars="200"/>
        <w:rPr>
          <w:rFonts w:hint="eastAsia"/>
          <w:color w:val="FF0000"/>
        </w:rPr>
      </w:pPr>
      <w:r>
        <w:rPr>
          <w:rFonts w:hint="eastAsia"/>
        </w:rPr>
        <w:t>3</w:t>
      </w:r>
      <w:r>
        <w:rPr>
          <w:rFonts w:hint="eastAsia"/>
          <w:lang w:val="en-US" w:eastAsia="zh-CN"/>
        </w:rPr>
        <w:t>.</w:t>
      </w:r>
      <w:r>
        <w:rPr>
          <w:rFonts w:hint="eastAsia"/>
        </w:rPr>
        <w:t>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机关办公业务项目评价，评价核心为专项资金的支出完成情况和效果。</w:t>
      </w:r>
    </w:p>
    <w:p>
      <w:pPr>
        <w:spacing w:line="360" w:lineRule="auto"/>
        <w:rPr>
          <w:color w:val="auto"/>
        </w:rPr>
      </w:pPr>
    </w:p>
    <w:p>
      <w:pPr>
        <w:pStyle w:val="5"/>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ascii="仿宋_GB2312"/>
          <w:bCs/>
          <w:color w:val="FF0000"/>
          <w:sz w:val="32"/>
          <w:szCs w:val="32"/>
        </w:rPr>
      </w:pPr>
      <w:r>
        <w:rPr>
          <w:rFonts w:hint="eastAsia"/>
        </w:rPr>
        <w:t>1</w:t>
      </w:r>
      <w:r>
        <w:rPr>
          <w:rFonts w:hint="eastAsia"/>
          <w:lang w:val="en-US" w:eastAsia="zh-CN"/>
        </w:rPr>
        <w:t>.</w:t>
      </w:r>
      <w:r>
        <w:rPr>
          <w:rFonts w:hint="eastAsia"/>
        </w:rPr>
        <w:t>绩效评价原则</w:t>
      </w:r>
    </w:p>
    <w:p>
      <w:pPr>
        <w:spacing w:line="600" w:lineRule="exact"/>
        <w:ind w:firstLine="640"/>
        <w:rPr>
          <w:rFonts w:hint="eastAsia"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hint="eastAsia"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hint="eastAsia"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（四）公开透明。本次项目支出绩效评价结果已依法依规公开在霍城县人民政府网站上，并自觉接受社会监督。</w:t>
      </w:r>
    </w:p>
    <w:p>
      <w:pPr>
        <w:spacing w:line="360" w:lineRule="auto"/>
      </w:pPr>
    </w:p>
    <w:p>
      <w:pPr>
        <w:spacing w:line="360" w:lineRule="auto"/>
        <w:ind w:firstLine="600" w:firstLineChars="200"/>
        <w:jc w:val="left"/>
        <w:rPr>
          <w:rFonts w:hint="eastAsia"/>
        </w:rPr>
      </w:pPr>
      <w:r>
        <w:rPr>
          <w:rFonts w:hint="eastAsia"/>
        </w:rPr>
        <w:t>2、评价指标体系（附表说明）</w:t>
      </w:r>
    </w:p>
    <w:p>
      <w:pPr>
        <w:pStyle w:val="5"/>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机关办公业务项目支出绩效评价指标体系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2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vAlign w:val="top"/>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7</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12.5</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12.5</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40" w:firstLineChars="200"/>
        <w:jc w:val="left"/>
        <w:rPr>
          <w:rFonts w:hint="eastAsia"/>
          <w:bCs/>
          <w:color w:val="auto"/>
          <w:sz w:val="32"/>
          <w:szCs w:val="32"/>
        </w:rPr>
      </w:pPr>
      <w:r>
        <w:rPr>
          <w:rFonts w:hint="eastAsia"/>
          <w:bCs/>
          <w:color w:val="auto"/>
          <w:sz w:val="32"/>
          <w:szCs w:val="32"/>
        </w:rPr>
        <w:t>本次项目支出绩效自评采用比较法，原因是：将信访局干部外出学习、通讯费、公岗人员自筹工资等实施情况与绩效目标进行比较，分析项目实施进展情况，对项目设立的科学性和严谨性，资金分配的合理性和规范性，政策和项目实施有效性进行充分剖析。</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bCs/>
          <w:color w:val="auto"/>
          <w:sz w:val="32"/>
          <w:szCs w:val="32"/>
        </w:rPr>
      </w:pPr>
      <w:r>
        <w:rPr>
          <w:rFonts w:hint="eastAsia"/>
          <w:bCs/>
          <w:color w:val="auto"/>
          <w:sz w:val="32"/>
          <w:szCs w:val="32"/>
        </w:rPr>
        <w:t>本次项目支出绩效自评采用计划标准，原因是：将果赛景区管委会干部外出学习、制作标识牌、景区宣传、宣讲活动等项目预先制定的目标、计划、预算、定额等作为评价标准，针对绩效指标等方面进行改进提高，使得此次绩效评价更科学、更标准、更符合实际。</w:t>
      </w:r>
    </w:p>
    <w:p>
      <w:pPr>
        <w:pStyle w:val="5"/>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rFonts w:hint="eastAsia"/>
          <w:color w:val="auto"/>
        </w:rPr>
      </w:pPr>
      <w:r>
        <w:rPr>
          <w:rFonts w:hint="eastAsia"/>
          <w:color w:val="auto"/>
        </w:rPr>
        <w:t>2023年3月1日，开始前期准备工作，评价组通过前期调研确定绩效评价对象和范围，确定了评价的目的、方法以及评价的原则，根据项目的内容和特征制定了评价指标体系及评价标准以及评价实施方案，修正并确定所需资料清单，最终确定绩效评价工作方案；</w:t>
      </w:r>
    </w:p>
    <w:p>
      <w:pPr>
        <w:spacing w:line="360" w:lineRule="auto"/>
        <w:ind w:firstLine="600" w:firstLineChars="200"/>
        <w:rPr>
          <w:rFonts w:hint="eastAsia"/>
          <w:color w:val="auto"/>
        </w:rPr>
      </w:pPr>
      <w:r>
        <w:rPr>
          <w:rFonts w:hint="eastAsia"/>
          <w:color w:val="auto"/>
        </w:rPr>
        <w:t>2、组织实施：</w:t>
      </w:r>
    </w:p>
    <w:p>
      <w:pPr>
        <w:spacing w:line="360" w:lineRule="auto"/>
        <w:ind w:firstLine="600" w:firstLineChars="200"/>
        <w:rPr>
          <w:rFonts w:hint="eastAsia"/>
          <w:color w:val="auto"/>
        </w:rPr>
      </w:pPr>
      <w:r>
        <w:rPr>
          <w:rFonts w:hint="eastAsia"/>
          <w:color w:val="auto"/>
        </w:rPr>
        <w:t>2023年3月5日- 3月10日，评价工作进入实施阶段，评价组收集绩效评价相关数据资料，进行现场调研、座谈；并与项目实施负责人沟通，了解资金的内容、操作流程、管理机制、资金使用方向等情况，分析形成初步结论。</w:t>
      </w:r>
    </w:p>
    <w:p>
      <w:pPr>
        <w:spacing w:line="360" w:lineRule="auto"/>
        <w:ind w:firstLine="600" w:firstLineChars="200"/>
        <w:rPr>
          <w:rFonts w:hint="eastAsia"/>
          <w:color w:val="auto"/>
        </w:rPr>
      </w:pPr>
      <w:r>
        <w:rPr>
          <w:rFonts w:hint="eastAsia"/>
          <w:color w:val="auto"/>
        </w:rPr>
        <w:t>3、分析评价：</w:t>
      </w:r>
    </w:p>
    <w:p>
      <w:pPr>
        <w:spacing w:line="360" w:lineRule="auto"/>
        <w:ind w:firstLine="600" w:firstLineChars="200"/>
        <w:rPr>
          <w:color w:val="auto"/>
        </w:rPr>
      </w:pPr>
      <w:r>
        <w:rPr>
          <w:rFonts w:hint="eastAsia"/>
          <w:color w:val="auto"/>
        </w:rPr>
        <w:t>2023年3月10日- 3月20日，评价组按照绩效评价的原则和规范，对取得的资料进行审查核实，对采集的数据进行分析，按照绩效评价指标评分表逐项进行打分、分析，汇总各方评价结果，综合分析并形成评价结</w:t>
      </w:r>
    </w:p>
    <w:p>
      <w:pPr>
        <w:pStyle w:val="4"/>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spacing w:line="360" w:lineRule="auto"/>
        <w:ind w:firstLine="600" w:firstLineChars="200"/>
        <w:jc w:val="left"/>
        <w:rPr>
          <w:rFonts w:hint="eastAsia" w:ascii="仿宋_GB2312" w:eastAsia="仿宋_GB2312"/>
          <w:b w:val="0"/>
          <w:bCs w:val="0"/>
        </w:rPr>
      </w:pPr>
      <w:r>
        <w:rPr>
          <w:rFonts w:hint="eastAsia" w:ascii="仿宋_GB2312" w:eastAsia="仿宋_GB2312"/>
          <w:b w:val="0"/>
          <w:bCs w:val="0"/>
        </w:rPr>
        <w:t>（一）综合评价情况</w:t>
      </w:r>
    </w:p>
    <w:p>
      <w:pPr>
        <w:spacing w:line="360" w:lineRule="auto"/>
        <w:ind w:firstLine="600" w:firstLineChars="200"/>
        <w:jc w:val="left"/>
        <w:rPr>
          <w:rFonts w:hint="eastAsia" w:ascii="仿宋_GB2312" w:eastAsia="仿宋_GB2312"/>
          <w:b w:val="0"/>
          <w:bCs w:val="0"/>
        </w:rPr>
      </w:pPr>
      <w:r>
        <w:rPr>
          <w:rFonts w:hint="eastAsia" w:ascii="仿宋_GB2312" w:eastAsia="仿宋_GB2312"/>
          <w:b w:val="0"/>
          <w:bCs w:val="0"/>
        </w:rPr>
        <w:t>本项目严格按照科学公正、统筹兼顾、激励约束、公开透明的绩效评价原则，采用</w:t>
      </w:r>
      <w:r>
        <w:rPr>
          <w:rFonts w:hint="eastAsia" w:ascii="仿宋_GB2312"/>
          <w:b w:val="0"/>
          <w:bCs w:val="0"/>
          <w:lang w:eastAsia="zh-CN"/>
        </w:rPr>
        <w:t>比较法</w:t>
      </w:r>
      <w:r>
        <w:rPr>
          <w:rFonts w:hint="eastAsia" w:ascii="仿宋_GB2312" w:eastAsia="仿宋_GB2312"/>
          <w:b w:val="0"/>
          <w:bCs w:val="0"/>
        </w:rPr>
        <w:t>，坚持计划标准对本项目的立项、项绩效目标、资金投入、资金管理、组织实施、产出数量、产出质量、产出时效、产出成本、项目效益进行了综合评价。</w:t>
      </w:r>
    </w:p>
    <w:p>
      <w:pPr>
        <w:spacing w:line="360" w:lineRule="auto"/>
        <w:ind w:firstLine="600" w:firstLineChars="200"/>
        <w:jc w:val="center"/>
        <w:rPr>
          <w:rFonts w:hint="eastAsia"/>
          <w:color w:val="auto"/>
        </w:rPr>
      </w:pPr>
      <w:r>
        <w:rPr>
          <w:rFonts w:hint="eastAsia"/>
          <w:color w:val="auto"/>
        </w:rPr>
        <w:t>2022年中央补助地方公共文化服务体系建设补助项目</w:t>
      </w:r>
    </w:p>
    <w:p>
      <w:pPr>
        <w:spacing w:line="360" w:lineRule="auto"/>
        <w:ind w:firstLine="600" w:firstLineChars="200"/>
        <w:jc w:val="center"/>
        <w:rPr>
          <w:rFonts w:hint="eastAsia"/>
          <w:color w:val="FF0000"/>
        </w:rPr>
      </w:pPr>
      <w:r>
        <w:rPr>
          <w:rFonts w:hint="eastAsia"/>
          <w:color w:val="auto"/>
        </w:rPr>
        <w:t>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5"/>
        <w:spacing w:line="360" w:lineRule="auto"/>
        <w:rPr>
          <w:rFonts w:hint="eastAsia" w:ascii="仿宋_GB2312" w:eastAsia="仿宋_GB2312"/>
          <w:b w:val="0"/>
          <w:bCs w:val="0"/>
        </w:rPr>
      </w:pPr>
      <w:bookmarkStart w:id="8" w:name="_Toc68703836"/>
      <w:r>
        <w:rPr>
          <w:rFonts w:hint="eastAsia" w:ascii="仿宋_GB2312" w:eastAsia="仿宋_GB2312"/>
          <w:b w:val="0"/>
          <w:bCs w:val="0"/>
        </w:rPr>
        <w:t>（二）评价结论</w:t>
      </w:r>
      <w:bookmarkEnd w:id="8"/>
    </w:p>
    <w:p>
      <w:pPr>
        <w:spacing w:line="360" w:lineRule="auto"/>
        <w:ind w:firstLine="600" w:firstLineChars="200"/>
        <w:rPr>
          <w:color w:val="auto"/>
        </w:rPr>
      </w:pPr>
      <w:r>
        <w:rPr>
          <w:rFonts w:hint="eastAsia"/>
          <w:color w:val="auto"/>
        </w:rPr>
        <w:t>本项目的项目决策、项目过程、项目产出、项目效益大部分达到了预期要求，得分为100分，评级等级为“优”，项目全部达成年度指标。</w:t>
      </w:r>
    </w:p>
    <w:p>
      <w:pPr>
        <w:pStyle w:val="4"/>
        <w:spacing w:line="360" w:lineRule="auto"/>
        <w:rPr>
          <w:rFonts w:ascii="宋体" w:hAnsi="宋体" w:eastAsia="宋体"/>
          <w:sz w:val="32"/>
          <w:szCs w:val="32"/>
        </w:rPr>
      </w:pPr>
      <w:bookmarkStart w:id="9" w:name="_Toc68703837"/>
      <w:r>
        <w:rPr>
          <w:rFonts w:hint="eastAsia" w:ascii="宋体" w:hAnsi="宋体" w:eastAsia="宋体"/>
          <w:sz w:val="32"/>
          <w:szCs w:val="32"/>
        </w:rPr>
        <w:t>四、绩效评价指标分析</w:t>
      </w:r>
      <w:bookmarkEnd w:id="9"/>
    </w:p>
    <w:p>
      <w:pPr>
        <w:pStyle w:val="5"/>
        <w:spacing w:line="360" w:lineRule="auto"/>
        <w:rPr>
          <w:rFonts w:hint="eastAsia" w:ascii="仿宋_GB2312" w:eastAsia="仿宋_GB2312"/>
          <w:b w:val="0"/>
          <w:bCs w:val="0"/>
        </w:rPr>
      </w:pPr>
      <w:bookmarkStart w:id="10" w:name="_Toc68703838"/>
      <w:r>
        <w:rPr>
          <w:rFonts w:hint="eastAsia" w:ascii="仿宋_GB2312" w:eastAsia="仿宋_GB2312"/>
          <w:b w:val="0"/>
          <w:bCs w:val="0"/>
        </w:rPr>
        <w:t>（一）项目决策情况。</w:t>
      </w:r>
      <w:bookmarkEnd w:id="10"/>
    </w:p>
    <w:p>
      <w:pPr>
        <w:spacing w:line="360" w:lineRule="auto"/>
        <w:rPr>
          <w:rFonts w:hint="eastAsia"/>
          <w:color w:val="auto"/>
        </w:rPr>
      </w:pPr>
      <w:r>
        <w:rPr>
          <w:rFonts w:hint="eastAsia"/>
          <w:color w:val="auto"/>
        </w:rPr>
        <w:t>1、立项依据充分性</w:t>
      </w:r>
    </w:p>
    <w:p>
      <w:pPr>
        <w:spacing w:line="360" w:lineRule="auto"/>
        <w:ind w:firstLine="600" w:firstLineChars="200"/>
        <w:rPr>
          <w:rFonts w:hint="eastAsia"/>
          <w:color w:val="auto"/>
        </w:rPr>
      </w:pPr>
      <w:r>
        <w:rPr>
          <w:rFonts w:hint="eastAsia"/>
          <w:color w:val="auto"/>
        </w:rPr>
        <w:t>项目立项依据 （公用经费项目）霍财政（2021）年1号，申请报告（霍行发（2015）04号，保障信访局业务正常运行的网络费及通讯费；项目立项符合行业发展规划和政策要求；项目立项与部门职责范围相符，属于部门履职所需；项目属于公共财政支持范围，符合中央、地方事权支出责任划分原则；项目不与相关部门同类项目或部门内部相关项目重复。</w:t>
      </w:r>
    </w:p>
    <w:p>
      <w:pPr>
        <w:spacing w:line="360" w:lineRule="auto"/>
        <w:ind w:firstLine="600" w:firstLineChars="200"/>
        <w:rPr>
          <w:rFonts w:hint="eastAsia"/>
          <w:color w:val="auto"/>
        </w:rPr>
      </w:pPr>
      <w:r>
        <w:rPr>
          <w:rFonts w:hint="eastAsia"/>
          <w:color w:val="auto"/>
        </w:rPr>
        <w:t>2、立项程序规范性</w:t>
      </w:r>
    </w:p>
    <w:p>
      <w:pPr>
        <w:spacing w:line="360" w:lineRule="auto"/>
        <w:ind w:firstLine="600" w:firstLineChars="200"/>
        <w:rPr>
          <w:rFonts w:hint="eastAsia"/>
          <w:color w:val="auto"/>
        </w:rPr>
      </w:pPr>
      <w:r>
        <w:rPr>
          <w:rFonts w:hint="eastAsia"/>
          <w:color w:val="auto"/>
        </w:rPr>
        <w:t>本项目按照规定的程序申请设立；审批文件、材料符合相关要求；事前已经过必要的可行性研究、专家论证、风险评估、绩效评估、集体决策。</w:t>
      </w:r>
    </w:p>
    <w:p>
      <w:pPr>
        <w:spacing w:line="360" w:lineRule="auto"/>
        <w:ind w:firstLine="600" w:firstLineChars="200"/>
        <w:rPr>
          <w:rFonts w:hint="eastAsia"/>
          <w:color w:val="auto"/>
        </w:rPr>
      </w:pPr>
      <w:r>
        <w:rPr>
          <w:rFonts w:hint="eastAsia"/>
          <w:color w:val="auto"/>
        </w:rPr>
        <w:t>3、绩效目标合理性</w:t>
      </w:r>
    </w:p>
    <w:p>
      <w:pPr>
        <w:spacing w:line="360" w:lineRule="auto"/>
        <w:ind w:firstLine="600" w:firstLineChars="200"/>
        <w:rPr>
          <w:rFonts w:hint="eastAsia"/>
          <w:color w:val="auto"/>
        </w:rPr>
      </w:pPr>
      <w:r>
        <w:rPr>
          <w:rFonts w:hint="eastAsia"/>
          <w:color w:val="auto"/>
        </w:rPr>
        <w:t>信访局机关办公业务项目设立了项目绩效目标，与信访局差旅费、通讯费、信访保障费等工作具有相关性，项目的预期产出效益和效果也均能符合正常的业绩水平，并且与预算确定的项目投资额或资金量相匹配。</w:t>
      </w:r>
    </w:p>
    <w:p>
      <w:pPr>
        <w:spacing w:line="360" w:lineRule="auto"/>
        <w:ind w:firstLine="600" w:firstLineChars="200"/>
        <w:rPr>
          <w:rFonts w:hint="eastAsia"/>
          <w:color w:val="auto"/>
        </w:rPr>
      </w:pPr>
      <w:r>
        <w:rPr>
          <w:rFonts w:hint="eastAsia"/>
          <w:color w:val="auto"/>
        </w:rPr>
        <w:t>4、绩效指标：信访局机构办公业务项目将项目绩效目标细化分解为具体的绩效指标，一级指标共3条，二级指标共6条，三级指标共13条，其中量化指标条数共1</w:t>
      </w:r>
      <w:r>
        <w:rPr>
          <w:rFonts w:hint="eastAsia"/>
          <w:color w:val="auto"/>
          <w:lang w:val="en-US" w:eastAsia="zh-CN"/>
        </w:rPr>
        <w:t>2</w:t>
      </w:r>
      <w:r>
        <w:rPr>
          <w:rFonts w:hint="eastAsia"/>
          <w:color w:val="auto"/>
        </w:rPr>
        <w:t>条，所有绩效指标均通过清晰、可衡量的指标值予以体现，并且做到了与项目目标任务数或计划数相对应。</w:t>
      </w:r>
    </w:p>
    <w:p>
      <w:pPr>
        <w:spacing w:line="360" w:lineRule="auto"/>
        <w:ind w:firstLine="600" w:firstLineChars="200"/>
        <w:rPr>
          <w:rFonts w:hint="eastAsia"/>
          <w:color w:val="auto"/>
        </w:rPr>
      </w:pPr>
      <w:r>
        <w:rPr>
          <w:rFonts w:hint="eastAsia"/>
          <w:color w:val="auto"/>
        </w:rPr>
        <w:t>5、预算编制科学性</w:t>
      </w:r>
    </w:p>
    <w:p>
      <w:pPr>
        <w:spacing w:line="360" w:lineRule="auto"/>
        <w:ind w:firstLine="600" w:firstLineChars="200"/>
        <w:rPr>
          <w:rFonts w:hint="eastAsia"/>
          <w:color w:val="auto"/>
        </w:rPr>
      </w:pPr>
      <w:r>
        <w:rPr>
          <w:rFonts w:hint="eastAsia"/>
          <w:color w:val="auto"/>
        </w:rPr>
        <w:t>本项目预算编制经过科学论证；预算内容与项目内容匹配；预算额度测算依据充分，按照标准编制；预算确定的项目投资额或资金量与工作任务相匹配。</w:t>
      </w:r>
    </w:p>
    <w:p>
      <w:pPr>
        <w:spacing w:line="360" w:lineRule="auto"/>
        <w:ind w:firstLine="600" w:firstLineChars="200"/>
        <w:rPr>
          <w:rFonts w:hint="eastAsia"/>
          <w:color w:val="auto"/>
        </w:rPr>
      </w:pPr>
      <w:r>
        <w:rPr>
          <w:rFonts w:hint="eastAsia"/>
          <w:color w:val="auto"/>
        </w:rPr>
        <w:t>6、资金分配合理性</w:t>
      </w:r>
    </w:p>
    <w:p>
      <w:pPr>
        <w:spacing w:line="360" w:lineRule="auto"/>
        <w:rPr>
          <w:color w:val="auto"/>
        </w:rPr>
      </w:pPr>
      <w:r>
        <w:rPr>
          <w:rFonts w:hint="eastAsia"/>
          <w:color w:val="auto"/>
        </w:rPr>
        <w:t>本项目预算资金分配依据充分；资金分配额度合理，与项目单位或地方实际相适应。</w:t>
      </w:r>
    </w:p>
    <w:p>
      <w:pPr>
        <w:pStyle w:val="5"/>
        <w:spacing w:line="360" w:lineRule="auto"/>
        <w:rPr>
          <w:rFonts w:hint="eastAsia" w:ascii="仿宋_GB2312" w:eastAsia="仿宋_GB2312"/>
          <w:b w:val="0"/>
          <w:bCs w:val="0"/>
        </w:rPr>
      </w:pPr>
      <w:bookmarkStart w:id="11" w:name="_Toc68703839"/>
      <w:r>
        <w:rPr>
          <w:rFonts w:hint="eastAsia" w:ascii="仿宋_GB2312" w:eastAsia="仿宋_GB2312"/>
          <w:b w:val="0"/>
          <w:bCs w:val="0"/>
        </w:rPr>
        <w:t>（二）项目过程情况。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资金到位率：</w:t>
      </w:r>
    </w:p>
    <w:p>
      <w:pPr>
        <w:spacing w:line="360" w:lineRule="auto"/>
        <w:ind w:firstLine="600" w:firstLineChars="200"/>
        <w:jc w:val="left"/>
        <w:rPr>
          <w:rFonts w:hint="eastAsia"/>
        </w:rPr>
      </w:pPr>
      <w:r>
        <w:rPr>
          <w:rFonts w:hint="eastAsia"/>
        </w:rPr>
        <w:t>预算资金5万元，实际到位资金5万元，资金到位率100%。</w:t>
      </w:r>
    </w:p>
    <w:p>
      <w:pPr>
        <w:spacing w:line="360" w:lineRule="auto"/>
        <w:ind w:firstLine="600" w:firstLineChars="200"/>
        <w:jc w:val="left"/>
        <w:rPr>
          <w:rFonts w:hint="eastAsia"/>
        </w:rPr>
      </w:pPr>
      <w:r>
        <w:rPr>
          <w:rFonts w:hint="eastAsia"/>
        </w:rPr>
        <w:t>2、预算执行率</w:t>
      </w:r>
    </w:p>
    <w:p>
      <w:pPr>
        <w:spacing w:line="360" w:lineRule="auto"/>
        <w:ind w:firstLine="600" w:firstLineChars="200"/>
        <w:jc w:val="left"/>
        <w:rPr>
          <w:rFonts w:hint="eastAsia"/>
        </w:rPr>
      </w:pPr>
      <w:r>
        <w:rPr>
          <w:rFonts w:hint="eastAsia"/>
        </w:rPr>
        <w:t>年初预算数5万元，全年预算数5万元，全年执行数5万元，预算执行率为100%。</w:t>
      </w:r>
    </w:p>
    <w:p>
      <w:pPr>
        <w:spacing w:line="360" w:lineRule="auto"/>
        <w:ind w:firstLine="600" w:firstLineChars="200"/>
        <w:jc w:val="left"/>
        <w:rPr>
          <w:rFonts w:hint="eastAsia"/>
        </w:rPr>
      </w:pPr>
      <w:r>
        <w:rPr>
          <w:rFonts w:hint="eastAsia"/>
        </w:rPr>
        <w:t>3、资金使用合规性</w:t>
      </w:r>
    </w:p>
    <w:p>
      <w:pPr>
        <w:spacing w:line="360" w:lineRule="auto"/>
        <w:ind w:firstLine="600" w:firstLineChars="200"/>
        <w:jc w:val="left"/>
        <w:rPr>
          <w:rFonts w:hint="eastAsia"/>
        </w:rPr>
      </w:pPr>
      <w:r>
        <w:rPr>
          <w:rFonts w:hint="eastAsia"/>
        </w:rPr>
        <w:t>本项目符合国家财经法规和财务管理制度以及有关专项资金管理办法的规定；资金的拨付有完整的审批程序和手续；符合项目预算批复或合同规定的用途；不存在截留、挤占、挪用、虚列支出等情况。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ind w:firstLine="600" w:firstLineChars="200"/>
        <w:jc w:val="left"/>
        <w:rPr>
          <w:rFonts w:hint="eastAsia"/>
        </w:rPr>
      </w:pPr>
      <w:r>
        <w:rPr>
          <w:rFonts w:hint="eastAsia"/>
        </w:rPr>
        <w:t>4、管理制度健全性</w:t>
      </w:r>
    </w:p>
    <w:p>
      <w:pPr>
        <w:spacing w:line="360" w:lineRule="auto"/>
        <w:ind w:firstLine="600" w:firstLineChars="200"/>
        <w:jc w:val="left"/>
        <w:rPr>
          <w:rFonts w:hint="eastAsia"/>
        </w:rPr>
      </w:pPr>
      <w:r>
        <w:rPr>
          <w:rFonts w:hint="eastAsia"/>
        </w:rPr>
        <w:t>本项目已制定或具有相应的财务和业务管理制度；财务和业务管理制度合法、合规、完整。</w:t>
      </w:r>
    </w:p>
    <w:p>
      <w:pPr>
        <w:spacing w:line="360" w:lineRule="auto"/>
        <w:ind w:firstLine="600" w:firstLineChars="200"/>
        <w:jc w:val="left"/>
        <w:rPr>
          <w:rFonts w:hint="eastAsia"/>
        </w:rPr>
      </w:pPr>
      <w:r>
        <w:rPr>
          <w:rFonts w:hint="eastAsia"/>
        </w:rPr>
        <w:t>5、制度执行有效性</w:t>
      </w:r>
    </w:p>
    <w:p>
      <w:pPr>
        <w:spacing w:line="360" w:lineRule="auto"/>
        <w:ind w:firstLine="600" w:firstLineChars="200"/>
        <w:jc w:val="left"/>
        <w:rPr>
          <w:rFonts w:hint="eastAsia"/>
        </w:rPr>
      </w:pPr>
      <w:r>
        <w:rPr>
          <w:rFonts w:hint="eastAsia"/>
        </w:rPr>
        <w:t>本项目遵守相关法律法规和相关管理规定；项目调整及支出调整手续完备；项目合同书、验收报告、技术鉴定等资料齐全并及时归档；项目实施的人员条件、场地设备、信息支撑等落实到位。</w:t>
      </w:r>
    </w:p>
    <w:p>
      <w:pPr>
        <w:pStyle w:val="5"/>
        <w:spacing w:line="360" w:lineRule="auto"/>
        <w:rPr>
          <w:rFonts w:hint="eastAsia" w:ascii="仿宋_GB2312" w:eastAsia="仿宋_GB2312"/>
          <w:b w:val="0"/>
          <w:bCs w:val="0"/>
        </w:rPr>
      </w:pPr>
      <w:bookmarkStart w:id="12" w:name="_Toc68703840"/>
      <w:r>
        <w:rPr>
          <w:rFonts w:hint="eastAsia" w:ascii="仿宋_GB2312" w:eastAsia="仿宋_GB2312"/>
          <w:b w:val="0"/>
          <w:bCs w:val="0"/>
        </w:rPr>
        <w:t>（三）项目产出情况。</w:t>
      </w:r>
      <w:bookmarkEnd w:id="12"/>
    </w:p>
    <w:p>
      <w:pPr>
        <w:spacing w:line="360" w:lineRule="auto"/>
        <w:ind w:firstLine="600" w:firstLineChars="200"/>
        <w:rPr>
          <w:rFonts w:hint="default" w:eastAsia="仿宋_GB2312"/>
          <w:color w:val="auto"/>
          <w:lang w:val="en-US" w:eastAsia="zh-CN"/>
        </w:rPr>
      </w:pPr>
      <w:bookmarkStart w:id="13" w:name="_Toc68703841"/>
      <w:r>
        <w:rPr>
          <w:rFonts w:hint="eastAsia"/>
          <w:color w:val="auto"/>
        </w:rPr>
        <w:t>1、数量指标：指标1：</w:t>
      </w:r>
      <w:r>
        <w:rPr>
          <w:rFonts w:hint="eastAsia"/>
          <w:color w:val="auto"/>
          <w:lang w:eastAsia="zh-CN"/>
        </w:rPr>
        <w:t>缴纳通讯费次数</w:t>
      </w:r>
      <w:r>
        <w:rPr>
          <w:rFonts w:hint="eastAsia"/>
          <w:color w:val="auto"/>
        </w:rPr>
        <w:t>，指标值：</w:t>
      </w:r>
      <w:r>
        <w:rPr>
          <w:rFonts w:hint="eastAsia"/>
          <w:color w:val="auto"/>
          <w:lang w:eastAsia="zh-CN"/>
        </w:rPr>
        <w:t>≥</w:t>
      </w:r>
      <w:r>
        <w:rPr>
          <w:rFonts w:hint="eastAsia"/>
          <w:color w:val="auto"/>
          <w:lang w:val="en-US" w:eastAsia="zh-CN"/>
        </w:rPr>
        <w:t>10次</w:t>
      </w:r>
      <w:r>
        <w:rPr>
          <w:color w:val="auto"/>
        </w:rPr>
        <w:t xml:space="preserve"> </w:t>
      </w:r>
      <w:r>
        <w:rPr>
          <w:rFonts w:hint="eastAsia"/>
          <w:color w:val="auto"/>
        </w:rPr>
        <w:t>，实际完成值</w:t>
      </w:r>
      <w:r>
        <w:rPr>
          <w:rFonts w:hint="eastAsia"/>
          <w:color w:val="auto"/>
          <w:lang w:val="en-US" w:eastAsia="zh-CN"/>
        </w:rPr>
        <w:t>10次</w:t>
      </w:r>
      <w:r>
        <w:rPr>
          <w:rFonts w:hint="eastAsia"/>
          <w:color w:val="auto"/>
        </w:rPr>
        <w:t>，指标完成率</w:t>
      </w:r>
      <w:r>
        <w:rPr>
          <w:rFonts w:hint="eastAsia"/>
          <w:color w:val="auto"/>
          <w:lang w:val="en-US" w:eastAsia="zh-CN"/>
        </w:rPr>
        <w:t>100</w:t>
      </w:r>
      <w:r>
        <w:rPr>
          <w:rFonts w:hint="eastAsia"/>
          <w:color w:val="auto"/>
        </w:rPr>
        <w:t>% ；指标2：</w:t>
      </w:r>
      <w:r>
        <w:rPr>
          <w:rFonts w:hint="eastAsia"/>
          <w:color w:val="auto"/>
          <w:lang w:eastAsia="zh-CN"/>
        </w:rPr>
        <w:t>公益性岗位人员人数</w:t>
      </w:r>
      <w:r>
        <w:rPr>
          <w:rFonts w:hint="eastAsia"/>
          <w:color w:val="auto"/>
        </w:rPr>
        <w:t>，指标值：</w:t>
      </w:r>
      <w:r>
        <w:rPr>
          <w:rFonts w:hint="eastAsia"/>
          <w:color w:val="auto"/>
          <w:lang w:eastAsia="zh-CN"/>
        </w:rPr>
        <w:t>＝</w:t>
      </w:r>
      <w:r>
        <w:rPr>
          <w:rFonts w:hint="eastAsia"/>
          <w:color w:val="auto"/>
          <w:lang w:val="en-US" w:eastAsia="zh-CN"/>
        </w:rPr>
        <w:t>1人</w:t>
      </w:r>
      <w:r>
        <w:rPr>
          <w:rFonts w:hint="eastAsia"/>
          <w:color w:val="auto"/>
        </w:rPr>
        <w:t>，实际完成值</w:t>
      </w:r>
      <w:r>
        <w:rPr>
          <w:rFonts w:hint="eastAsia"/>
          <w:color w:val="auto"/>
          <w:lang w:val="en-US" w:eastAsia="zh-CN"/>
        </w:rPr>
        <w:t>1人</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；指标</w:t>
      </w:r>
      <w:r>
        <w:rPr>
          <w:rFonts w:hint="eastAsia"/>
          <w:color w:val="auto"/>
          <w:lang w:val="en-US" w:eastAsia="zh-CN"/>
        </w:rPr>
        <w:t>3：保障办公室人员数量，指标值：≥2人，实际完成值2个，指标完成率100%；指标4：工作发放次数，指标值：≥12次，实际完成值12次，指标完成率100%。</w:t>
      </w:r>
    </w:p>
    <w:p>
      <w:pPr>
        <w:spacing w:line="360" w:lineRule="auto"/>
        <w:ind w:firstLine="600" w:firstLineChars="200"/>
        <w:rPr>
          <w:rFonts w:hint="eastAsia"/>
          <w:color w:val="auto"/>
          <w:lang w:val="en-US" w:eastAsia="zh-CN"/>
        </w:rPr>
      </w:pPr>
      <w:r>
        <w:rPr>
          <w:color w:val="auto"/>
        </w:rPr>
        <w:t>2</w:t>
      </w:r>
      <w:r>
        <w:rPr>
          <w:rFonts w:hint="eastAsia"/>
          <w:color w:val="auto"/>
        </w:rPr>
        <w:t>、质量指标：指标1：</w:t>
      </w:r>
      <w:r>
        <w:rPr>
          <w:rFonts w:hint="eastAsia"/>
          <w:color w:val="auto"/>
          <w:lang w:eastAsia="zh-CN"/>
        </w:rPr>
        <w:t>工作发放准确率</w:t>
      </w:r>
      <w:r>
        <w:rPr>
          <w:rFonts w:hint="eastAsia"/>
          <w:color w:val="auto"/>
        </w:rPr>
        <w:t>，指标值：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highlight w:val="none"/>
        </w:rPr>
        <w:t>指标2：</w:t>
      </w:r>
      <w:r>
        <w:rPr>
          <w:rFonts w:hint="eastAsia"/>
          <w:color w:val="auto"/>
          <w:highlight w:val="none"/>
          <w:lang w:eastAsia="zh-CN"/>
        </w:rPr>
        <w:t>网上信访事项办结率</w:t>
      </w:r>
      <w:r>
        <w:rPr>
          <w:rFonts w:hint="eastAsia"/>
          <w:color w:val="auto"/>
          <w:highlight w:val="none"/>
        </w:rPr>
        <w:t>，指标值：</w:t>
      </w:r>
      <w:r>
        <w:rPr>
          <w:rFonts w:hint="eastAsia"/>
          <w:color w:val="auto"/>
          <w:lang w:val="en-US" w:eastAsia="zh-CN"/>
        </w:rPr>
        <w:t>＝</w:t>
      </w:r>
      <w:r>
        <w:rPr>
          <w:rFonts w:hint="eastAsia"/>
          <w:color w:val="auto"/>
          <w:highlight w:val="none"/>
          <w:lang w:val="en-US" w:eastAsia="zh-CN"/>
        </w:rPr>
        <w:t>100%</w:t>
      </w:r>
      <w:r>
        <w:rPr>
          <w:rFonts w:hint="eastAsia"/>
          <w:color w:val="auto"/>
          <w:highlight w:val="none"/>
        </w:rPr>
        <w:t>，实际完成值</w:t>
      </w:r>
      <w:r>
        <w:rPr>
          <w:rFonts w:hint="eastAsia"/>
          <w:color w:val="auto"/>
          <w:highlight w:val="none"/>
          <w:lang w:val="en-US" w:eastAsia="zh-CN"/>
        </w:rPr>
        <w:t>100%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lang w:val="en-US" w:eastAsia="zh-CN"/>
        </w:rPr>
        <w:t>。</w:t>
      </w:r>
    </w:p>
    <w:p>
      <w:pPr>
        <w:spacing w:line="360" w:lineRule="auto"/>
        <w:ind w:firstLine="600" w:firstLineChars="200"/>
        <w:rPr>
          <w:color w:val="auto"/>
        </w:rPr>
      </w:pPr>
      <w:r>
        <w:rPr>
          <w:rFonts w:hint="eastAsia"/>
          <w:color w:val="auto"/>
        </w:rPr>
        <w:t>3、时效指标：</w:t>
      </w:r>
      <w:r>
        <w:rPr>
          <w:rFonts w:hint="eastAsia"/>
          <w:color w:val="auto"/>
          <w:lang w:val="en-US" w:eastAsia="zh-CN"/>
        </w:rPr>
        <w:t>指标1：公用经费支付及时率，指标值：＝100%，实际完成值100%，指标完成率100%；指标2：公益性岗位人员工资差额补贴发放及时率，指标值：＝100%，实际完成值100%，指标完成率100%。</w:t>
      </w:r>
    </w:p>
    <w:p>
      <w:pPr>
        <w:spacing w:line="360" w:lineRule="auto"/>
        <w:ind w:firstLine="600" w:firstLineChars="200"/>
        <w:rPr>
          <w:rFonts w:hint="eastAsia"/>
          <w:color w:val="auto"/>
          <w:lang w:val="en-US" w:eastAsia="zh-CN"/>
        </w:rPr>
      </w:pPr>
      <w:r>
        <w:rPr>
          <w:rFonts w:hint="eastAsia"/>
          <w:color w:val="auto"/>
        </w:rPr>
        <w:t>4、成本指标</w:t>
      </w:r>
      <w:r>
        <w:rPr>
          <w:rFonts w:hint="eastAsia"/>
          <w:color w:val="auto"/>
          <w:lang w:eastAsia="zh-CN"/>
        </w:rPr>
        <w:t>：指标</w:t>
      </w:r>
      <w:r>
        <w:rPr>
          <w:rFonts w:hint="eastAsia"/>
          <w:color w:val="auto"/>
          <w:lang w:val="en-US" w:eastAsia="zh-CN"/>
        </w:rPr>
        <w:t>1：人均运转经费数，指标值：＝5000元/每人，实际完成值5000元/每人，指标完成率100%；指标2：每次缴纳通讯费金额，指标值：=2200元，实际完成值2200元，指标完成率100%；</w:t>
      </w:r>
      <w:r>
        <w:rPr>
          <w:rFonts w:hint="eastAsia"/>
          <w:color w:val="auto"/>
          <w:lang w:eastAsia="zh-CN"/>
        </w:rPr>
        <w:t>指标</w:t>
      </w:r>
      <w:r>
        <w:rPr>
          <w:rFonts w:hint="eastAsia"/>
          <w:color w:val="auto"/>
          <w:lang w:val="en-US" w:eastAsia="zh-CN"/>
        </w:rPr>
        <w:t>3：工资发放标准，指标值：＝1500元/每月，实际完成值1500元/每月，指标完成率100%。</w:t>
      </w:r>
    </w:p>
    <w:p>
      <w:pPr>
        <w:pStyle w:val="5"/>
        <w:spacing w:line="360" w:lineRule="auto"/>
        <w:rPr>
          <w:rFonts w:hint="eastAsia" w:ascii="仿宋_GB2312" w:eastAsia="仿宋_GB2312"/>
          <w:b w:val="0"/>
          <w:bCs w:val="0"/>
        </w:rPr>
      </w:pPr>
      <w:r>
        <w:rPr>
          <w:rFonts w:hint="eastAsia" w:ascii="仿宋_GB2312" w:eastAsia="仿宋_GB2312"/>
          <w:b w:val="0"/>
          <w:bCs w:val="0"/>
        </w:rPr>
        <w:t>（四）项目效益情况。</w:t>
      </w:r>
      <w:bookmarkEnd w:id="13"/>
    </w:p>
    <w:p>
      <w:pPr>
        <w:spacing w:line="360" w:lineRule="auto"/>
        <w:rPr>
          <w:rFonts w:hint="eastAsia" w:eastAsia="仿宋_GB2312"/>
          <w:color w:val="auto"/>
          <w:lang w:eastAsia="zh-CN"/>
        </w:rPr>
      </w:pPr>
      <w:r>
        <w:rPr>
          <w:rFonts w:hint="eastAsia"/>
          <w:color w:val="auto"/>
        </w:rPr>
        <w:t>1、社会效益指标：指标1：</w:t>
      </w:r>
      <w:r>
        <w:rPr>
          <w:rFonts w:hint="eastAsia"/>
          <w:color w:val="auto"/>
          <w:lang w:eastAsia="zh-CN"/>
        </w:rPr>
        <w:t>提高</w:t>
      </w:r>
      <w:r>
        <w:rPr>
          <w:rFonts w:hint="eastAsia"/>
          <w:color w:val="auto"/>
        </w:rPr>
        <w:t>各部门履职能力，指标值：有效</w:t>
      </w:r>
      <w:r>
        <w:rPr>
          <w:rFonts w:hint="eastAsia"/>
          <w:color w:val="auto"/>
          <w:lang w:eastAsia="zh-CN"/>
        </w:rPr>
        <w:t>提高</w:t>
      </w:r>
      <w:r>
        <w:rPr>
          <w:rFonts w:hint="eastAsia"/>
          <w:color w:val="auto"/>
        </w:rPr>
        <w:t>，实际完成值：有效</w:t>
      </w:r>
      <w:r>
        <w:rPr>
          <w:rFonts w:hint="eastAsia"/>
          <w:color w:val="auto"/>
          <w:lang w:eastAsia="zh-CN"/>
        </w:rPr>
        <w:t>提高</w:t>
      </w:r>
      <w:r>
        <w:rPr>
          <w:rFonts w:hint="eastAsia"/>
          <w:color w:val="auto"/>
        </w:rPr>
        <w:t>，指标完成率100%</w:t>
      </w:r>
      <w:r>
        <w:rPr>
          <w:rFonts w:hint="eastAsia"/>
          <w:color w:val="auto"/>
          <w:lang w:eastAsia="zh-CN"/>
        </w:rPr>
        <w:t>；</w:t>
      </w:r>
    </w:p>
    <w:p>
      <w:pPr>
        <w:spacing w:line="360" w:lineRule="auto"/>
        <w:rPr>
          <w:color w:val="auto"/>
        </w:rPr>
      </w:pPr>
      <w:r>
        <w:rPr>
          <w:rFonts w:hint="eastAsia"/>
          <w:color w:val="auto"/>
        </w:rPr>
        <w:t>2、满意度指标：指标1：</w:t>
      </w:r>
      <w:r>
        <w:rPr>
          <w:rFonts w:hint="eastAsia"/>
          <w:color w:val="auto"/>
          <w:lang w:eastAsia="zh-CN"/>
        </w:rPr>
        <w:t>工作人员</w:t>
      </w:r>
      <w:r>
        <w:rPr>
          <w:rFonts w:hint="eastAsia"/>
          <w:color w:val="auto"/>
        </w:rPr>
        <w:t>满意度，指标值：≥95%，实际完成值95%，指标完成率100%。</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五、主要经验及做法、存在的问题及原因分析</w:t>
      </w:r>
      <w:bookmarkStart w:id="14" w:name="_Toc68703843"/>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b w:val="0"/>
          <w:bCs w:val="0"/>
        </w:rPr>
      </w:pPr>
      <w:r>
        <w:rPr>
          <w:rFonts w:hint="eastAsia" w:ascii="仿宋_GB2312" w:eastAsia="仿宋_GB2312"/>
          <w:b w:val="0"/>
          <w:bCs w:val="0"/>
        </w:rPr>
        <w:t>（一）主要经验及做法</w:t>
      </w:r>
      <w:bookmarkEnd w:id="14"/>
      <w:bookmarkStart w:id="15" w:name="_Toc68703844"/>
    </w:p>
    <w:p>
      <w:pPr>
        <w:pageBreakBefore w:val="0"/>
        <w:widowControl w:val="0"/>
        <w:kinsoku/>
        <w:wordWrap/>
        <w:overflowPunct/>
        <w:topLinePunct w:val="0"/>
        <w:autoSpaceDE/>
        <w:autoSpaceDN/>
        <w:bidi w:val="0"/>
        <w:adjustRightInd/>
        <w:snapToGrid/>
        <w:spacing w:line="560" w:lineRule="exact"/>
        <w:ind w:firstLine="1200" w:firstLineChars="400"/>
        <w:textAlignment w:val="auto"/>
        <w:rPr>
          <w:rFonts w:hint="eastAsia" w:ascii="仿宋_GB2312" w:eastAsia="仿宋_GB2312"/>
          <w:b w:val="0"/>
          <w:bCs w:val="0"/>
        </w:rPr>
      </w:pPr>
      <w:r>
        <w:rPr>
          <w:rFonts w:hint="eastAsia" w:ascii="仿宋_GB2312" w:hAnsi="Times New Roman" w:eastAsia="仿宋_GB2312" w:cs="Times New Roman"/>
          <w:b w:val="0"/>
          <w:bCs w:val="0"/>
          <w:kern w:val="2"/>
          <w:sz w:val="30"/>
          <w:szCs w:val="24"/>
          <w:highlight w:val="none"/>
          <w:lang w:val="en-US" w:eastAsia="zh-CN" w:bidi="ar-SA"/>
        </w:rPr>
        <w:t>一是严把绩效目标编制质量关。合理设置绩效目标。二是开展绩效运行监控，强化过程管理，按照“抓在日常，重在日常”的理念，制定相关办法。三是坚持目标导向，认真开展绩效评价。根据工作需要，组织相关局室对预算项目绩效目标进行初步审核，提高目标编制质量。</w:t>
      </w:r>
    </w:p>
    <w:p>
      <w:pPr>
        <w:pStyle w:val="5"/>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仿宋_GB2312" w:eastAsia="仿宋_GB2312"/>
          <w:b w:val="0"/>
          <w:bCs w:val="0"/>
        </w:rPr>
      </w:pPr>
      <w:r>
        <w:rPr>
          <w:rFonts w:hint="eastAsia" w:ascii="仿宋_GB2312" w:eastAsia="仿宋_GB2312"/>
          <w:b w:val="0"/>
          <w:bCs w:val="0"/>
        </w:rPr>
        <w:t>存在的问题及原因分析</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b w:val="0"/>
          <w:bCs w:val="0"/>
          <w:highlight w:val="none"/>
          <w:lang w:val="en-US" w:eastAsia="zh-CN"/>
        </w:rPr>
      </w:pPr>
      <w:r>
        <w:rPr>
          <w:rFonts w:hint="eastAsia" w:ascii="仿宋_GB2312" w:eastAsia="仿宋_GB2312"/>
          <w:b w:val="0"/>
          <w:bCs w:val="0"/>
          <w:highlight w:val="none"/>
        </w:rPr>
        <w:t>存在问题</w:t>
      </w:r>
      <w:r>
        <w:rPr>
          <w:rFonts w:hint="eastAsia" w:ascii="仿宋_GB2312"/>
          <w:b w:val="0"/>
          <w:bCs w:val="0"/>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color w:val="auto"/>
          <w:highlight w:val="none"/>
          <w:lang w:val="en-US" w:eastAsia="zh-CN"/>
        </w:rPr>
      </w:pPr>
      <w:r>
        <w:rPr>
          <w:rFonts w:hint="eastAsia" w:ascii="仿宋_GB2312"/>
          <w:b w:val="0"/>
          <w:bCs w:val="0"/>
          <w:highlight w:val="none"/>
          <w:lang w:val="en-US" w:eastAsia="zh-CN"/>
        </w:rPr>
        <w:t>1</w:t>
      </w:r>
      <w:r>
        <w:rPr>
          <w:rFonts w:hint="eastAsia"/>
          <w:color w:val="auto"/>
          <w:highlight w:val="none"/>
          <w:lang w:val="en-US" w:eastAsia="zh-CN"/>
        </w:rPr>
        <w:t>、对绩效目标申报不够重视，绩效目标设置量化程度进一步提高。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highlight w:val="none"/>
          <w:lang w:eastAsia="zh-CN"/>
        </w:rPr>
      </w:pPr>
      <w:r>
        <w:rPr>
          <w:rFonts w:hint="eastAsia"/>
          <w:color w:val="auto"/>
          <w:highlight w:val="none"/>
          <w:lang w:val="en-US" w:eastAsia="zh-CN"/>
        </w:rPr>
        <w:t>2、</w:t>
      </w:r>
      <w:r>
        <w:rPr>
          <w:rFonts w:hint="eastAsia"/>
          <w:highlight w:val="none"/>
          <w:lang w:eastAsia="zh-CN"/>
        </w:rPr>
        <w:t>绩效目标编制有待进一步完善。单位编制的绩效目标数量指标和成本指标与实际支出存在差异。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_GB2312" w:cs="Times New Roman"/>
          <w:b w:val="0"/>
          <w:bCs w:val="0"/>
          <w:kern w:val="2"/>
          <w:sz w:val="30"/>
          <w:szCs w:val="24"/>
          <w:highlight w:val="none"/>
          <w:lang w:val="en-US" w:eastAsia="zh-CN" w:bidi="ar-SA"/>
        </w:rPr>
      </w:pPr>
      <w:r>
        <w:rPr>
          <w:rFonts w:hint="eastAsia" w:ascii="仿宋_GB2312" w:hAnsi="Times New Roman" w:eastAsia="仿宋_GB2312" w:cs="Times New Roman"/>
          <w:b w:val="0"/>
          <w:bCs w:val="0"/>
          <w:kern w:val="2"/>
          <w:sz w:val="30"/>
          <w:szCs w:val="24"/>
          <w:highlight w:val="none"/>
          <w:lang w:val="en-US" w:eastAsia="zh-CN" w:bidi="ar-SA"/>
        </w:rPr>
        <w:t>原因分析</w:t>
      </w:r>
      <w:r>
        <w:rPr>
          <w:rFonts w:hint="eastAsia" w:ascii="仿宋_GB2312" w:cs="Times New Roman"/>
          <w:b w:val="0"/>
          <w:bCs w:val="0"/>
          <w:kern w:val="2"/>
          <w:sz w:val="30"/>
          <w:szCs w:val="24"/>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default" w:ascii="仿宋_GB2312" w:cs="Times New Roman"/>
          <w:b w:val="0"/>
          <w:bCs w:val="0"/>
          <w:kern w:val="2"/>
          <w:sz w:val="30"/>
          <w:szCs w:val="24"/>
          <w:highlight w:val="none"/>
          <w:lang w:val="en-US" w:eastAsia="zh-CN" w:bidi="ar-SA"/>
        </w:rPr>
      </w:pPr>
      <w:r>
        <w:rPr>
          <w:rFonts w:hint="eastAsia" w:ascii="仿宋_GB2312" w:cs="Times New Roman"/>
          <w:b w:val="0"/>
          <w:bCs w:val="0"/>
          <w:kern w:val="2"/>
          <w:sz w:val="30"/>
          <w:szCs w:val="24"/>
          <w:highlight w:val="none"/>
          <w:lang w:val="en-US" w:eastAsia="zh-CN" w:bidi="ar-SA"/>
        </w:rPr>
        <w:t>1、工作人员业务水平有限，加强对工作人员业务水平的提升。</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00" w:firstLineChars="200"/>
        <w:textAlignment w:val="auto"/>
        <w:rPr>
          <w:rFonts w:hint="eastAsia"/>
          <w:highlight w:val="none"/>
          <w:lang w:eastAsia="zh-CN"/>
        </w:rPr>
      </w:pPr>
      <w:r>
        <w:rPr>
          <w:rFonts w:hint="eastAsia"/>
          <w:highlight w:val="none"/>
          <w:lang w:eastAsia="zh-CN"/>
        </w:rPr>
        <w:t>主要是未考虑当年疫情和受疫情影响物价的变化。</w:t>
      </w:r>
      <w:bookmarkStart w:id="16" w:name="_Toc68703845"/>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六、有关建议</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cs="Times New Roman"/>
          <w:b w:val="0"/>
          <w:bCs w:val="0"/>
          <w:color w:val="auto"/>
          <w:kern w:val="2"/>
          <w:sz w:val="30"/>
          <w:szCs w:val="24"/>
          <w:lang w:val="en-US" w:eastAsia="zh-CN" w:bidi="ar-SA"/>
        </w:rPr>
      </w:pPr>
      <w:r>
        <w:rPr>
          <w:rFonts w:hint="eastAsia" w:ascii="Times New Roman" w:hAnsi="Times New Roman" w:cs="Times New Roman"/>
          <w:b w:val="0"/>
          <w:bCs w:val="0"/>
          <w:color w:val="auto"/>
          <w:kern w:val="2"/>
          <w:sz w:val="30"/>
          <w:szCs w:val="24"/>
          <w:lang w:val="en-US" w:eastAsia="zh-CN" w:bidi="ar-SA"/>
        </w:rPr>
        <w:t>一是进一步健全和完善财务管理方法。二是按照财政支出绩效管理的要求，建立科学的财政资金效益考评制度体系，不断提高财政资金使用管理的水平和效率。三是加强绩效管理的指导和培训，增强提高纯净管理业务人员绩效管理能力、专业素质和思想水平。</w:t>
      </w:r>
      <w:bookmarkStart w:id="17" w:name="_Toc68703846"/>
      <w:r>
        <w:rPr>
          <w:rFonts w:hint="eastAsia" w:cs="Times New Roman"/>
          <w:b w:val="0"/>
          <w:bCs w:val="0"/>
          <w:color w:val="auto"/>
          <w:kern w:val="2"/>
          <w:sz w:val="30"/>
          <w:szCs w:val="24"/>
          <w:lang w:val="en-US" w:eastAsia="zh-CN" w:bidi="ar-SA"/>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七、其他需要说明的问题</w:t>
      </w:r>
      <w:bookmarkEnd w:id="17"/>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eastAsia="仿宋_GB2312"/>
          <w:lang w:eastAsia="zh-CN"/>
        </w:rPr>
      </w:pPr>
      <w:r>
        <w:rPr>
          <w:rFonts w:hint="eastAsia"/>
          <w:lang w:eastAsia="zh-CN"/>
        </w:rPr>
        <w:t>无</w:t>
      </w:r>
    </w:p>
    <w:p>
      <w:pPr>
        <w:pageBreakBefore w:val="0"/>
        <w:widowControl w:val="0"/>
        <w:kinsoku/>
        <w:wordWrap/>
        <w:overflowPunct/>
        <w:topLinePunct w:val="0"/>
        <w:autoSpaceDE/>
        <w:autoSpaceDN/>
        <w:bidi w:val="0"/>
        <w:adjustRightInd/>
        <w:snapToGrid/>
        <w:spacing w:line="560" w:lineRule="exact"/>
        <w:textAlignment w:val="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C7D6BB"/>
    <w:multiLevelType w:val="singleLevel"/>
    <w:tmpl w:val="EEC7D6BB"/>
    <w:lvl w:ilvl="0" w:tentative="0">
      <w:start w:val="1"/>
      <w:numFmt w:val="decimal"/>
      <w:suff w:val="nothing"/>
      <w:lvlText w:val="%1、"/>
      <w:lvlJc w:val="left"/>
    </w:lvl>
  </w:abstractNum>
  <w:abstractNum w:abstractNumId="1">
    <w:nsid w:val="1E580FDB"/>
    <w:multiLevelType w:val="singleLevel"/>
    <w:tmpl w:val="1E580FD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xYmI4MjljMjIyZmU1Yzk4YjA1NWQ2ZjZlMjYxNzUifQ=="/>
  </w:docVars>
  <w:rsids>
    <w:rsidRoot w:val="007D49C5"/>
    <w:rsid w:val="000D63FA"/>
    <w:rsid w:val="005B64E8"/>
    <w:rsid w:val="00614288"/>
    <w:rsid w:val="00792CFE"/>
    <w:rsid w:val="007D49C5"/>
    <w:rsid w:val="008175E0"/>
    <w:rsid w:val="008C631D"/>
    <w:rsid w:val="00A114ED"/>
    <w:rsid w:val="00B24331"/>
    <w:rsid w:val="0F2A6BF7"/>
    <w:rsid w:val="0FB641F1"/>
    <w:rsid w:val="20FB0813"/>
    <w:rsid w:val="30C33794"/>
    <w:rsid w:val="34BD21AD"/>
    <w:rsid w:val="36B72533"/>
    <w:rsid w:val="4057649F"/>
    <w:rsid w:val="56796849"/>
    <w:rsid w:val="5C046F45"/>
    <w:rsid w:val="5DA95371"/>
    <w:rsid w:val="6CC11AA4"/>
    <w:rsid w:val="756C60C2"/>
    <w:rsid w:val="76203664"/>
    <w:rsid w:val="7B041B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4">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adjustRightInd w:val="0"/>
      <w:snapToGrid w:val="0"/>
      <w:spacing w:before="100" w:beforeAutospacing="1"/>
      <w:ind w:left="0" w:firstLine="420" w:firstLineChars="200"/>
      <w:jc w:val="left"/>
    </w:pPr>
    <w:rPr>
      <w:rFonts w:ascii="Tahoma" w:hAnsi="Tahoma" w:eastAsia="微软雅黑" w:cs="黑体"/>
      <w:kern w:val="0"/>
      <w:sz w:val="22"/>
    </w:rPr>
  </w:style>
  <w:style w:type="paragraph" w:styleId="3">
    <w:name w:val="Body Text Indent"/>
    <w:basedOn w:val="1"/>
    <w:qFormat/>
    <w:uiPriority w:val="0"/>
    <w:pPr>
      <w:spacing w:after="120"/>
      <w:ind w:left="420" w:leftChars="200"/>
    </w:pPr>
  </w:style>
  <w:style w:type="paragraph" w:styleId="7">
    <w:name w:val="footer"/>
    <w:basedOn w:val="1"/>
    <w:link w:val="18"/>
    <w:semiHidden/>
    <w:unhideWhenUsed/>
    <w:qFormat/>
    <w:uiPriority w:val="99"/>
    <w:pPr>
      <w:tabs>
        <w:tab w:val="center" w:pos="4153"/>
        <w:tab w:val="right" w:pos="8306"/>
      </w:tabs>
      <w:snapToGrid w:val="0"/>
      <w:jc w:val="left"/>
    </w:pPr>
    <w:rPr>
      <w:sz w:val="18"/>
      <w:szCs w:val="18"/>
    </w:rPr>
  </w:style>
  <w:style w:type="paragraph" w:styleId="8">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Char"/>
    <w:basedOn w:val="12"/>
    <w:link w:val="4"/>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5"/>
    <w:qFormat/>
    <w:uiPriority w:val="9"/>
    <w:rPr>
      <w:rFonts w:asciiTheme="majorHAnsi" w:hAnsiTheme="majorHAnsi" w:eastAsiaTheme="majorEastAsia" w:cstheme="majorBidi"/>
      <w:b/>
      <w:bCs/>
      <w:sz w:val="32"/>
      <w:szCs w:val="32"/>
    </w:rPr>
  </w:style>
  <w:style w:type="paragraph" w:customStyle="1" w:styleId="16">
    <w:name w:val="TOC Heading"/>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Char"/>
    <w:basedOn w:val="12"/>
    <w:link w:val="8"/>
    <w:semiHidden/>
    <w:qFormat/>
    <w:uiPriority w:val="99"/>
    <w:rPr>
      <w:rFonts w:ascii="Times New Roman" w:hAnsi="Times New Roman" w:eastAsia="仿宋_GB2312" w:cs="Times New Roman"/>
      <w:sz w:val="18"/>
      <w:szCs w:val="18"/>
    </w:rPr>
  </w:style>
  <w:style w:type="character" w:customStyle="1" w:styleId="18">
    <w:name w:val="页脚 Char"/>
    <w:basedOn w:val="12"/>
    <w:link w:val="7"/>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5113</Words>
  <Characters>5282</Characters>
  <Lines>37</Lines>
  <Paragraphs>10</Paragraphs>
  <TotalTime>1</TotalTime>
  <ScaleCrop>false</ScaleCrop>
  <LinksUpToDate>false</LinksUpToDate>
  <CharactersWithSpaces>5305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2023-09-06T04:55:10Z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F0028986B72340C28CD9271B99C190B5</vt:lpwstr>
  </property>
</Properties>
</file>