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2</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rPr>
        <w:t>法律顾问服务费</w:t>
      </w:r>
      <w:r>
        <w:rPr>
          <w:rFonts w:ascii="宋体" w:hAnsi="宋体" w:eastAsia="宋体" w:cs="宋体"/>
          <w:kern w:val="0"/>
          <w:sz w:val="32"/>
          <w:szCs w:val="32"/>
        </w:rPr>
        <w:t xml:space="preserve"> </w:t>
      </w:r>
    </w:p>
    <w:p>
      <w:pPr>
        <w:pageBreakBefore w:val="0"/>
        <w:kinsoku/>
        <w:wordWrap/>
        <w:overflowPunct/>
        <w:topLinePunct w:val="0"/>
        <w:autoSpaceDE/>
        <w:autoSpaceDN/>
        <w:bidi w:val="0"/>
        <w:adjustRightInd/>
        <w:snapToGrid/>
        <w:spacing w:line="560" w:lineRule="exact"/>
        <w:ind w:firstLine="321" w:firstLineChars="100"/>
        <w:textAlignment w:val="auto"/>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rPr>
        <w:t>霍城县人民政府办公室</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rPr>
        <w:t>霍城县人民政府</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余伟辰</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ind w:firstLine="640" w:firstLineChars="200"/>
        <w:rPr>
          <w:rFonts w:hint="eastAsia" w:ascii="仿宋_GB2312" w:eastAsia="仿宋_GB2312"/>
          <w:b w:val="0"/>
          <w:bCs w:val="0"/>
        </w:rPr>
      </w:pPr>
      <w:bookmarkStart w:id="0" w:name="_Toc68703827"/>
      <w:r>
        <w:rPr>
          <w:rFonts w:hint="eastAsia" w:ascii="仿宋_GB2312" w:eastAsia="仿宋_GB2312"/>
          <w:b w:val="0"/>
          <w:bCs w:val="0"/>
        </w:rPr>
        <w:t>一、基本情况</w:t>
      </w:r>
      <w:bookmarkEnd w:id="0"/>
    </w:p>
    <w:p>
      <w:pPr>
        <w:pStyle w:val="3"/>
        <w:spacing w:line="360" w:lineRule="auto"/>
        <w:ind w:firstLine="640" w:firstLineChars="200"/>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default" w:ascii="仿宋_GB2312" w:eastAsia="仿宋_GB2312"/>
          <w:lang w:val="en-US" w:eastAsia="zh-CN"/>
        </w:rPr>
      </w:pPr>
      <w:r>
        <w:rPr>
          <w:rFonts w:hint="eastAsia" w:ascii="仿宋_GB2312"/>
        </w:rPr>
        <w:t>项目背景</w:t>
      </w:r>
    </w:p>
    <w:p>
      <w:pPr>
        <w:numPr>
          <w:ilvl w:val="0"/>
          <w:numId w:val="0"/>
        </w:numPr>
        <w:spacing w:line="360" w:lineRule="auto"/>
        <w:ind w:firstLine="600" w:firstLineChars="200"/>
        <w:rPr>
          <w:rFonts w:hint="default" w:ascii="仿宋_GB2312" w:eastAsia="仿宋_GB2312"/>
          <w:lang w:val="en-US" w:eastAsia="zh-CN"/>
        </w:rPr>
      </w:pPr>
      <w:r>
        <w:rPr>
          <w:rFonts w:hint="eastAsia" w:ascii="仿宋_GB2312"/>
        </w:rPr>
        <w:t>习近平总书记强调，要积极推行政府法律顾问制度，保证法律顾问在制定重大行政决策、推进依法行政中发挥积极作用；党的十八届三中全会提出普遍建立法律顾问制度，四中全会又进一步要求建立政府法制机构人员为主体、吸收专家和律师参加的法律顾问队伍。习近平总书记在</w:t>
      </w:r>
      <w:r>
        <w:rPr>
          <w:rFonts w:hint="eastAsia" w:ascii="仿宋_GB2312"/>
          <w:lang w:eastAsia="zh-CN"/>
        </w:rPr>
        <w:t>二十大</w:t>
      </w:r>
      <w:r>
        <w:rPr>
          <w:rFonts w:hint="eastAsia" w:ascii="仿宋_GB2312"/>
        </w:rPr>
        <w:t>报告中强调：“严格公正司法，深化司法体制综合配套改革，全面准确落实司法责任制，加快建设公正高效权威的社会主义司法制度，努力让人民群众在每一个司法案件中感受到公平正义”。可以说，聘请法律顾问，是落实全面依法治国战略、加快</w:t>
      </w:r>
      <w:r>
        <w:rPr>
          <w:rFonts w:hint="eastAsia" w:ascii="仿宋_GB2312"/>
          <w:lang w:eastAsia="zh-CN"/>
        </w:rPr>
        <w:t>法治政府</w:t>
      </w:r>
      <w:r>
        <w:rPr>
          <w:rFonts w:hint="eastAsia" w:ascii="仿宋_GB2312"/>
        </w:rPr>
        <w:t>建设的必然要求。</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pageBreakBefore w:val="0"/>
        <w:kinsoku/>
        <w:wordWrap/>
        <w:overflowPunct/>
        <w:topLinePunct w:val="0"/>
        <w:autoSpaceDE/>
        <w:autoSpaceDN/>
        <w:bidi w:val="0"/>
        <w:adjustRightInd/>
        <w:snapToGrid/>
        <w:spacing w:line="560" w:lineRule="exact"/>
        <w:ind w:firstLine="602" w:firstLineChars="200"/>
        <w:textAlignment w:val="auto"/>
        <w:rPr>
          <w:rFonts w:hint="eastAsia" w:ascii="仿宋_GB2312"/>
          <w:lang w:eastAsia="zh-CN"/>
        </w:rPr>
      </w:pPr>
      <w:r>
        <w:rPr>
          <w:rFonts w:hint="eastAsia" w:ascii="仿宋_GB2312"/>
          <w:b/>
          <w:bCs/>
        </w:rPr>
        <w:t>主要内容：</w:t>
      </w:r>
      <w:r>
        <w:rPr>
          <w:rFonts w:hint="eastAsia" w:ascii="仿宋_GB2312"/>
          <w:lang w:eastAsia="zh-CN"/>
        </w:rPr>
        <w:t>由</w:t>
      </w:r>
      <w:r>
        <w:rPr>
          <w:rFonts w:hint="eastAsia" w:ascii="仿宋_GB2312"/>
        </w:rPr>
        <w:t>新疆元正盛业（伊宁）律师事务</w:t>
      </w:r>
      <w:r>
        <w:rPr>
          <w:rFonts w:hint="eastAsia" w:ascii="仿宋_GB2312"/>
          <w:lang w:eastAsia="zh-CN"/>
        </w:rPr>
        <w:t>向人民政府提供以下服务：</w:t>
      </w:r>
      <w:r>
        <w:rPr>
          <w:rFonts w:hint="eastAsia" w:ascii="仿宋_GB2312"/>
          <w:lang w:val="en-US" w:eastAsia="zh-CN"/>
        </w:rPr>
        <w:t>1.</w:t>
      </w:r>
      <w:r>
        <w:rPr>
          <w:rFonts w:hint="eastAsia" w:ascii="仿宋_GB2312"/>
          <w:lang w:eastAsia="zh-CN"/>
        </w:rPr>
        <w:t>审查起草甲方拟发布的制度、行政文件、决定书等规范性法律文书，如甲方需要提供书面法律意见书。</w:t>
      </w:r>
      <w:r>
        <w:rPr>
          <w:rFonts w:hint="eastAsia" w:ascii="仿宋_GB2312"/>
          <w:lang w:val="en-US" w:eastAsia="zh-CN"/>
        </w:rPr>
        <w:t>2.</w:t>
      </w:r>
      <w:r>
        <w:rPr>
          <w:rFonts w:hint="eastAsia" w:ascii="仿宋_GB2312"/>
          <w:lang w:eastAsia="zh-CN"/>
        </w:rPr>
        <w:t>甲方招商引资、重大项目投资立项时，提供法律咨询意见，如甲方需要经授权乙方出具专项法律意见书。</w:t>
      </w:r>
      <w:r>
        <w:rPr>
          <w:rFonts w:hint="eastAsia" w:ascii="仿宋_GB2312"/>
          <w:lang w:val="en-US" w:eastAsia="zh-CN"/>
        </w:rPr>
        <w:t>3.</w:t>
      </w:r>
      <w:r>
        <w:rPr>
          <w:rFonts w:hint="eastAsia" w:ascii="仿宋_GB2312"/>
          <w:lang w:eastAsia="zh-CN"/>
        </w:rPr>
        <w:t>视甲方需要对投资合作企业、单位、个人进行资信调查，供政府有关领导参考决策。</w:t>
      </w:r>
      <w:r>
        <w:rPr>
          <w:rFonts w:hint="eastAsia" w:ascii="仿宋_GB2312"/>
          <w:lang w:val="en-US" w:eastAsia="zh-CN"/>
        </w:rPr>
        <w:t>4.</w:t>
      </w:r>
      <w:r>
        <w:rPr>
          <w:rFonts w:hint="eastAsia" w:ascii="仿宋_GB2312"/>
          <w:lang w:eastAsia="zh-CN"/>
        </w:rPr>
        <w:t>甲方对外签订合同时洽谈、草拟、审查合同文本。</w:t>
      </w:r>
      <w:r>
        <w:rPr>
          <w:rFonts w:hint="eastAsia" w:ascii="仿宋_GB2312"/>
          <w:lang w:val="en-US" w:eastAsia="zh-CN"/>
        </w:rPr>
        <w:t>5.</w:t>
      </w:r>
      <w:r>
        <w:rPr>
          <w:rFonts w:hint="eastAsia" w:ascii="仿宋_GB2312"/>
          <w:lang w:eastAsia="zh-CN"/>
        </w:rPr>
        <w:t>应邀参与甲方招商引资等重大事项的决策或谈判。</w:t>
      </w:r>
      <w:r>
        <w:rPr>
          <w:rFonts w:hint="eastAsia" w:ascii="仿宋_GB2312"/>
          <w:lang w:val="en-US" w:eastAsia="zh-CN"/>
        </w:rPr>
        <w:t>6.</w:t>
      </w:r>
      <w:r>
        <w:rPr>
          <w:rFonts w:hint="eastAsia" w:ascii="仿宋_GB2312"/>
          <w:lang w:eastAsia="zh-CN"/>
        </w:rPr>
        <w:t>协助甲方开展法律普及活动。</w:t>
      </w:r>
      <w:r>
        <w:rPr>
          <w:rFonts w:hint="eastAsia" w:ascii="仿宋_GB2312"/>
          <w:lang w:val="en-US" w:eastAsia="zh-CN"/>
        </w:rPr>
        <w:t>7.</w:t>
      </w:r>
      <w:r>
        <w:rPr>
          <w:rFonts w:hint="eastAsia" w:ascii="仿宋_GB2312"/>
          <w:lang w:eastAsia="zh-CN"/>
        </w:rPr>
        <w:t>对甲方领导及工作人员提供专题法律讲座。乙方每年度对甲方领导及工作人员分别提供不少于2次的专业法律讲座，法律讲座的内容、时间、地点、次数可协商确定。</w:t>
      </w:r>
      <w:r>
        <w:rPr>
          <w:rFonts w:hint="eastAsia" w:ascii="仿宋_GB2312"/>
          <w:lang w:val="en-US" w:eastAsia="zh-CN"/>
        </w:rPr>
        <w:t>8.</w:t>
      </w:r>
      <w:r>
        <w:rPr>
          <w:rFonts w:hint="eastAsia" w:ascii="仿宋_GB2312"/>
          <w:lang w:eastAsia="zh-CN"/>
        </w:rPr>
        <w:t>配合甲方办理行政确权、土地及草场纠纷处置工作。</w:t>
      </w:r>
      <w:r>
        <w:rPr>
          <w:rFonts w:hint="eastAsia" w:ascii="仿宋_GB2312"/>
          <w:lang w:val="en-US" w:eastAsia="zh-CN"/>
        </w:rPr>
        <w:t>9.</w:t>
      </w:r>
      <w:r>
        <w:rPr>
          <w:rFonts w:hint="eastAsia" w:ascii="仿宋_GB2312"/>
          <w:lang w:eastAsia="zh-CN"/>
        </w:rPr>
        <w:t>涉及甲方涉诉上访事件，经授权同甲方共同参与处理。</w:t>
      </w:r>
      <w:r>
        <w:rPr>
          <w:rFonts w:hint="eastAsia" w:ascii="仿宋_GB2312"/>
          <w:lang w:val="en-US" w:eastAsia="zh-CN"/>
        </w:rPr>
        <w:t>10.</w:t>
      </w:r>
      <w:r>
        <w:rPr>
          <w:rFonts w:hint="eastAsia" w:ascii="仿宋_GB2312"/>
          <w:lang w:eastAsia="zh-CN"/>
        </w:rPr>
        <w:t>涉及甲方的案件经甲方另行委托进行代理、仲裁、调解。</w:t>
      </w:r>
      <w:r>
        <w:rPr>
          <w:rFonts w:hint="eastAsia" w:ascii="仿宋_GB2312"/>
          <w:lang w:val="en-US" w:eastAsia="zh-CN"/>
        </w:rPr>
        <w:t>11.</w:t>
      </w:r>
      <w:r>
        <w:rPr>
          <w:rFonts w:hint="eastAsia" w:ascii="仿宋_GB2312"/>
          <w:lang w:eastAsia="zh-CN"/>
        </w:rPr>
        <w:t>经甲方委托，另行委托参与甲方国有企业改革、顶层设计，提供专项法律服务等；</w:t>
      </w:r>
      <w:r>
        <w:rPr>
          <w:rFonts w:hint="eastAsia" w:ascii="仿宋_GB2312"/>
          <w:lang w:val="en-US" w:eastAsia="zh-CN"/>
        </w:rPr>
        <w:t>12.</w:t>
      </w:r>
      <w:r>
        <w:rPr>
          <w:rFonts w:hint="eastAsia" w:ascii="仿宋_GB2312"/>
          <w:lang w:eastAsia="zh-CN"/>
        </w:rPr>
        <w:t>经甲方委托，另行委托参与甲方与资本市场有关的法律服务；</w:t>
      </w:r>
      <w:r>
        <w:rPr>
          <w:rFonts w:hint="eastAsia" w:ascii="仿宋_GB2312"/>
          <w:lang w:val="en-US" w:eastAsia="zh-CN"/>
        </w:rPr>
        <w:t>13.</w:t>
      </w:r>
      <w:r>
        <w:rPr>
          <w:rFonts w:hint="eastAsia" w:ascii="仿宋_GB2312"/>
          <w:lang w:eastAsia="zh-CN"/>
        </w:rPr>
        <w:t>经甲方委托，另行委托参与甲方委托的专项法律或咨询服务；</w:t>
      </w:r>
      <w:r>
        <w:rPr>
          <w:rFonts w:hint="eastAsia" w:ascii="仿宋_GB2312"/>
          <w:lang w:val="en-US" w:eastAsia="zh-CN"/>
        </w:rPr>
        <w:t>14.</w:t>
      </w:r>
      <w:r>
        <w:rPr>
          <w:rFonts w:hint="eastAsia" w:ascii="仿宋_GB2312"/>
          <w:lang w:eastAsia="zh-CN"/>
        </w:rPr>
        <w:t>甲方确需法律顾问完成的其他法律服务事项。以上项目中甲方另行委托事项，可由双方协商确定收费额度及付款方式。</w:t>
      </w:r>
    </w:p>
    <w:p>
      <w:pPr>
        <w:pageBreakBefore w:val="0"/>
        <w:kinsoku/>
        <w:wordWrap/>
        <w:overflowPunct/>
        <w:topLinePunct w:val="0"/>
        <w:autoSpaceDE/>
        <w:autoSpaceDN/>
        <w:bidi w:val="0"/>
        <w:adjustRightInd/>
        <w:snapToGrid/>
        <w:spacing w:line="560" w:lineRule="exact"/>
        <w:ind w:firstLine="602" w:firstLineChars="200"/>
        <w:textAlignment w:val="auto"/>
        <w:rPr>
          <w:rFonts w:hint="eastAsia" w:ascii="仿宋_GB2312"/>
          <w:color w:val="auto"/>
        </w:rPr>
      </w:pPr>
      <w:r>
        <w:rPr>
          <w:rFonts w:hint="eastAsia" w:ascii="仿宋_GB2312"/>
          <w:b/>
          <w:bCs/>
        </w:rPr>
        <w:t>实施情况：</w:t>
      </w:r>
      <w:r>
        <w:rPr>
          <w:rFonts w:hint="eastAsia" w:ascii="仿宋_GB2312"/>
          <w:color w:val="auto"/>
          <w:lang w:eastAsia="zh-CN"/>
        </w:rPr>
        <w:t>（一）</w:t>
      </w:r>
      <w:r>
        <w:rPr>
          <w:rFonts w:hint="eastAsia" w:ascii="仿宋_GB2312"/>
          <w:color w:val="auto"/>
        </w:rPr>
        <w:t>参与政府常务会议和各类专题会议，及时解决法律问题</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2022年，顾问团队定期前往霍城县法制办对接工作，确保各类咨询和文件审核能够在第一时间完成，并随时根据霍城县政府工作需要，安排律师专程前来霍城县参与专题会议、解决信访纠纷和处理各类重大事项。现政府顾问参与政府重大决策机制已经日趋完备，历次政府常务会议均由顾问律师全程参与，并在会议上就合法性发表法律意见。其他专题会议和现场办公根据工作需要参加，在全年所有会议中均保证了律师随叫随到，及时参与。如：大西沟安全生产的数次重要会议、果之乐项目现场办公会议、工业园区安全生产会议、述法会议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同时鉴于政府行政单位工作存在时效性等问题，顾问律师团队工作时间并未局限于法定工作日和法定工作时间。无论是在法定节假日或周末，以及夜间有工作需要，顾问律师均做到了及时到岗，在时限内完成工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lang w:eastAsia="zh-CN"/>
        </w:rPr>
        <w:t>（二）</w:t>
      </w:r>
      <w:r>
        <w:rPr>
          <w:rFonts w:hint="eastAsia" w:ascii="仿宋_GB2312"/>
          <w:color w:val="auto"/>
        </w:rPr>
        <w:t>审查、修改规范性文件等法律文书</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2022年度元正盛业（伊宁）律师事务所审查、修改霍城县政府规范性文件数百件，为依法行政提供了有力的法律保障。审查工作范围包括起草、参与讨论、修改等；审查内容既有县级政府的规范性文件，也有州级、自治区级下发的征求意见稿等。涉及范围较广，知识面庞杂，如建筑类、医疗保险类，公共租赁住房类，卫生建设类，政府采购类，PPP项目财政承受能力及物有所值评价、实施方案评审类，重大决策审查类等；也涉及各部门工作职权合法性合理性审查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主要起草、审查、修改的重大规范性文件包括各类招商引资协议、战略合作协议，全县各行政系统的权责清单等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lang w:eastAsia="zh-CN"/>
        </w:rPr>
        <w:t>（三）</w:t>
      </w:r>
      <w:r>
        <w:rPr>
          <w:rFonts w:hint="eastAsia" w:ascii="仿宋_GB2312"/>
          <w:color w:val="auto"/>
        </w:rPr>
        <w:t>参与重大涉诉案件，避免诉讼风险积极参与涉诉设法案件，努力避免诉讼风险，维护县政府合法权益。2022年度主要参与了以下案件：</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1、原告马志才与被告霍城县人民政府、霍城县公安局行政拘留、罚款、行政复议一案，驳回原告诉讼请求，县政府胜诉。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2、上诉人田欣德与被上诉人霍城县政府行政赔偿纠纷案件二审，驳回上诉人上诉请求，县政府胜诉。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3、原告霍城县锦春物业服务有限公司与被告霍城县人民政府行政复议诉讼案件，驳回原告诉讼请求，县政府胜诉。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4、上诉人霍城县人民政府与被上诉人新疆颐美丰林业生态有限公司合同纠纷案件二审，支持上诉人诉讼请求，县政府胜诉。</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5、原告霍城县三道河乡诉被告新疆果之乐实业有限公司合同纠纷一案，尚在办理过程中，未结案。</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6、原告霍城县财政局诉被告杨红劳动争议纠纷一案，尚在办理过程中，未结案。</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7、原告霍城县财政局诉被告马建忠不当得利纠纷一案，尚在办理过程中，未结案。</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lang w:val="en-US" w:eastAsia="zh-CN"/>
        </w:rPr>
        <w:t>8</w:t>
      </w:r>
      <w:r>
        <w:rPr>
          <w:rFonts w:hint="eastAsia" w:ascii="仿宋_GB2312"/>
          <w:color w:val="auto"/>
        </w:rPr>
        <w:t>、提供重大事件处理意见和建议，草拟、修改行政决定</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在行政执法和具体行政行为方面，提供专业法律意见书及相关行政行为的实施意见与建议，确保政府行政行为的合法性、合规性，为政府行政行为保驾护航。</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其中参与了大西沟乡安全生产问题的处理，工业园区安全生产问题处理、县属国有企业改革和制度建设等重大事项，均取得了圆满结果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lang w:eastAsia="zh-CN"/>
        </w:rPr>
        <w:t>（四）</w:t>
      </w:r>
      <w:r>
        <w:rPr>
          <w:rFonts w:hint="eastAsia" w:ascii="仿宋_GB2312"/>
          <w:color w:val="auto"/>
        </w:rPr>
        <w:t>参与谈判、草拟、修改招商引资项目，预防政府潜在风险。当前霍城县正处于迎来大机遇、大建设、大发展的关键阶段。在县委</w:t>
      </w:r>
      <w:r>
        <w:rPr>
          <w:rFonts w:hint="eastAsia" w:ascii="仿宋_GB2312"/>
          <w:color w:val="auto"/>
          <w:lang w:eastAsia="zh-CN"/>
        </w:rPr>
        <w:t>、县</w:t>
      </w:r>
      <w:bookmarkStart w:id="21" w:name="_GoBack"/>
      <w:bookmarkEnd w:id="21"/>
      <w:r>
        <w:rPr>
          <w:rFonts w:hint="eastAsia" w:ascii="仿宋_GB2312"/>
          <w:color w:val="auto"/>
        </w:rPr>
        <w:t>政府领导下，推动霍城县新型工业化、新型城镇化、农牧业现代化建设在招商引资中已明显显现。法律顾问积极参与各类合同的谈判、拟定、修改、审查等法律事务。避免因招商引资失误给县委、</w:t>
      </w:r>
      <w:r>
        <w:rPr>
          <w:rFonts w:hint="eastAsia" w:ascii="仿宋_GB2312"/>
          <w:color w:val="auto"/>
          <w:lang w:eastAsia="zh-CN"/>
        </w:rPr>
        <w:t>县</w:t>
      </w:r>
      <w:r>
        <w:rPr>
          <w:rFonts w:hint="eastAsia" w:ascii="仿宋_GB2312"/>
          <w:color w:val="auto"/>
        </w:rPr>
        <w:t>政府造成不必要的纠纷。</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lang w:eastAsia="zh-CN"/>
        </w:rPr>
        <w:t>（五）</w:t>
      </w:r>
      <w:r>
        <w:rPr>
          <w:rFonts w:hint="eastAsia" w:ascii="仿宋_GB2312"/>
          <w:color w:val="auto"/>
        </w:rPr>
        <w:t>积极参与信访调查，提供解决意见和建议，做好政府的“防火墙”</w:t>
      </w:r>
      <w:r>
        <w:rPr>
          <w:rFonts w:hint="eastAsia" w:ascii="仿宋_GB2312"/>
          <w:color w:val="auto"/>
          <w:lang w:eastAsia="zh-CN"/>
        </w:rPr>
        <w:t>。</w:t>
      </w:r>
      <w:r>
        <w:rPr>
          <w:rFonts w:hint="eastAsia" w:ascii="仿宋_GB2312"/>
          <w:color w:val="auto"/>
        </w:rPr>
        <w:t>信访问题一直是近年来政府矛盾的高发区、敏感区，处理不及时、不妥善都极易造成严重的社会矛盾。依法依规有序化解社会矛盾，是目前解决信访社会矛盾的最有利措施。法律顾问坚持在合法合理的基础上，积极主动参与信访案件的调查了解、谈话沟通，努力妥善化解信访纠纷，消除信访群众不满情绪。</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color w:val="auto"/>
        </w:rPr>
      </w:pPr>
      <w:r>
        <w:rPr>
          <w:rFonts w:hint="eastAsia" w:ascii="仿宋_GB2312"/>
          <w:color w:val="auto"/>
          <w:lang w:eastAsia="zh-CN"/>
        </w:rPr>
        <w:t>（六）</w:t>
      </w:r>
      <w:r>
        <w:rPr>
          <w:rFonts w:hint="eastAsia" w:ascii="仿宋_GB2312"/>
          <w:color w:val="auto"/>
        </w:rPr>
        <w:t>开展普法教育，提高群众法律素养，履行社会职责为建设法治社会事业努力发挥律师作用，努力履行社会职责，积极开展普法教育，与扶贫攻坚、访惠聚工作充分结合，利用农牧民夜校等多种形式开展普法教育，主要宣讲宪法、民族宗教等方面法律法规，帮助群众建立法治理念，培养法律素养，从而规范行为。并就本地群众关心的如婚姻家庭、土地承包、民间借贷、妇女儿童权益等方面的热点问题开展专题讲座，广泛接受咨询，受到了群众一致好评。</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75</w:t>
      </w:r>
      <w:r>
        <w:rPr>
          <w:rFonts w:hint="eastAsia"/>
          <w:color w:val="auto"/>
        </w:rPr>
        <w:t>万元，实际总投入</w:t>
      </w:r>
      <w:r>
        <w:rPr>
          <w:rFonts w:hint="eastAsia"/>
          <w:color w:val="auto"/>
          <w:lang w:val="en-US" w:eastAsia="zh-CN"/>
        </w:rPr>
        <w:t>75</w:t>
      </w:r>
      <w:r>
        <w:rPr>
          <w:rFonts w:hint="eastAsia"/>
          <w:color w:val="auto"/>
        </w:rPr>
        <w:t>万元，该项目资金已全部落实到位，资金来源为</w:t>
      </w:r>
      <w:r>
        <w:rPr>
          <w:rFonts w:hint="eastAsia"/>
          <w:color w:val="auto"/>
          <w:lang w:eastAsia="zh-CN"/>
        </w:rPr>
        <w:t>一般公共预算</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75</w:t>
      </w:r>
      <w:r>
        <w:rPr>
          <w:rFonts w:hint="eastAsia"/>
          <w:color w:val="auto"/>
        </w:rPr>
        <w:t>万元，全年执行数</w:t>
      </w:r>
      <w:r>
        <w:rPr>
          <w:rFonts w:hint="eastAsia"/>
          <w:color w:val="auto"/>
          <w:lang w:val="en-US" w:eastAsia="zh-CN"/>
        </w:rPr>
        <w:t>75</w:t>
      </w:r>
      <w:r>
        <w:rPr>
          <w:rFonts w:hint="eastAsia"/>
          <w:color w:val="auto"/>
        </w:rPr>
        <w:t>万元，预算执行率为</w:t>
      </w:r>
      <w:r>
        <w:rPr>
          <w:rFonts w:hint="eastAsia"/>
          <w:color w:val="auto"/>
          <w:lang w:val="en-US" w:eastAsia="zh-CN"/>
        </w:rPr>
        <w:t>100</w:t>
      </w:r>
      <w:r>
        <w:rPr>
          <w:rFonts w:hint="eastAsia"/>
          <w:color w:val="auto"/>
        </w:rPr>
        <w:t>%，用于2020-2021年法律顾问服务费</w:t>
      </w:r>
      <w:r>
        <w:rPr>
          <w:rFonts w:hint="eastAsia"/>
          <w:color w:val="auto"/>
          <w:lang w:val="en-US" w:eastAsia="zh-CN"/>
        </w:rPr>
        <w:t>45</w:t>
      </w:r>
      <w:r>
        <w:rPr>
          <w:rFonts w:hint="eastAsia"/>
          <w:color w:val="auto"/>
        </w:rPr>
        <w:t>万元</w:t>
      </w:r>
      <w:r>
        <w:rPr>
          <w:rFonts w:hint="eastAsia"/>
          <w:color w:val="auto"/>
          <w:lang w:eastAsia="zh-CN"/>
        </w:rPr>
        <w:t>；新疆颐美丰林业生态有限责任公司合同纠纷一案服务费</w:t>
      </w:r>
      <w:r>
        <w:rPr>
          <w:rFonts w:hint="eastAsia"/>
          <w:color w:val="auto"/>
          <w:lang w:val="en-US" w:eastAsia="zh-CN"/>
        </w:rPr>
        <w:t>30万元。</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eastAsia="仿宋_GB2312"/>
          <w:lang w:eastAsia="zh-CN"/>
        </w:rPr>
      </w:pPr>
      <w:r>
        <w:rPr>
          <w:rFonts w:hint="eastAsia"/>
        </w:rPr>
        <w:t>1、总体目标：20</w:t>
      </w:r>
      <w:r>
        <w:rPr>
          <w:rFonts w:hint="eastAsia"/>
          <w:lang w:val="en-US" w:eastAsia="zh-CN"/>
        </w:rPr>
        <w:t>20</w:t>
      </w:r>
      <w:r>
        <w:rPr>
          <w:rFonts w:hint="eastAsia"/>
          <w:lang w:eastAsia="zh-CN"/>
        </w:rPr>
        <w:t>－</w:t>
      </w:r>
      <w:r>
        <w:rPr>
          <w:rFonts w:hint="eastAsia"/>
          <w:lang w:val="en-US" w:eastAsia="zh-CN"/>
        </w:rPr>
        <w:t>2</w:t>
      </w:r>
      <w:r>
        <w:rPr>
          <w:rFonts w:hint="eastAsia"/>
        </w:rPr>
        <w:t>02</w:t>
      </w:r>
      <w:r>
        <w:rPr>
          <w:rFonts w:hint="eastAsia"/>
          <w:lang w:val="en-US" w:eastAsia="zh-CN"/>
        </w:rPr>
        <w:t>1</w:t>
      </w:r>
      <w:r>
        <w:rPr>
          <w:rFonts w:hint="eastAsia"/>
        </w:rPr>
        <w:t>年霍城县法律顾问费</w:t>
      </w:r>
      <w:r>
        <w:rPr>
          <w:rFonts w:hint="eastAsia"/>
          <w:lang w:eastAsia="zh-CN"/>
        </w:rPr>
        <w:t>；</w:t>
      </w:r>
      <w:r>
        <w:rPr>
          <w:rFonts w:hint="eastAsia"/>
        </w:rPr>
        <w:t>新疆颐美丰林业生态有限责任公司合同纠纷一案服务费</w:t>
      </w:r>
      <w:r>
        <w:rPr>
          <w:rFonts w:hint="eastAsia"/>
          <w:lang w:eastAsia="zh-CN"/>
        </w:rPr>
        <w:t>。</w:t>
      </w:r>
    </w:p>
    <w:p>
      <w:pPr>
        <w:spacing w:line="360" w:lineRule="auto"/>
        <w:ind w:firstLine="600" w:firstLineChars="200"/>
      </w:pPr>
      <w:r>
        <w:rPr>
          <w:rFonts w:hint="eastAsia"/>
          <w:lang w:val="en-US" w:eastAsia="zh-CN"/>
        </w:rPr>
        <w:t>2、</w:t>
      </w:r>
      <w:r>
        <w:rPr>
          <w:rFonts w:hint="eastAsia"/>
        </w:rPr>
        <w:t>阶段性目标：20</w:t>
      </w:r>
      <w:r>
        <w:rPr>
          <w:rFonts w:hint="eastAsia"/>
          <w:lang w:val="en-US" w:eastAsia="zh-CN"/>
        </w:rPr>
        <w:t>20</w:t>
      </w:r>
      <w:r>
        <w:rPr>
          <w:rFonts w:hint="eastAsia"/>
        </w:rPr>
        <w:t>年霍城县法律顾问费</w:t>
      </w:r>
      <w:r>
        <w:rPr>
          <w:rFonts w:hint="eastAsia"/>
          <w:lang w:val="en-US" w:eastAsia="zh-CN"/>
        </w:rPr>
        <w:t>35万元</w:t>
      </w:r>
      <w:r>
        <w:rPr>
          <w:rFonts w:hint="eastAsia"/>
          <w:lang w:eastAsia="zh-CN"/>
        </w:rPr>
        <w:t>；</w:t>
      </w:r>
      <w:r>
        <w:rPr>
          <w:rFonts w:hint="eastAsia"/>
          <w:lang w:val="en-US" w:eastAsia="zh-CN"/>
        </w:rPr>
        <w:t>2</w:t>
      </w:r>
      <w:r>
        <w:rPr>
          <w:rFonts w:hint="eastAsia"/>
        </w:rPr>
        <w:t>02</w:t>
      </w:r>
      <w:r>
        <w:rPr>
          <w:rFonts w:hint="eastAsia"/>
          <w:lang w:val="en-US" w:eastAsia="zh-CN"/>
        </w:rPr>
        <w:t>1</w:t>
      </w:r>
      <w:r>
        <w:rPr>
          <w:rFonts w:hint="eastAsia"/>
        </w:rPr>
        <w:t>年霍城县法律顾问费</w:t>
      </w:r>
      <w:r>
        <w:rPr>
          <w:rFonts w:hint="eastAsia"/>
          <w:lang w:val="en-US" w:eastAsia="zh-CN"/>
        </w:rPr>
        <w:t>10万元；</w:t>
      </w:r>
      <w:r>
        <w:rPr>
          <w:rFonts w:hint="eastAsia"/>
        </w:rPr>
        <w:t>新疆颐美丰林业生态有限责任公司合同纠纷一案服务费</w:t>
      </w:r>
      <w:r>
        <w:rPr>
          <w:rFonts w:hint="eastAsia"/>
          <w:lang w:val="en-US" w:eastAsia="zh-CN"/>
        </w:rPr>
        <w:t>30万元</w:t>
      </w:r>
      <w:r>
        <w:rPr>
          <w:rFonts w:hint="eastAsia"/>
          <w:lang w:eastAsia="zh-CN"/>
        </w:rPr>
        <w:t>。</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eastAsia="zh-CN"/>
        </w:rPr>
        <w:t>霍城县法律顾问服务</w:t>
      </w:r>
      <w:r>
        <w:rPr>
          <w:rFonts w:hint="eastAsia" w:ascii="仿宋_GB2312"/>
          <w:bCs/>
          <w:color w:val="auto"/>
          <w:sz w:val="32"/>
          <w:szCs w:val="32"/>
        </w:rPr>
        <w:t>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eastAsia="zh-CN"/>
        </w:rPr>
        <w:t>单位</w:t>
      </w:r>
      <w:r>
        <w:rPr>
          <w:rFonts w:hint="eastAsia" w:ascii="仿宋_GB2312"/>
          <w:bCs/>
          <w:color w:val="auto"/>
          <w:sz w:val="32"/>
          <w:szCs w:val="32"/>
        </w:rPr>
        <w:t>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color w:val="auto"/>
          <w:lang w:eastAsia="zh-CN"/>
        </w:rPr>
      </w:pPr>
      <w:r>
        <w:rPr>
          <w:rFonts w:hint="eastAsia"/>
          <w:color w:val="auto"/>
          <w:lang w:eastAsia="zh-CN"/>
        </w:rPr>
        <w:t>霍城县法律顾问服务费</w:t>
      </w:r>
    </w:p>
    <w:p>
      <w:pPr>
        <w:spacing w:line="360" w:lineRule="auto"/>
        <w:ind w:firstLine="600" w:firstLineChars="200"/>
        <w:rPr>
          <w:color w:val="auto"/>
        </w:rPr>
      </w:pPr>
      <w:r>
        <w:rPr>
          <w:rFonts w:hint="eastAsia"/>
          <w:color w:val="auto"/>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eastAsia="zh-CN"/>
        </w:rPr>
        <w:t>霍城县法律顾问服务费</w:t>
      </w:r>
      <w:r>
        <w:rPr>
          <w:rFonts w:hint="eastAsia"/>
          <w:color w:val="auto"/>
        </w:rPr>
        <w:t>评价，评价核心为专项资金的支出完成情况和效果。</w:t>
      </w: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rPr>
          <w:color w:val="auto"/>
        </w:rPr>
      </w:pPr>
      <w:r>
        <w:rPr>
          <w:rFonts w:hint="eastAsia"/>
          <w:color w:val="auto"/>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（四）公开透明。本次项目支出绩效评价结果已依法依规公开在</w:t>
      </w:r>
      <w:r>
        <w:rPr>
          <w:rFonts w:hint="eastAsia" w:ascii="仿宋_GB2312"/>
          <w:bCs/>
          <w:color w:val="auto"/>
          <w:sz w:val="32"/>
          <w:szCs w:val="32"/>
          <w:highlight w:val="none"/>
          <w:lang w:eastAsia="zh-CN"/>
        </w:rPr>
        <w:t>霍城县政府</w:t>
      </w:r>
      <w:r>
        <w:rPr>
          <w:rFonts w:hint="eastAsia" w:ascii="仿宋_GB2312"/>
          <w:bCs/>
          <w:color w:val="auto"/>
          <w:sz w:val="32"/>
          <w:szCs w:val="32"/>
          <w:highlight w:val="none"/>
        </w:rPr>
        <w:t>网站上，并自觉接受社会监督。</w:t>
      </w:r>
    </w:p>
    <w:p>
      <w:pPr>
        <w:spacing w:line="360" w:lineRule="auto"/>
      </w:pPr>
    </w:p>
    <w:p>
      <w:pPr>
        <w:spacing w:line="360" w:lineRule="auto"/>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eastAsia="zh-CN"/>
        </w:rPr>
        <w:t>法律顾问服务费</w:t>
      </w:r>
      <w:r>
        <w:rPr>
          <w:rFonts w:hint="eastAsia" w:ascii="Times New Roman" w:hAnsi="Times New Roman" w:eastAsia="仿宋_GB2312" w:cs="Times New Roman"/>
          <w:b w:val="0"/>
          <w:bCs w:val="0"/>
          <w:sz w:val="30"/>
          <w:szCs w:val="24"/>
        </w:rPr>
        <w:t>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rFonts w:hint="eastAsia" w:ascii="仿宋_GB2312" w:eastAsia="仿宋_GB2312"/>
          <w:sz w:val="30"/>
        </w:rPr>
      </w:pPr>
      <w:r>
        <w:rPr>
          <w:rFonts w:hint="eastAsia"/>
          <w:bCs/>
          <w:color w:val="auto"/>
          <w:sz w:val="32"/>
          <w:szCs w:val="32"/>
        </w:rPr>
        <w:t>本次项目支出绩效自评采用成本效益分析法</w:t>
      </w:r>
      <w:r>
        <w:rPr>
          <w:rFonts w:hint="eastAsia"/>
          <w:bCs/>
          <w:color w:val="auto"/>
          <w:sz w:val="32"/>
          <w:szCs w:val="32"/>
          <w:lang w:eastAsia="zh-CN"/>
        </w:rPr>
        <w:t>、</w:t>
      </w:r>
      <w:r>
        <w:rPr>
          <w:rFonts w:hint="eastAsia"/>
          <w:bCs/>
          <w:color w:val="auto"/>
          <w:sz w:val="32"/>
          <w:szCs w:val="32"/>
        </w:rPr>
        <w:t>因素分析法</w:t>
      </w:r>
      <w:r>
        <w:rPr>
          <w:rFonts w:hint="eastAsia"/>
          <w:bCs/>
          <w:color w:val="auto"/>
          <w:sz w:val="32"/>
          <w:szCs w:val="32"/>
          <w:lang w:eastAsia="zh-CN"/>
        </w:rPr>
        <w:t>、</w:t>
      </w:r>
      <w:r>
        <w:rPr>
          <w:rFonts w:hint="eastAsia"/>
          <w:bCs/>
          <w:color w:val="auto"/>
          <w:sz w:val="32"/>
          <w:szCs w:val="32"/>
        </w:rPr>
        <w:t>公众评判法</w:t>
      </w:r>
      <w:r>
        <w:rPr>
          <w:rFonts w:hint="eastAsia"/>
          <w:bCs/>
          <w:color w:val="auto"/>
          <w:sz w:val="32"/>
          <w:szCs w:val="32"/>
          <w:lang w:eastAsia="zh-CN"/>
        </w:rPr>
        <w:t>等</w:t>
      </w:r>
      <w:r>
        <w:rPr>
          <w:rFonts w:hint="eastAsia"/>
          <w:bCs/>
          <w:color w:val="auto"/>
          <w:sz w:val="32"/>
          <w:szCs w:val="32"/>
        </w:rPr>
        <w:t>方法，原因是：</w:t>
      </w:r>
      <w:r>
        <w:rPr>
          <w:rFonts w:hint="eastAsia" w:ascii="仿宋_GB2312" w:eastAsia="仿宋_GB2312"/>
          <w:sz w:val="30"/>
        </w:rPr>
        <w:t>主要围绕专项资金使用、资源配置、项目管理等客观分析项目的产出和效果，体现从投入、过程到产出、效果和影响的绩效逻辑路径。增强了评价的科学性、严谨性和可行性。</w:t>
      </w:r>
    </w:p>
    <w:p>
      <w:pPr>
        <w:spacing w:line="360" w:lineRule="auto"/>
      </w:pPr>
    </w:p>
    <w:p>
      <w:pPr>
        <w:spacing w:line="360" w:lineRule="auto"/>
      </w:pPr>
      <w:r>
        <w:rPr>
          <w:rFonts w:hint="eastAsia"/>
        </w:rPr>
        <w:t>4、评价标准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highlight w:val="none"/>
        </w:rPr>
      </w:pPr>
      <w:r>
        <w:rPr>
          <w:rFonts w:hint="eastAsia"/>
          <w:bCs/>
          <w:color w:val="auto"/>
          <w:sz w:val="32"/>
          <w:szCs w:val="32"/>
        </w:rPr>
        <w:t>本次项目支出绩效自评采用计划标准</w:t>
      </w:r>
      <w:r>
        <w:rPr>
          <w:rFonts w:hint="eastAsia"/>
          <w:bCs/>
          <w:color w:val="auto"/>
          <w:sz w:val="32"/>
          <w:szCs w:val="32"/>
          <w:lang w:eastAsia="zh-CN"/>
        </w:rPr>
        <w:t>、</w:t>
      </w:r>
      <w:r>
        <w:rPr>
          <w:rFonts w:hint="eastAsia"/>
          <w:bCs/>
          <w:color w:val="auto"/>
          <w:sz w:val="32"/>
          <w:szCs w:val="32"/>
        </w:rPr>
        <w:t>行业标准</w:t>
      </w:r>
      <w:r>
        <w:rPr>
          <w:rFonts w:hint="eastAsia"/>
          <w:bCs/>
          <w:color w:val="auto"/>
          <w:sz w:val="32"/>
          <w:szCs w:val="32"/>
          <w:lang w:eastAsia="zh-CN"/>
        </w:rPr>
        <w:t>、</w:t>
      </w:r>
      <w:r>
        <w:rPr>
          <w:rFonts w:hint="eastAsia"/>
          <w:bCs/>
          <w:color w:val="auto"/>
          <w:sz w:val="32"/>
          <w:szCs w:val="32"/>
        </w:rPr>
        <w:t>历史标准，原因是：</w:t>
      </w:r>
      <w:bookmarkStart w:id="6" w:name="_Toc68703833"/>
      <w:r>
        <w:rPr>
          <w:rFonts w:hint="eastAsia" w:ascii="仿宋_GB2312"/>
          <w:color w:val="auto"/>
          <w:highlight w:val="none"/>
        </w:rPr>
        <w:t>严格公正司法，深化司法体制综合配套改革，全面准确落实司法责任制，加快建设公正高效权威的社会主义司法制度，努力让人民群众在每一个司法案件中感受到公平正义。聘请法律顾问，是落实全面依法治国战略、加快</w:t>
      </w:r>
      <w:r>
        <w:rPr>
          <w:rFonts w:hint="eastAsia" w:ascii="仿宋_GB2312"/>
          <w:color w:val="auto"/>
          <w:highlight w:val="none"/>
          <w:lang w:eastAsia="zh-CN"/>
        </w:rPr>
        <w:t>法治政府</w:t>
      </w:r>
      <w:r>
        <w:rPr>
          <w:rFonts w:hint="eastAsia" w:ascii="仿宋_GB2312"/>
          <w:color w:val="auto"/>
          <w:highlight w:val="none"/>
        </w:rPr>
        <w:t>建设的必然要求。</w:t>
      </w:r>
    </w:p>
    <w:p>
      <w:pPr>
        <w:spacing w:line="360" w:lineRule="auto"/>
        <w:rPr>
          <w:rFonts w:ascii="仿宋_GB2312" w:eastAsia="仿宋_GB2312"/>
          <w:b w:val="0"/>
          <w:bCs w:val="0"/>
        </w:rPr>
      </w:pPr>
      <w:r>
        <w:rPr>
          <w:rFonts w:hint="eastAsia" w:ascii="仿宋_GB2312" w:eastAsia="仿宋_GB2312"/>
          <w:b w:val="0"/>
          <w:bCs w:val="0"/>
        </w:rPr>
        <w:t>（三）绩效评价工作过程。</w:t>
      </w:r>
      <w:bookmarkEnd w:id="6"/>
    </w:p>
    <w:p>
      <w:pPr>
        <w:spacing w:line="360" w:lineRule="auto"/>
        <w:ind w:firstLine="600" w:firstLineChars="200"/>
      </w:pPr>
      <w:r>
        <w:rPr>
          <w:rFonts w:hint="eastAsia"/>
        </w:rPr>
        <w:t>1、前期准备：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pPr>
      <w:r>
        <w:t>2</w:t>
      </w:r>
      <w:r>
        <w:rPr>
          <w:rFonts w:hint="eastAsia"/>
        </w:rPr>
        <w:t>、组织实施：</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pPr>
      <w:r>
        <w:rPr>
          <w:rFonts w:hint="eastAsia"/>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pageBreakBefore w:val="0"/>
        <w:widowControl w:val="0"/>
        <w:kinsoku/>
        <w:wordWrap/>
        <w:overflowPunct/>
        <w:topLinePunct w:val="0"/>
        <w:autoSpaceDE/>
        <w:autoSpaceDN/>
        <w:bidi w:val="0"/>
        <w:adjustRightInd/>
        <w:snapToGrid/>
        <w:spacing w:line="360" w:lineRule="auto"/>
        <w:textAlignment w:val="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rFonts w:hint="eastAsia"/>
          <w:color w:val="auto"/>
        </w:rPr>
      </w:pPr>
      <w:r>
        <w:rPr>
          <w:rFonts w:hint="eastAsia"/>
          <w:color w:val="auto"/>
        </w:rPr>
        <w:t>本项目严格按照科学公正、统筹兼顾、激励约束、公开透明的绩效评价原则，采用成本效益分析法</w:t>
      </w:r>
      <w:r>
        <w:rPr>
          <w:rFonts w:hint="eastAsia"/>
          <w:color w:val="auto"/>
          <w:lang w:eastAsia="zh-CN"/>
        </w:rPr>
        <w:t>、</w:t>
      </w:r>
      <w:r>
        <w:rPr>
          <w:rFonts w:hint="eastAsia"/>
          <w:color w:val="auto"/>
        </w:rPr>
        <w:t>因素分析法</w:t>
      </w:r>
      <w:r>
        <w:rPr>
          <w:rFonts w:hint="eastAsia"/>
          <w:color w:val="auto"/>
          <w:lang w:eastAsia="zh-CN"/>
        </w:rPr>
        <w:t>、</w:t>
      </w:r>
      <w:r>
        <w:rPr>
          <w:rFonts w:hint="eastAsia"/>
          <w:color w:val="auto"/>
        </w:rPr>
        <w:t>公众评判法，坚持计划标准</w:t>
      </w:r>
      <w:r>
        <w:rPr>
          <w:rFonts w:hint="eastAsia"/>
          <w:color w:val="auto"/>
          <w:lang w:eastAsia="zh-CN"/>
        </w:rPr>
        <w:t>、</w:t>
      </w:r>
      <w:r>
        <w:rPr>
          <w:rFonts w:hint="eastAsia"/>
          <w:color w:val="auto"/>
        </w:rPr>
        <w:t>行业标准</w:t>
      </w:r>
      <w:r>
        <w:rPr>
          <w:rFonts w:hint="eastAsia"/>
          <w:color w:val="auto"/>
          <w:lang w:eastAsia="zh-CN"/>
        </w:rPr>
        <w:t>、</w:t>
      </w:r>
      <w:r>
        <w:rPr>
          <w:rFonts w:hint="eastAsia"/>
          <w:color w:val="auto"/>
        </w:rPr>
        <w:t>历史标准对本项目的立项、项绩效目标、资金投入、资金管理、组织实施、产出数量、产出质量、产出时效、产出成本、项目效益进行了综合评价。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eastAsia="zh-CN"/>
        </w:rPr>
        <w:t>霍城县法律顾问服务费</w:t>
      </w:r>
      <w:r>
        <w:rPr>
          <w:rFonts w:hint="eastAsia"/>
          <w:color w:val="auto"/>
        </w:rPr>
        <w:t>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highlight w:val="none"/>
          <w:lang w:val="en-US" w:eastAsia="zh-CN"/>
        </w:rPr>
      </w:pPr>
      <w:r>
        <w:rPr>
          <w:rFonts w:hint="eastAsia"/>
          <w:color w:val="auto"/>
          <w:highlight w:val="none"/>
        </w:rPr>
        <w:t>本项目的项目决策、项目过程、项目产出、项目效益均达到了预期要求，最终得分为100分，</w:t>
      </w:r>
      <w:r>
        <w:rPr>
          <w:rFonts w:hint="eastAsia"/>
          <w:color w:val="auto"/>
          <w:highlight w:val="none"/>
          <w:lang w:eastAsia="zh-CN"/>
        </w:rPr>
        <w:t>等级评价为优，</w:t>
      </w:r>
      <w:r>
        <w:rPr>
          <w:rFonts w:hint="eastAsia"/>
          <w:color w:val="auto"/>
          <w:highlight w:val="none"/>
        </w:rPr>
        <w:t>项目达成年度指标</w:t>
      </w:r>
      <w:r>
        <w:rPr>
          <w:rFonts w:hint="eastAsia"/>
          <w:color w:val="auto"/>
          <w:highlight w:val="none"/>
          <w:lang w:val="en-US" w:eastAsia="zh-CN"/>
        </w:rPr>
        <w:t>。</w:t>
      </w: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lang w:eastAsia="zh-CN"/>
        </w:rPr>
        <w:t>四、绩</w:t>
      </w:r>
      <w:r>
        <w:rPr>
          <w:rFonts w:hint="eastAsia" w:ascii="宋体" w:hAnsi="宋体" w:eastAsia="宋体"/>
          <w:sz w:val="32"/>
          <w:szCs w:val="32"/>
        </w:rPr>
        <w:t>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pPr>
      <w:r>
        <w:rPr>
          <w:rFonts w:hint="eastAsia"/>
        </w:rPr>
        <w:t>1、立项依据充分性</w:t>
      </w:r>
    </w:p>
    <w:p>
      <w:pPr>
        <w:spacing w:line="360" w:lineRule="auto"/>
        <w:ind w:firstLine="600" w:firstLineChars="200"/>
        <w:rPr>
          <w:color w:val="auto"/>
        </w:rPr>
      </w:pP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eastAsia="zh-CN"/>
        </w:rPr>
        <w:t>没有</w:t>
      </w:r>
      <w:r>
        <w:rPr>
          <w:rFonts w:hint="eastAsia"/>
          <w:color w:val="auto"/>
        </w:rPr>
        <w:t>与相关部门同类项目或部门内部相关项目重复。</w:t>
      </w:r>
    </w:p>
    <w:p>
      <w:pPr>
        <w:numPr>
          <w:ilvl w:val="0"/>
          <w:numId w:val="0"/>
        </w:numPr>
        <w:spacing w:line="360" w:lineRule="auto"/>
        <w:ind w:firstLine="600" w:firstLineChars="200"/>
        <w:rPr>
          <w:rFonts w:hint="eastAsia"/>
        </w:rPr>
      </w:pPr>
      <w:r>
        <w:rPr>
          <w:rFonts w:hint="eastAsia"/>
          <w:lang w:val="en-US" w:eastAsia="zh-CN"/>
        </w:rPr>
        <w:t>2、</w:t>
      </w:r>
      <w:r>
        <w:rPr>
          <w:rFonts w:hint="eastAsia"/>
        </w:rPr>
        <w:t>立项程序规范性</w:t>
      </w:r>
    </w:p>
    <w:p>
      <w:pPr>
        <w:numPr>
          <w:ilvl w:val="0"/>
          <w:numId w:val="0"/>
        </w:numPr>
        <w:spacing w:line="360" w:lineRule="auto"/>
        <w:ind w:firstLine="600" w:firstLineChars="200"/>
        <w:rPr>
          <w:rFonts w:hint="default" w:eastAsia="仿宋_GB2312"/>
          <w:lang w:val="en-US" w:eastAsia="zh-CN"/>
        </w:rPr>
      </w:pPr>
      <w:r>
        <w:rPr>
          <w:rFonts w:hint="eastAsia"/>
          <w:lang w:eastAsia="zh-CN"/>
        </w:rPr>
        <w:t>项目按照规定的程序申请设立，审批文件、材料符合相关要求，事前已经过必要的可行性研究、专家论证、风险评估、绩效评估、集体决策。</w:t>
      </w:r>
    </w:p>
    <w:p>
      <w:pPr>
        <w:spacing w:line="360" w:lineRule="auto"/>
        <w:ind w:firstLine="600" w:firstLineChars="200"/>
      </w:pPr>
      <w:r>
        <w:rPr>
          <w:rFonts w:hint="eastAsia"/>
        </w:rPr>
        <w:t>3、绩效目标合理性</w:t>
      </w:r>
    </w:p>
    <w:p>
      <w:pPr>
        <w:spacing w:line="360" w:lineRule="auto"/>
        <w:ind w:firstLine="600" w:firstLineChars="200"/>
        <w:rPr>
          <w:color w:val="auto"/>
          <w:highlight w:val="none"/>
        </w:rPr>
      </w:pPr>
      <w:r>
        <w:rPr>
          <w:rFonts w:hint="eastAsia"/>
          <w:color w:val="auto"/>
          <w:highlight w:val="none"/>
          <w:lang w:eastAsia="zh-CN"/>
        </w:rPr>
        <w:t>霍城县法律顾问服务费</w:t>
      </w:r>
      <w:r>
        <w:rPr>
          <w:rFonts w:hint="eastAsia"/>
          <w:color w:val="auto"/>
          <w:highlight w:val="none"/>
        </w:rPr>
        <w:t>项目设立了项目绩效目标，与</w:t>
      </w:r>
      <w:r>
        <w:rPr>
          <w:rFonts w:hint="eastAsia"/>
          <w:color w:val="auto"/>
          <w:highlight w:val="none"/>
          <w:lang w:eastAsia="zh-CN"/>
        </w:rPr>
        <w:t>法律顾问服务费</w:t>
      </w:r>
      <w:r>
        <w:rPr>
          <w:rFonts w:hint="eastAsia"/>
          <w:color w:val="auto"/>
          <w:highlight w:val="none"/>
        </w:rPr>
        <w:t>具有相关性，项目的预期产出效益和效果也均能符合正常的业绩水平，并且与预算确定的项目投资额或资金量相匹配。</w:t>
      </w:r>
    </w:p>
    <w:p>
      <w:pPr>
        <w:spacing w:line="360" w:lineRule="auto"/>
        <w:ind w:firstLine="600" w:firstLineChars="200"/>
      </w:pPr>
      <w:r>
        <w:rPr>
          <w:rFonts w:hint="eastAsia"/>
        </w:rPr>
        <w:t>4、绩效指标明确性</w:t>
      </w:r>
    </w:p>
    <w:p>
      <w:pPr>
        <w:spacing w:line="360" w:lineRule="auto"/>
        <w:ind w:firstLine="600" w:firstLineChars="200"/>
        <w:rPr>
          <w:color w:val="auto"/>
        </w:rPr>
      </w:pPr>
      <w:bookmarkStart w:id="12" w:name="_Hlk68699917"/>
      <w:r>
        <w:rPr>
          <w:rFonts w:hint="eastAsia"/>
          <w:color w:val="auto"/>
          <w:lang w:eastAsia="zh-CN"/>
        </w:rPr>
        <w:t>霍城县法律顾问服务费</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8</w:t>
      </w:r>
      <w:r>
        <w:rPr>
          <w:rFonts w:hint="eastAsia"/>
          <w:color w:val="auto"/>
        </w:rPr>
        <w:t>条，其中量化指标条数共</w:t>
      </w:r>
      <w:r>
        <w:rPr>
          <w:rFonts w:hint="eastAsia"/>
          <w:color w:val="auto"/>
          <w:lang w:val="en-US" w:eastAsia="zh-CN"/>
        </w:rPr>
        <w:t>7</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pPr>
      <w:r>
        <w:rPr>
          <w:rFonts w:hint="eastAsia"/>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ind w:firstLine="600" w:firstLineChars="200"/>
      </w:pPr>
      <w:r>
        <w:rPr>
          <w:rFonts w:hint="eastAsia"/>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pPr>
      <w:r>
        <w:rPr>
          <w:rFonts w:hint="eastAsia"/>
        </w:rPr>
        <w:t>1、资金到位率：</w:t>
      </w:r>
    </w:p>
    <w:p>
      <w:pPr>
        <w:spacing w:line="360" w:lineRule="auto"/>
        <w:ind w:firstLine="600" w:firstLineChars="200"/>
        <w:rPr>
          <w:color w:val="FF0000"/>
        </w:rPr>
      </w:pPr>
      <w:r>
        <w:rPr>
          <w:rFonts w:hint="eastAsia"/>
          <w:color w:val="auto"/>
        </w:rPr>
        <w:t>预算资金</w:t>
      </w:r>
      <w:r>
        <w:rPr>
          <w:rFonts w:hint="eastAsia"/>
          <w:color w:val="auto"/>
          <w:lang w:val="en-US" w:eastAsia="zh-CN"/>
        </w:rPr>
        <w:t>75</w:t>
      </w:r>
      <w:r>
        <w:rPr>
          <w:rFonts w:hint="eastAsia"/>
          <w:color w:val="auto"/>
        </w:rPr>
        <w:t>万元，实际到位资金</w:t>
      </w:r>
      <w:r>
        <w:rPr>
          <w:rFonts w:hint="eastAsia"/>
          <w:color w:val="auto"/>
          <w:lang w:val="en-US" w:eastAsia="zh-CN"/>
        </w:rPr>
        <w:t>75</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pPr>
      <w:r>
        <w:rPr>
          <w:rFonts w:hint="eastAsia"/>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万元，全年预算数</w:t>
      </w:r>
      <w:r>
        <w:rPr>
          <w:rFonts w:hint="eastAsia"/>
          <w:color w:val="auto"/>
          <w:lang w:val="en-US" w:eastAsia="zh-CN"/>
        </w:rPr>
        <w:t>75</w:t>
      </w:r>
      <w:r>
        <w:rPr>
          <w:rFonts w:hint="eastAsia"/>
          <w:color w:val="auto"/>
        </w:rPr>
        <w:t>万元，全年执行数</w:t>
      </w:r>
      <w:r>
        <w:rPr>
          <w:rFonts w:hint="eastAsia"/>
          <w:color w:val="auto"/>
          <w:lang w:val="en-US" w:eastAsia="zh-CN"/>
        </w:rPr>
        <w:t>75</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pPr>
      <w:r>
        <w:rPr>
          <w:rFonts w:hint="eastAsia"/>
        </w:rPr>
        <w:t>3、资金使用合规性</w:t>
      </w:r>
    </w:p>
    <w:p>
      <w:pPr>
        <w:spacing w:line="360" w:lineRule="auto"/>
        <w:ind w:firstLine="600" w:firstLineChars="200"/>
        <w:rPr>
          <w:color w:val="auto"/>
        </w:rPr>
      </w:pPr>
      <w:r>
        <w:rPr>
          <w:rFonts w:hint="eastAsia"/>
          <w:color w:val="auto"/>
          <w:lang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ind w:firstLine="600" w:firstLineChars="200"/>
      </w:pPr>
      <w:r>
        <w:rPr>
          <w:rFonts w:hint="eastAsia"/>
        </w:rPr>
        <w:t>4、管理制度健全性</w:t>
      </w:r>
    </w:p>
    <w:p>
      <w:pPr>
        <w:spacing w:line="360" w:lineRule="auto"/>
        <w:ind w:firstLine="600" w:firstLineChars="200"/>
        <w:rPr>
          <w:color w:val="auto"/>
        </w:rPr>
      </w:pPr>
      <w:r>
        <w:rPr>
          <w:rFonts w:hint="eastAsia"/>
          <w:color w:val="auto"/>
          <w:lang w:eastAsia="zh-CN"/>
        </w:rPr>
        <w:t>本项目</w:t>
      </w:r>
      <w:r>
        <w:rPr>
          <w:rFonts w:hint="eastAsia"/>
          <w:color w:val="auto"/>
        </w:rPr>
        <w:t>已制定或具有相应的财务和业务管理制度；财务和业务管理制度合法、合规、完整。</w:t>
      </w:r>
    </w:p>
    <w:p>
      <w:pPr>
        <w:spacing w:line="360" w:lineRule="auto"/>
        <w:ind w:firstLine="600" w:firstLineChars="200"/>
      </w:pPr>
      <w:r>
        <w:rPr>
          <w:rFonts w:hint="eastAsia"/>
        </w:rPr>
        <w:t>5、制度执行有效性</w:t>
      </w:r>
    </w:p>
    <w:p>
      <w:pPr>
        <w:spacing w:line="360" w:lineRule="auto"/>
        <w:ind w:firstLine="600" w:firstLineChars="200"/>
        <w:rPr>
          <w:color w:val="auto"/>
        </w:rPr>
      </w:pPr>
      <w:r>
        <w:rPr>
          <w:rFonts w:hint="eastAsia"/>
          <w:color w:val="auto"/>
          <w:lang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3"/>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color w:val="auto"/>
        </w:rPr>
      </w:pPr>
      <w:r>
        <w:rPr>
          <w:rFonts w:hint="eastAsia"/>
          <w:color w:val="auto"/>
        </w:rPr>
        <w:t>1、数量指标：指标1：法律顾问服务期限（年），指标值：≧1.28年，实际完成值1.28年，指标完成率</w:t>
      </w:r>
      <w:r>
        <w:rPr>
          <w:rFonts w:hint="eastAsia"/>
          <w:color w:val="auto"/>
          <w:lang w:val="en-US" w:eastAsia="zh-CN"/>
        </w:rPr>
        <w:t>100</w:t>
      </w:r>
      <w:r>
        <w:rPr>
          <w:rFonts w:hint="eastAsia"/>
          <w:color w:val="auto"/>
        </w:rPr>
        <w:t>%；指标2：新疆颐美丰林业生态有限责任公司合同纠纷案件数，指标值：≧1件，实际完成值</w:t>
      </w:r>
      <w:r>
        <w:rPr>
          <w:rFonts w:hint="eastAsia"/>
          <w:color w:val="auto"/>
          <w:lang w:val="en-US" w:eastAsia="zh-CN"/>
        </w:rPr>
        <w:t>1件</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color w:val="auto"/>
        </w:rPr>
        <w:t>2</w:t>
      </w:r>
      <w:r>
        <w:rPr>
          <w:rFonts w:hint="eastAsia"/>
          <w:color w:val="auto"/>
        </w:rPr>
        <w:t>、质量指标：指标1：新疆颐美丰林业生态有限责任公司合同纠纷案结案率，指标值：</w:t>
      </w:r>
      <w:r>
        <w:rPr>
          <w:rFonts w:hint="eastAsia"/>
          <w:color w:val="auto"/>
          <w:lang w:val="en-US" w:eastAsia="zh-CN"/>
        </w:rPr>
        <w:t>100%</w:t>
      </w:r>
      <w:r>
        <w:rPr>
          <w:color w:val="auto"/>
        </w:rPr>
        <w:t xml:space="preserve"> </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3、时效指标：指标1：资金支付及时率，指标值：</w:t>
      </w:r>
      <w:r>
        <w:rPr>
          <w:rFonts w:hint="eastAsia"/>
          <w:color w:val="auto"/>
          <w:lang w:val="en-US" w:eastAsia="zh-CN"/>
        </w:rPr>
        <w:t>100%</w:t>
      </w:r>
      <w:r>
        <w:rPr>
          <w:color w:val="auto"/>
        </w:rPr>
        <w:t xml:space="preserve"> </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4、成本指标</w:t>
      </w:r>
      <w:bookmarkStart w:id="15" w:name="_Toc68703841"/>
      <w:r>
        <w:rPr>
          <w:rFonts w:hint="eastAsia"/>
          <w:color w:val="auto"/>
          <w:lang w:eastAsia="zh-CN"/>
        </w:rPr>
        <w:t>：</w:t>
      </w:r>
      <w:r>
        <w:rPr>
          <w:rFonts w:hint="eastAsia"/>
          <w:color w:val="auto"/>
        </w:rPr>
        <w:t>指标1：每年法律顾问服务费，指标值：</w:t>
      </w:r>
      <w:r>
        <w:rPr>
          <w:rFonts w:hint="eastAsia"/>
          <w:color w:val="auto"/>
          <w:lang w:val="en-US" w:eastAsia="zh-CN"/>
        </w:rPr>
        <w:t>≧35万元</w:t>
      </w:r>
      <w:r>
        <w:rPr>
          <w:rFonts w:hint="eastAsia"/>
          <w:color w:val="auto"/>
        </w:rPr>
        <w:t>，实际完成值</w:t>
      </w:r>
      <w:r>
        <w:rPr>
          <w:rFonts w:hint="eastAsia"/>
          <w:color w:val="auto"/>
          <w:lang w:val="en-US" w:eastAsia="zh-CN"/>
        </w:rPr>
        <w:t>35万元</w:t>
      </w:r>
      <w:r>
        <w:rPr>
          <w:rFonts w:hint="eastAsia"/>
          <w:color w:val="auto"/>
        </w:rPr>
        <w:t>，指标完成率</w:t>
      </w:r>
      <w:r>
        <w:rPr>
          <w:rFonts w:hint="eastAsia"/>
          <w:color w:val="auto"/>
          <w:lang w:val="en-US" w:eastAsia="zh-CN"/>
        </w:rPr>
        <w:t>100</w:t>
      </w:r>
      <w:r>
        <w:rPr>
          <w:rFonts w:hint="eastAsia"/>
          <w:color w:val="auto"/>
        </w:rPr>
        <w:t>%；指标2：新疆颐美丰林业生态有限责任公司合同纠纷一案服务费，指标值：≧30万元，实际完成值</w:t>
      </w:r>
      <w:r>
        <w:rPr>
          <w:rFonts w:hint="eastAsia"/>
          <w:color w:val="auto"/>
          <w:lang w:val="en-US" w:eastAsia="zh-CN"/>
        </w:rPr>
        <w:t>30万元</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ascii="仿宋_GB2312" w:eastAsia="仿宋_GB2312"/>
          <w:b w:val="0"/>
          <w:bCs w:val="0"/>
        </w:rPr>
      </w:pPr>
      <w:r>
        <w:rPr>
          <w:rFonts w:hint="eastAsia" w:ascii="仿宋_GB2312" w:eastAsia="仿宋_GB2312"/>
          <w:b w:val="0"/>
          <w:bCs w:val="0"/>
        </w:rPr>
        <w:t>（四）项目效益情况。</w:t>
      </w:r>
      <w:bookmarkEnd w:id="15"/>
    </w:p>
    <w:p>
      <w:pPr>
        <w:spacing w:line="360" w:lineRule="auto"/>
        <w:ind w:firstLine="600" w:firstLineChars="200"/>
        <w:rPr>
          <w:color w:val="auto"/>
        </w:rPr>
      </w:pPr>
      <w:r>
        <w:rPr>
          <w:rFonts w:hint="eastAsia"/>
          <w:color w:val="auto"/>
          <w:lang w:val="en-US" w:eastAsia="zh-CN"/>
        </w:rPr>
        <w:t>1</w:t>
      </w:r>
      <w:r>
        <w:rPr>
          <w:rFonts w:hint="eastAsia"/>
          <w:color w:val="auto"/>
        </w:rPr>
        <w:t>、社会效益指标：指标1：法律服务发挥作用情况，指标值：</w:t>
      </w:r>
      <w:r>
        <w:rPr>
          <w:rFonts w:hint="eastAsia"/>
          <w:color w:val="auto"/>
          <w:lang w:val="en-US" w:eastAsia="zh-CN"/>
        </w:rPr>
        <w:t>效果明显</w:t>
      </w:r>
      <w:r>
        <w:rPr>
          <w:rFonts w:hint="eastAsia"/>
          <w:color w:val="auto"/>
        </w:rPr>
        <w:t>，实际完成值</w:t>
      </w:r>
      <w:r>
        <w:rPr>
          <w:rFonts w:hint="eastAsia"/>
          <w:color w:val="auto"/>
          <w:lang w:val="en-US" w:eastAsia="zh-CN"/>
        </w:rPr>
        <w:t>明显提升</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auto"/>
        </w:rPr>
      </w:pPr>
      <w:r>
        <w:rPr>
          <w:rFonts w:hint="eastAsia"/>
          <w:color w:val="auto"/>
          <w:lang w:val="en-US" w:eastAsia="zh-CN"/>
        </w:rPr>
        <w:t>2</w:t>
      </w:r>
      <w:r>
        <w:rPr>
          <w:rFonts w:hint="eastAsia"/>
          <w:color w:val="auto"/>
        </w:rPr>
        <w:t>、满意度指标：指标1：委托方满意度，指标值：</w:t>
      </w:r>
      <w:r>
        <w:rPr>
          <w:rFonts w:hint="eastAsia"/>
          <w:color w:val="auto"/>
          <w:lang w:val="en-US" w:eastAsia="zh-CN"/>
        </w:rPr>
        <w:t>95%</w:t>
      </w:r>
      <w:r>
        <w:rPr>
          <w:color w:val="auto"/>
        </w:rPr>
        <w:t xml:space="preserve"> </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bookmarkStart w:id="16" w:name="_Toc68703842"/>
    </w:p>
    <w:p>
      <w:pPr>
        <w:spacing w:line="360" w:lineRule="auto"/>
        <w:ind w:firstLine="643" w:firstLineChars="200"/>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五、主要经验及做法、存在的问题及原因分析</w:t>
      </w:r>
      <w:bookmarkEnd w:id="16"/>
      <w:bookmarkStart w:id="17" w:name="_Toc68703843"/>
    </w:p>
    <w:p>
      <w:pPr>
        <w:spacing w:line="360" w:lineRule="auto"/>
        <w:ind w:firstLine="600" w:firstLineChars="200"/>
        <w:rPr>
          <w:rFonts w:hint="eastAsia" w:ascii="仿宋_GB2312" w:eastAsia="仿宋_GB2312"/>
          <w:b w:val="0"/>
          <w:bCs w:val="0"/>
          <w:color w:val="auto"/>
        </w:rPr>
      </w:pPr>
      <w:r>
        <w:rPr>
          <w:rFonts w:hint="eastAsia" w:ascii="仿宋_GB2312" w:eastAsia="仿宋_GB2312"/>
          <w:b w:val="0"/>
          <w:bCs w:val="0"/>
          <w:color w:val="auto"/>
        </w:rPr>
        <w:t>（一）主要经验及做法</w:t>
      </w:r>
      <w:bookmarkEnd w:id="17"/>
      <w:bookmarkStart w:id="18" w:name="_Toc68703844"/>
    </w:p>
    <w:p>
      <w:pPr>
        <w:spacing w:line="360" w:lineRule="auto"/>
        <w:ind w:firstLine="600" w:firstLineChars="200"/>
        <w:rPr>
          <w:rFonts w:hint="eastAsia"/>
          <w:color w:val="auto"/>
        </w:rPr>
      </w:pPr>
      <w:r>
        <w:rPr>
          <w:rFonts w:hint="eastAsia"/>
          <w:color w:val="auto"/>
        </w:rPr>
        <w:t>一是全力开展学习贯彻习近平法治思想巡回宣讲和宣传活动。二是强化依法治县业务培训工作。三是全面推进严格规范公正文明执法；四是全面推进“放管服”工作，持续深化行政审批制度改革；五是不断提升政务服务，持续优化营商环境。六是加大全民普法力度；七是积极开展法治示范创建和法治阵地建设；八是全面加强了拆迁工作法律直达工作。</w:t>
      </w:r>
    </w:p>
    <w:p>
      <w:pPr>
        <w:numPr>
          <w:ilvl w:val="0"/>
          <w:numId w:val="2"/>
        </w:numPr>
        <w:spacing w:line="360" w:lineRule="auto"/>
        <w:ind w:firstLine="600" w:firstLineChars="200"/>
        <w:rPr>
          <w:rFonts w:hint="eastAsia" w:ascii="仿宋_GB2312" w:eastAsia="仿宋_GB2312"/>
          <w:b w:val="0"/>
          <w:bCs w:val="0"/>
          <w:color w:val="auto"/>
        </w:rPr>
      </w:pPr>
      <w:r>
        <w:rPr>
          <w:rFonts w:hint="eastAsia" w:ascii="仿宋_GB2312" w:eastAsia="仿宋_GB2312"/>
          <w:b w:val="0"/>
          <w:bCs w:val="0"/>
          <w:color w:val="auto"/>
        </w:rPr>
        <w:t>存在的问题及原因分析</w:t>
      </w:r>
      <w:bookmarkEnd w:id="18"/>
      <w:bookmarkStart w:id="19" w:name="_Toc68703845"/>
    </w:p>
    <w:p>
      <w:pPr>
        <w:spacing w:line="360" w:lineRule="auto"/>
        <w:ind w:firstLine="600" w:firstLineChars="200"/>
        <w:rPr>
          <w:rFonts w:hint="eastAsia"/>
          <w:color w:val="auto"/>
          <w:lang w:eastAsia="zh-CN"/>
        </w:rPr>
      </w:pPr>
      <w:r>
        <w:rPr>
          <w:rFonts w:hint="eastAsia"/>
          <w:color w:val="auto"/>
        </w:rPr>
        <w:t>存在经费拨付力度不足的情况，望县财政增加专项资金支持力度</w:t>
      </w:r>
      <w:r>
        <w:rPr>
          <w:rFonts w:hint="eastAsia"/>
          <w:color w:val="auto"/>
          <w:lang w:eastAsia="zh-CN"/>
        </w:rPr>
        <w:t>。</w:t>
      </w:r>
    </w:p>
    <w:p>
      <w:pPr>
        <w:spacing w:line="360" w:lineRule="auto"/>
        <w:ind w:firstLine="643" w:firstLineChars="200"/>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六、有关建议</w:t>
      </w:r>
      <w:bookmarkEnd w:id="19"/>
      <w:bookmarkStart w:id="20" w:name="_Toc68703846"/>
    </w:p>
    <w:p>
      <w:pPr>
        <w:numPr>
          <w:ilvl w:val="0"/>
          <w:numId w:val="0"/>
        </w:numPr>
        <w:spacing w:line="360" w:lineRule="auto"/>
        <w:ind w:firstLine="600" w:firstLineChars="200"/>
        <w:rPr>
          <w:rFonts w:hint="eastAsia" w:ascii="仿宋_GB2312"/>
        </w:rPr>
      </w:pPr>
      <w:r>
        <w:rPr>
          <w:rFonts w:hint="eastAsia" w:ascii="仿宋_GB2312"/>
          <w:lang w:eastAsia="zh-CN"/>
        </w:rPr>
        <w:t>根据</w:t>
      </w:r>
      <w:r>
        <w:rPr>
          <w:rFonts w:hint="eastAsia" w:ascii="仿宋_GB2312"/>
        </w:rPr>
        <w:t>习近平总书记在</w:t>
      </w:r>
      <w:r>
        <w:rPr>
          <w:rFonts w:hint="eastAsia" w:ascii="仿宋_GB2312"/>
          <w:lang w:eastAsia="zh-CN"/>
        </w:rPr>
        <w:t>二十大</w:t>
      </w:r>
      <w:r>
        <w:rPr>
          <w:rFonts w:hint="eastAsia" w:ascii="仿宋_GB2312"/>
        </w:rPr>
        <w:t>报告中强调：“严格公正司法，深化司法体制综合配套改革，全面准确落实司法责任制，加快建设公正高效权威的社会主义司法制度，努力让人民群众在每一个司法案件中感受到公平正义”。可以说，聘请法律顾问，是落实全面依法治国战略、加快</w:t>
      </w:r>
      <w:r>
        <w:rPr>
          <w:rFonts w:hint="eastAsia" w:ascii="仿宋_GB2312"/>
          <w:lang w:eastAsia="zh-CN"/>
        </w:rPr>
        <w:t>法治政府</w:t>
      </w:r>
      <w:r>
        <w:rPr>
          <w:rFonts w:hint="eastAsia" w:ascii="仿宋_GB2312"/>
        </w:rPr>
        <w:t>建设的必然要求。</w:t>
      </w:r>
      <w:r>
        <w:rPr>
          <w:rFonts w:hint="eastAsia" w:ascii="仿宋_GB2312"/>
          <w:lang w:eastAsia="zh-CN"/>
        </w:rPr>
        <w:t>每年的法律顾问费是固定支出，希望财政将法律顾问服务费纳入部门预算</w:t>
      </w:r>
      <w:r>
        <w:rPr>
          <w:rFonts w:hint="eastAsia" w:ascii="仿宋_GB2312"/>
        </w:rPr>
        <w:t>。</w:t>
      </w:r>
    </w:p>
    <w:p>
      <w:pPr>
        <w:spacing w:line="360" w:lineRule="auto"/>
        <w:ind w:firstLine="643" w:firstLineChars="200"/>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七、其他需要说明的问题</w:t>
      </w:r>
      <w:bookmarkEnd w:id="20"/>
    </w:p>
    <w:p>
      <w:pPr>
        <w:spacing w:line="360" w:lineRule="auto"/>
        <w:ind w:firstLine="600" w:firstLineChars="200"/>
        <w:rPr>
          <w:rFonts w:hint="eastAsia" w:eastAsia="仿宋_GB2312"/>
          <w:lang w:eastAsia="zh-CN"/>
        </w:rPr>
      </w:pPr>
      <w:r>
        <w:rPr>
          <w:rFonts w:hint="eastAsia"/>
          <w:lang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567A6"/>
    <w:multiLevelType w:val="singleLevel"/>
    <w:tmpl w:val="D10567A6"/>
    <w:lvl w:ilvl="0" w:tentative="0">
      <w:start w:val="2"/>
      <w:numFmt w:val="chineseCounting"/>
      <w:suff w:val="nothing"/>
      <w:lvlText w:val="（%1）"/>
      <w:lvlJc w:val="left"/>
      <w:rPr>
        <w:rFonts w:hint="eastAsia"/>
      </w:rPr>
    </w:lvl>
  </w:abstractNum>
  <w:abstractNum w:abstractNumId="1">
    <w:nsid w:val="179FF3DD"/>
    <w:multiLevelType w:val="singleLevel"/>
    <w:tmpl w:val="179FF3D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NjYwNGI3ZDE1OTAwNWIxNThjMzMyZjE4NTZkNzcifQ=="/>
  </w:docVars>
  <w:rsids>
    <w:rsidRoot w:val="007D49C5"/>
    <w:rsid w:val="005B64E8"/>
    <w:rsid w:val="00614288"/>
    <w:rsid w:val="00792CFE"/>
    <w:rsid w:val="007D49C5"/>
    <w:rsid w:val="008C631D"/>
    <w:rsid w:val="00B24331"/>
    <w:rsid w:val="0B6F3E4F"/>
    <w:rsid w:val="42D0609C"/>
    <w:rsid w:val="47814B27"/>
    <w:rsid w:val="4A5F20FA"/>
    <w:rsid w:val="58F24E01"/>
    <w:rsid w:val="618076AC"/>
    <w:rsid w:val="734335B5"/>
    <w:rsid w:val="73632EA9"/>
    <w:rsid w:val="783B1800"/>
    <w:rsid w:val="7C71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7799</Words>
  <Characters>8015</Characters>
  <Lines>38</Lines>
  <Paragraphs>10</Paragraphs>
  <TotalTime>5</TotalTime>
  <ScaleCrop>false</ScaleCrop>
  <LinksUpToDate>false</LinksUpToDate>
  <CharactersWithSpaces>8028</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2024-06-13T02:53:48Z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3B2246184B7F46AC86F840FAF588CCEF</vt:lpwstr>
  </property>
</Properties>
</file>