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7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line="7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line="70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adjustRightInd/>
        <w:snapToGrid/>
        <w:spacing w:line="700" w:lineRule="exact"/>
        <w:jc w:val="center"/>
        <w:textAlignment w:val="auto"/>
        <w:rPr>
          <w:rFonts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adjustRightInd/>
        <w:snapToGrid/>
        <w:spacing w:line="700" w:lineRule="exact"/>
        <w:jc w:val="center"/>
        <w:textAlignment w:val="auto"/>
        <w:rPr>
          <w:rFonts w:ascii="宋体" w:hAnsi="宋体" w:eastAsia="宋体" w:cs="Arial"/>
          <w:b/>
          <w:bCs/>
          <w:sz w:val="48"/>
          <w:szCs w:val="48"/>
        </w:rPr>
      </w:pPr>
    </w:p>
    <w:p>
      <w:pPr>
        <w:pageBreakBefore w:val="0"/>
        <w:widowControl/>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2</w:t>
      </w:r>
      <w:r>
        <w:rPr>
          <w:rFonts w:hint="eastAsia" w:ascii="方正小标宋简体" w:hAnsi="方正小标宋简体" w:eastAsia="方正小标宋简体" w:cs="方正小标宋简体"/>
          <w:color w:val="000000"/>
          <w:kern w:val="0"/>
          <w:sz w:val="36"/>
          <w:szCs w:val="36"/>
        </w:rPr>
        <w:t>年度）</w:t>
      </w:r>
    </w:p>
    <w:p>
      <w:pPr>
        <w:pageBreakBefore w:val="0"/>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70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700" w:lineRule="exact"/>
        <w:ind w:firstLine="321" w:firstLineChars="100"/>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霍城县政法委运转项目</w:t>
      </w:r>
      <w:r>
        <w:rPr>
          <w:rFonts w:ascii="宋体" w:hAnsi="宋体" w:eastAsia="宋体" w:cs="宋体"/>
          <w:kern w:val="0"/>
          <w:sz w:val="32"/>
          <w:szCs w:val="32"/>
        </w:rPr>
        <w:t xml:space="preserve"> </w:t>
      </w:r>
    </w:p>
    <w:p>
      <w:pPr>
        <w:pageBreakBefore w:val="0"/>
        <w:kinsoku/>
        <w:wordWrap/>
        <w:overflowPunct/>
        <w:topLinePunct w:val="0"/>
        <w:autoSpaceDE/>
        <w:autoSpaceDN/>
        <w:bidi w:val="0"/>
        <w:adjustRightInd/>
        <w:snapToGrid/>
        <w:spacing w:line="700" w:lineRule="exact"/>
        <w:ind w:firstLine="321" w:firstLineChars="100"/>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b/>
          <w:bCs/>
          <w:kern w:val="0"/>
          <w:sz w:val="32"/>
          <w:szCs w:val="32"/>
          <w:lang w:eastAsia="zh-CN"/>
        </w:rPr>
        <w:t>中国共产党霍城县委员会政法委员会</w:t>
      </w:r>
      <w:r>
        <w:rPr>
          <w:rFonts w:ascii="宋体" w:hAnsi="宋体" w:eastAsia="宋体" w:cs="宋体"/>
          <w:kern w:val="0"/>
          <w:sz w:val="32"/>
          <w:szCs w:val="32"/>
        </w:rPr>
        <w:t xml:space="preserve"> </w:t>
      </w:r>
    </w:p>
    <w:p>
      <w:pPr>
        <w:pageBreakBefore w:val="0"/>
        <w:kinsoku/>
        <w:wordWrap/>
        <w:overflowPunct/>
        <w:topLinePunct w:val="0"/>
        <w:autoSpaceDE/>
        <w:autoSpaceDN/>
        <w:bidi w:val="0"/>
        <w:adjustRightInd/>
        <w:snapToGrid/>
        <w:spacing w:line="700" w:lineRule="exact"/>
        <w:ind w:firstLine="321" w:firstLineChars="100"/>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b/>
          <w:bCs/>
          <w:kern w:val="0"/>
          <w:sz w:val="32"/>
          <w:szCs w:val="32"/>
          <w:lang w:eastAsia="zh-CN"/>
        </w:rPr>
        <w:t>中国共产党霍城县委员会政法委员会</w:t>
      </w:r>
      <w:r>
        <w:rPr>
          <w:rFonts w:ascii="宋体" w:hAnsi="宋体" w:eastAsia="宋体" w:cs="宋体"/>
          <w:kern w:val="0"/>
          <w:sz w:val="32"/>
          <w:szCs w:val="32"/>
        </w:rPr>
        <w:t xml:space="preserve">  </w:t>
      </w:r>
    </w:p>
    <w:p>
      <w:pPr>
        <w:pageBreakBefore w:val="0"/>
        <w:kinsoku/>
        <w:wordWrap/>
        <w:overflowPunct/>
        <w:topLinePunct w:val="0"/>
        <w:autoSpaceDE/>
        <w:autoSpaceDN/>
        <w:bidi w:val="0"/>
        <w:adjustRightInd/>
        <w:snapToGrid/>
        <w:spacing w:line="700" w:lineRule="exact"/>
        <w:ind w:firstLine="321" w:firstLineChars="100"/>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韩慎庆</w:t>
      </w:r>
      <w:r>
        <w:rPr>
          <w:rFonts w:ascii="宋体" w:hAnsi="宋体" w:eastAsia="宋体" w:cs="宋体"/>
          <w:kern w:val="0"/>
          <w:sz w:val="32"/>
          <w:szCs w:val="32"/>
        </w:rPr>
        <w:t xml:space="preserve"> </w:t>
      </w:r>
    </w:p>
    <w:p>
      <w:pPr>
        <w:pageBreakBefore w:val="0"/>
        <w:kinsoku/>
        <w:wordWrap/>
        <w:overflowPunct/>
        <w:topLinePunct w:val="0"/>
        <w:autoSpaceDE/>
        <w:autoSpaceDN/>
        <w:bidi w:val="0"/>
        <w:adjustRightInd/>
        <w:snapToGrid/>
        <w:spacing w:line="700" w:lineRule="exact"/>
        <w:ind w:firstLine="321" w:firstLineChars="100"/>
        <w:textAlignment w:val="auto"/>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填报时间：202</w:t>
      </w:r>
      <w:r>
        <w:rPr>
          <w:rFonts w:hint="eastAsia" w:ascii="宋体" w:hAnsi="宋体" w:eastAsia="宋体" w:cs="仿宋_GB2312"/>
          <w:b/>
          <w:bCs/>
          <w:color w:val="000000"/>
          <w:kern w:val="0"/>
          <w:sz w:val="32"/>
          <w:szCs w:val="32"/>
          <w:lang w:val="en-US" w:eastAsia="zh-CN"/>
        </w:rPr>
        <w:t>3</w:t>
      </w:r>
      <w:r>
        <w:rPr>
          <w:rFonts w:hint="eastAsia" w:ascii="宋体" w:hAnsi="宋体" w:eastAsia="宋体" w:cs="仿宋_GB2312"/>
          <w:b/>
          <w:bCs/>
          <w:color w:val="000000"/>
          <w:kern w:val="0"/>
          <w:sz w:val="32"/>
          <w:szCs w:val="32"/>
        </w:rPr>
        <w:t>年</w:t>
      </w:r>
      <w:r>
        <w:rPr>
          <w:rFonts w:hint="eastAsia" w:ascii="宋体" w:hAnsi="宋体" w:eastAsia="宋体" w:cs="仿宋_GB2312"/>
          <w:b/>
          <w:bCs/>
          <w:color w:val="000000"/>
          <w:kern w:val="0"/>
          <w:sz w:val="32"/>
          <w:szCs w:val="32"/>
          <w:lang w:val="en-US" w:eastAsia="zh-CN"/>
        </w:rPr>
        <w:t>3</w:t>
      </w:r>
      <w:r>
        <w:rPr>
          <w:rFonts w:hint="eastAsia" w:ascii="宋体" w:hAnsi="宋体" w:eastAsia="宋体" w:cs="仿宋_GB2312"/>
          <w:b/>
          <w:bCs/>
          <w:color w:val="000000"/>
          <w:kern w:val="0"/>
          <w:sz w:val="32"/>
          <w:szCs w:val="32"/>
        </w:rPr>
        <w:t>月</w:t>
      </w:r>
      <w:r>
        <w:rPr>
          <w:rFonts w:hint="eastAsia" w:ascii="宋体" w:hAnsi="宋体" w:eastAsia="宋体" w:cs="仿宋_GB2312"/>
          <w:b/>
          <w:bCs/>
          <w:color w:val="000000"/>
          <w:kern w:val="0"/>
          <w:sz w:val="32"/>
          <w:szCs w:val="32"/>
          <w:lang w:val="en-US" w:eastAsia="zh-CN"/>
        </w:rPr>
        <w:t>21</w:t>
      </w:r>
      <w:r>
        <w:rPr>
          <w:rFonts w:hint="eastAsia" w:ascii="宋体" w:hAnsi="宋体" w:eastAsia="宋体" w:cs="仿宋_GB2312"/>
          <w:b/>
          <w:bCs/>
          <w:color w:val="000000"/>
          <w:kern w:val="0"/>
          <w:sz w:val="32"/>
          <w:szCs w:val="32"/>
        </w:rPr>
        <w:t>日</w:t>
      </w:r>
    </w:p>
    <w:p>
      <w:pPr>
        <w:pageBreakBefore w:val="0"/>
        <w:widowControl/>
        <w:kinsoku/>
        <w:wordWrap/>
        <w:overflowPunct/>
        <w:topLinePunct w:val="0"/>
        <w:autoSpaceDE/>
        <w:autoSpaceDN/>
        <w:bidi w:val="0"/>
        <w:adjustRightInd/>
        <w:snapToGrid/>
        <w:spacing w:line="70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p>
      <w:pPr>
        <w:pageBreakBefore w:val="0"/>
        <w:kinsoku/>
        <w:wordWrap/>
        <w:overflowPunct/>
        <w:topLinePunct w:val="0"/>
        <w:autoSpaceDE/>
        <w:autoSpaceDN/>
        <w:bidi w:val="0"/>
        <w:adjustRightInd/>
        <w:snapToGrid/>
        <w:spacing w:line="700" w:lineRule="exact"/>
        <w:jc w:val="center"/>
        <w:textAlignment w:val="auto"/>
        <w:rPr>
          <w:rFonts w:ascii="Arial" w:hAnsi="Arial" w:eastAsia="宋体" w:cs="Arial"/>
          <w:b/>
          <w:bCs/>
          <w:sz w:val="36"/>
          <w:szCs w:val="36"/>
        </w:rPr>
      </w:pPr>
      <w:r>
        <w:rPr>
          <w:rFonts w:hint="eastAsia" w:ascii="宋体" w:hAnsi="宋体" w:eastAsia="宋体" w:cs="Arial"/>
          <w:b/>
          <w:bCs/>
          <w:sz w:val="36"/>
          <w:szCs w:val="36"/>
          <w:lang w:eastAsia="zh-CN"/>
        </w:rPr>
        <w:t>霍城县政法委运转</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ageBreakBefore w:val="0"/>
        <w:kinsoku/>
        <w:wordWrap/>
        <w:overflowPunct/>
        <w:topLinePunct w:val="0"/>
        <w:autoSpaceDE/>
        <w:autoSpaceDN/>
        <w:bidi w:val="0"/>
        <w:adjustRightInd/>
        <w:snapToGrid/>
        <w:spacing w:line="700" w:lineRule="exact"/>
        <w:jc w:val="center"/>
        <w:textAlignment w:val="auto"/>
        <w:rPr>
          <w:rFonts w:ascii="仿宋_GB2312"/>
          <w:szCs w:val="30"/>
        </w:rPr>
      </w:pPr>
    </w:p>
    <w:p>
      <w:pPr>
        <w:pStyle w:val="3"/>
        <w:pageBreakBefore w:val="0"/>
        <w:kinsoku/>
        <w:wordWrap/>
        <w:overflowPunct/>
        <w:topLinePunct w:val="0"/>
        <w:autoSpaceDE/>
        <w:autoSpaceDN/>
        <w:bidi w:val="0"/>
        <w:adjustRightInd/>
        <w:snapToGrid/>
        <w:spacing w:line="700" w:lineRule="exact"/>
        <w:ind w:left="0" w:leftChars="0" w:firstLine="601" w:firstLineChars="187"/>
        <w:textAlignment w:val="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bCs/>
        </w:rPr>
      </w:pPr>
      <w:bookmarkStart w:id="1" w:name="_Toc68703828"/>
      <w:r>
        <w:rPr>
          <w:rFonts w:hint="eastAsia" w:ascii="仿宋_GB2312" w:eastAsia="仿宋_GB2312"/>
          <w:b w:val="0"/>
          <w:bCs w:val="0"/>
        </w:rPr>
        <w:t>（一）项目概况。</w:t>
      </w:r>
      <w:bookmarkEnd w:id="1"/>
    </w:p>
    <w:p>
      <w:pPr>
        <w:pageBreakBefore w:val="0"/>
        <w:numPr>
          <w:ilvl w:val="0"/>
          <w:numId w:val="1"/>
        </w:numPr>
        <w:kinsoku/>
        <w:wordWrap/>
        <w:overflowPunct/>
        <w:topLinePunct w:val="0"/>
        <w:autoSpaceDE/>
        <w:autoSpaceDN/>
        <w:bidi w:val="0"/>
        <w:adjustRightInd/>
        <w:snapToGrid/>
        <w:spacing w:line="700" w:lineRule="exact"/>
        <w:ind w:firstLine="600" w:firstLineChars="200"/>
        <w:textAlignment w:val="auto"/>
        <w:rPr>
          <w:rFonts w:hint="eastAsia" w:ascii="仿宋_GB2312"/>
        </w:rPr>
      </w:pPr>
      <w:r>
        <w:rPr>
          <w:rFonts w:hint="eastAsia" w:ascii="仿宋_GB2312"/>
        </w:rPr>
        <w:t>项目背景</w:t>
      </w:r>
    </w:p>
    <w:p>
      <w:pPr>
        <w:pageBreakBefore w:val="0"/>
        <w:kinsoku/>
        <w:wordWrap/>
        <w:overflowPunct/>
        <w:topLinePunct w:val="0"/>
        <w:autoSpaceDE/>
        <w:autoSpaceDN/>
        <w:bidi w:val="0"/>
        <w:adjustRightInd/>
        <w:snapToGrid/>
        <w:spacing w:line="700" w:lineRule="exact"/>
        <w:ind w:firstLine="600" w:firstLineChars="200"/>
        <w:textAlignment w:val="auto"/>
        <w:rPr>
          <w:rFonts w:hint="eastAsia" w:ascii="仿宋_GB2312"/>
          <w:lang w:eastAsia="zh-CN"/>
        </w:rPr>
      </w:pPr>
      <w:r>
        <w:rPr>
          <w:rFonts w:hint="eastAsia" w:ascii="仿宋_GB2312"/>
        </w:rPr>
        <w:t>党的十八大以来，以习近平同志为</w:t>
      </w:r>
      <w:r>
        <w:rPr>
          <w:rFonts w:hint="eastAsia" w:ascii="仿宋_GB2312"/>
          <w:lang w:eastAsia="zh-CN"/>
        </w:rPr>
        <w:t>核心</w:t>
      </w:r>
      <w:r>
        <w:rPr>
          <w:rFonts w:hint="eastAsia" w:ascii="仿宋_GB2312"/>
        </w:rPr>
        <w:t>的党中央立足新疆改革发展稳定，提出把社会稳定和长治久安作为新疆工作的着眼点和着力点。作为伊犁州西部边境县，霍城县的社会治安压力逐渐增大，对新形势下社会治理能力提出了新的要求，迄需</w:t>
      </w:r>
      <w:r>
        <w:rPr>
          <w:rFonts w:hint="eastAsia" w:ascii="仿宋_GB2312"/>
          <w:lang w:eastAsia="zh-CN"/>
        </w:rPr>
        <w:t>地方财政加大政法工作保障经费投入并列入年度预算，切实加强政法委日常办公经费保障，以确保各项社会治安综合治理措施落实到位，全力夯实霍城稳定。</w:t>
      </w:r>
    </w:p>
    <w:p>
      <w:pPr>
        <w:pageBreakBefore w:val="0"/>
        <w:kinsoku/>
        <w:wordWrap/>
        <w:overflowPunct/>
        <w:topLinePunct w:val="0"/>
        <w:autoSpaceDE/>
        <w:autoSpaceDN/>
        <w:bidi w:val="0"/>
        <w:adjustRightInd/>
        <w:snapToGrid/>
        <w:spacing w:line="700" w:lineRule="exact"/>
        <w:ind w:firstLine="600" w:firstLineChars="200"/>
        <w:textAlignment w:val="auto"/>
        <w:rPr>
          <w:rFonts w:ascii="仿宋_GB2312"/>
        </w:rPr>
      </w:pPr>
      <w:r>
        <w:rPr>
          <w:rFonts w:hint="eastAsia" w:ascii="仿宋_GB2312"/>
        </w:rPr>
        <w:t>2、主要内容</w:t>
      </w:r>
      <w:r>
        <w:rPr>
          <w:rFonts w:hint="eastAsia"/>
        </w:rPr>
        <w:t>及</w:t>
      </w:r>
      <w:r>
        <w:rPr>
          <w:rFonts w:hint="eastAsia" w:ascii="仿宋_GB2312"/>
        </w:rPr>
        <w:t>实施情况</w:t>
      </w:r>
    </w:p>
    <w:p>
      <w:pPr>
        <w:pageBreakBefore w:val="0"/>
        <w:kinsoku/>
        <w:wordWrap/>
        <w:overflowPunct/>
        <w:topLinePunct w:val="0"/>
        <w:autoSpaceDE/>
        <w:autoSpaceDN/>
        <w:bidi w:val="0"/>
        <w:adjustRightInd/>
        <w:snapToGrid/>
        <w:spacing w:line="700" w:lineRule="exact"/>
        <w:ind w:firstLine="600" w:firstLineChars="200"/>
        <w:textAlignment w:val="auto"/>
        <w:rPr>
          <w:rFonts w:ascii="仿宋_GB2312"/>
          <w:color w:val="FF0000"/>
        </w:rPr>
      </w:pPr>
      <w:r>
        <w:rPr>
          <w:rFonts w:hint="eastAsia" w:ascii="仿宋_GB2312"/>
        </w:rPr>
        <w:t>主要内容：保障</w:t>
      </w:r>
      <w:r>
        <w:rPr>
          <w:rFonts w:hint="eastAsia" w:ascii="仿宋_GB2312"/>
          <w:lang w:eastAsia="zh-CN"/>
        </w:rPr>
        <w:t>政法委办公场所</w:t>
      </w:r>
      <w:r>
        <w:rPr>
          <w:rFonts w:hint="eastAsia" w:ascii="仿宋_GB2312"/>
        </w:rPr>
        <w:t>供电电费</w:t>
      </w:r>
      <w:r>
        <w:rPr>
          <w:rFonts w:hint="eastAsia" w:ascii="仿宋_GB2312"/>
          <w:lang w:eastAsia="zh-CN"/>
        </w:rPr>
        <w:t>、公务用车</w:t>
      </w:r>
      <w:r>
        <w:rPr>
          <w:rFonts w:hint="eastAsia" w:ascii="仿宋_GB2312"/>
        </w:rPr>
        <w:t>车辆燃油费用</w:t>
      </w:r>
      <w:r>
        <w:rPr>
          <w:rFonts w:hint="eastAsia" w:ascii="仿宋_GB2312"/>
          <w:lang w:eastAsia="zh-CN"/>
        </w:rPr>
        <w:t>、办公楼内视频链路</w:t>
      </w:r>
      <w:r>
        <w:rPr>
          <w:rFonts w:hint="eastAsia" w:ascii="仿宋_GB2312"/>
        </w:rPr>
        <w:t>等费用。</w:t>
      </w:r>
    </w:p>
    <w:p>
      <w:pPr>
        <w:pageBreakBefore w:val="0"/>
        <w:kinsoku/>
        <w:wordWrap/>
        <w:overflowPunct/>
        <w:topLinePunct w:val="0"/>
        <w:autoSpaceDE/>
        <w:autoSpaceDN/>
        <w:bidi w:val="0"/>
        <w:adjustRightInd/>
        <w:snapToGrid/>
        <w:spacing w:line="700" w:lineRule="exact"/>
        <w:ind w:firstLine="600" w:firstLineChars="200"/>
        <w:textAlignment w:val="auto"/>
        <w:rPr>
          <w:rFonts w:hint="eastAsia" w:ascii="仿宋_GB2312"/>
          <w:color w:val="auto"/>
        </w:rPr>
      </w:pPr>
      <w:r>
        <w:rPr>
          <w:rFonts w:hint="eastAsia" w:ascii="仿宋_GB2312"/>
        </w:rPr>
        <w:t>实施情况：</w:t>
      </w:r>
      <w:r>
        <w:rPr>
          <w:rFonts w:hint="eastAsia" w:ascii="仿宋_GB2312"/>
          <w:color w:val="auto"/>
        </w:rPr>
        <w:t>2022年项目总投入50.00万元，全年共支付电费</w:t>
      </w:r>
      <w:r>
        <w:rPr>
          <w:rFonts w:hint="eastAsia" w:ascii="仿宋_GB2312"/>
          <w:color w:val="auto"/>
          <w:lang w:val="en-US" w:eastAsia="zh-CN"/>
        </w:rPr>
        <w:t>25</w:t>
      </w:r>
      <w:r>
        <w:rPr>
          <w:rFonts w:hint="eastAsia" w:ascii="仿宋_GB2312"/>
          <w:color w:val="auto"/>
        </w:rPr>
        <w:t>万元、车辆运行费用1</w:t>
      </w:r>
      <w:r>
        <w:rPr>
          <w:rFonts w:hint="eastAsia" w:ascii="仿宋_GB2312"/>
          <w:color w:val="auto"/>
          <w:lang w:val="en-US" w:eastAsia="zh-CN"/>
        </w:rPr>
        <w:t>5</w:t>
      </w:r>
      <w:r>
        <w:rPr>
          <w:rFonts w:hint="eastAsia" w:ascii="仿宋_GB2312"/>
          <w:color w:val="auto"/>
        </w:rPr>
        <w:t>万元、</w:t>
      </w:r>
      <w:r>
        <w:rPr>
          <w:rFonts w:hint="eastAsia" w:ascii="仿宋_GB2312"/>
          <w:color w:val="auto"/>
          <w:lang w:eastAsia="zh-CN"/>
        </w:rPr>
        <w:t>视频链路费用</w:t>
      </w:r>
      <w:r>
        <w:rPr>
          <w:rFonts w:hint="eastAsia" w:ascii="仿宋_GB2312"/>
          <w:color w:val="auto"/>
          <w:lang w:val="en-US" w:eastAsia="zh-CN"/>
        </w:rPr>
        <w:t>10</w:t>
      </w:r>
      <w:r>
        <w:rPr>
          <w:rFonts w:hint="eastAsia" w:ascii="仿宋_GB2312"/>
          <w:color w:val="auto"/>
        </w:rPr>
        <w:t>万元。通过本项目实施，为</w:t>
      </w:r>
      <w:r>
        <w:rPr>
          <w:rFonts w:hint="eastAsia" w:ascii="仿宋_GB2312"/>
          <w:color w:val="auto"/>
          <w:lang w:eastAsia="zh-CN"/>
        </w:rPr>
        <w:t>政法委</w:t>
      </w:r>
      <w:r>
        <w:rPr>
          <w:rFonts w:hint="eastAsia" w:ascii="仿宋_GB2312"/>
          <w:color w:val="auto"/>
        </w:rPr>
        <w:t>日常办公提供了有力保障，确保了各项业务工作正常有序开展。</w:t>
      </w:r>
    </w:p>
    <w:p>
      <w:pPr>
        <w:pageBreakBefore w:val="0"/>
        <w:kinsoku/>
        <w:wordWrap/>
        <w:overflowPunct/>
        <w:topLinePunct w:val="0"/>
        <w:autoSpaceDE/>
        <w:autoSpaceDN/>
        <w:bidi w:val="0"/>
        <w:adjustRightInd/>
        <w:snapToGrid/>
        <w:spacing w:line="700" w:lineRule="exact"/>
        <w:ind w:firstLine="600" w:firstLineChars="200"/>
        <w:textAlignment w:val="auto"/>
        <w:rPr>
          <w:rFonts w:ascii="仿宋_GB2312"/>
        </w:rPr>
      </w:pPr>
      <w:r>
        <w:rPr>
          <w:rFonts w:ascii="仿宋_GB2312"/>
        </w:rPr>
        <w:t>3</w:t>
      </w:r>
      <w:r>
        <w:rPr>
          <w:rFonts w:hint="eastAsia" w:ascii="仿宋_GB2312"/>
        </w:rPr>
        <w:t>、资金投入和使用情况</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rPr>
        <w:t>资金投入情况：</w:t>
      </w:r>
      <w:r>
        <w:rPr>
          <w:rFonts w:hint="eastAsia"/>
          <w:color w:val="auto"/>
        </w:rPr>
        <w:t>该项目年初预算数</w:t>
      </w:r>
      <w:r>
        <w:rPr>
          <w:rFonts w:hint="eastAsia"/>
          <w:color w:val="auto"/>
          <w:lang w:val="en-US" w:eastAsia="zh-CN"/>
        </w:rPr>
        <w:t>50.00</w:t>
      </w:r>
      <w:r>
        <w:rPr>
          <w:rFonts w:hint="eastAsia"/>
          <w:color w:val="auto"/>
        </w:rPr>
        <w:t xml:space="preserve">万元，全年预算数 </w:t>
      </w:r>
      <w:r>
        <w:rPr>
          <w:color w:val="auto"/>
        </w:rPr>
        <w:t xml:space="preserve">   </w:t>
      </w:r>
      <w:r>
        <w:rPr>
          <w:rFonts w:hint="eastAsia"/>
          <w:color w:val="auto"/>
          <w:lang w:val="en-US" w:eastAsia="zh-CN"/>
        </w:rPr>
        <w:t>50.00</w:t>
      </w:r>
      <w:r>
        <w:rPr>
          <w:rFonts w:hint="eastAsia"/>
          <w:color w:val="auto"/>
        </w:rPr>
        <w:t>万元，资金来源为</w:t>
      </w:r>
      <w:r>
        <w:rPr>
          <w:rFonts w:hint="eastAsia"/>
          <w:color w:val="auto"/>
          <w:lang w:val="en-US" w:eastAsia="zh-CN"/>
        </w:rPr>
        <w:t>财政预算拨款</w:t>
      </w:r>
      <w:r>
        <w:rPr>
          <w:rFonts w:hint="eastAsia"/>
          <w:color w:val="auto"/>
        </w:rPr>
        <w:t>。</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rPr>
        <w:t>资金使用情况：</w:t>
      </w:r>
      <w:r>
        <w:rPr>
          <w:rFonts w:hint="eastAsia"/>
          <w:color w:val="auto"/>
        </w:rPr>
        <w:t>该项目年初预算数</w:t>
      </w:r>
      <w:r>
        <w:rPr>
          <w:rFonts w:hint="eastAsia"/>
          <w:color w:val="auto"/>
          <w:lang w:val="en-US" w:eastAsia="zh-CN"/>
        </w:rPr>
        <w:t>50.00</w:t>
      </w:r>
      <w:r>
        <w:rPr>
          <w:rFonts w:hint="eastAsia"/>
          <w:color w:val="auto"/>
        </w:rPr>
        <w:t xml:space="preserve">万元，全年预算数 </w:t>
      </w:r>
      <w:r>
        <w:rPr>
          <w:color w:val="auto"/>
        </w:rPr>
        <w:t xml:space="preserve">   </w:t>
      </w:r>
      <w:r>
        <w:rPr>
          <w:rFonts w:hint="eastAsia"/>
          <w:color w:val="auto"/>
          <w:lang w:val="en-US" w:eastAsia="zh-CN"/>
        </w:rPr>
        <w:t>50.00</w:t>
      </w:r>
      <w:r>
        <w:rPr>
          <w:rFonts w:hint="eastAsia"/>
          <w:color w:val="auto"/>
        </w:rPr>
        <w:t>万元，全年执行数</w:t>
      </w:r>
      <w:r>
        <w:rPr>
          <w:rFonts w:hint="eastAsia"/>
          <w:color w:val="auto"/>
          <w:lang w:val="en-US" w:eastAsia="zh-CN"/>
        </w:rPr>
        <w:t>50.00</w:t>
      </w:r>
      <w:r>
        <w:rPr>
          <w:rFonts w:hint="eastAsia"/>
          <w:color w:val="auto"/>
        </w:rPr>
        <w:t>万元，预算执行率为</w:t>
      </w:r>
      <w:r>
        <w:rPr>
          <w:rFonts w:hint="eastAsia"/>
          <w:color w:val="auto"/>
          <w:lang w:val="en-US" w:eastAsia="zh-CN"/>
        </w:rPr>
        <w:t>100.00</w:t>
      </w:r>
      <w:r>
        <w:rPr>
          <w:rFonts w:hint="eastAsia"/>
          <w:color w:val="auto"/>
        </w:rPr>
        <w:t>%，用于：</w:t>
      </w:r>
      <w:r>
        <w:rPr>
          <w:rFonts w:hint="eastAsia"/>
          <w:color w:val="auto"/>
          <w:lang w:eastAsia="zh-CN"/>
        </w:rPr>
        <w:t>全年</w:t>
      </w:r>
      <w:r>
        <w:rPr>
          <w:rFonts w:hint="eastAsia" w:ascii="仿宋_GB2312"/>
          <w:color w:val="auto"/>
          <w:lang w:eastAsia="zh-CN"/>
        </w:rPr>
        <w:t>视频链路费用</w:t>
      </w:r>
      <w:r>
        <w:rPr>
          <w:rFonts w:hint="eastAsia" w:ascii="仿宋_GB2312"/>
          <w:color w:val="auto"/>
          <w:lang w:val="en-US" w:eastAsia="zh-CN"/>
        </w:rPr>
        <w:t>10万元、全年</w:t>
      </w:r>
      <w:r>
        <w:rPr>
          <w:rFonts w:hint="eastAsia" w:ascii="仿宋_GB2312"/>
          <w:color w:val="auto"/>
        </w:rPr>
        <w:t>电费</w:t>
      </w:r>
      <w:r>
        <w:rPr>
          <w:rFonts w:hint="eastAsia" w:ascii="仿宋_GB2312"/>
          <w:color w:val="auto"/>
          <w:lang w:val="en-US" w:eastAsia="zh-CN"/>
        </w:rPr>
        <w:t>25</w:t>
      </w:r>
      <w:r>
        <w:rPr>
          <w:rFonts w:hint="eastAsia" w:ascii="仿宋_GB2312"/>
          <w:color w:val="auto"/>
        </w:rPr>
        <w:t>万元、</w:t>
      </w:r>
      <w:r>
        <w:rPr>
          <w:rFonts w:hint="eastAsia" w:ascii="仿宋_GB2312"/>
          <w:color w:val="auto"/>
          <w:lang w:eastAsia="zh-CN"/>
        </w:rPr>
        <w:t>公务用车</w:t>
      </w:r>
      <w:r>
        <w:rPr>
          <w:rFonts w:hint="eastAsia" w:ascii="仿宋_GB2312"/>
          <w:color w:val="auto"/>
        </w:rPr>
        <w:t>费用</w:t>
      </w:r>
      <w:r>
        <w:rPr>
          <w:rFonts w:hint="eastAsia" w:ascii="仿宋_GB2312"/>
          <w:color w:val="auto"/>
          <w:lang w:eastAsia="zh-CN"/>
        </w:rPr>
        <w:t>支出</w:t>
      </w:r>
      <w:r>
        <w:rPr>
          <w:rFonts w:hint="eastAsia" w:ascii="仿宋_GB2312"/>
          <w:color w:val="auto"/>
        </w:rPr>
        <w:t>1</w:t>
      </w:r>
      <w:r>
        <w:rPr>
          <w:rFonts w:hint="eastAsia" w:ascii="仿宋_GB2312"/>
          <w:color w:val="auto"/>
          <w:lang w:val="en-US" w:eastAsia="zh-CN"/>
        </w:rPr>
        <w:t>5</w:t>
      </w:r>
      <w:r>
        <w:rPr>
          <w:rFonts w:hint="eastAsia" w:ascii="仿宋_GB2312"/>
          <w:color w:val="auto"/>
        </w:rPr>
        <w:t>万元</w:t>
      </w:r>
      <w:r>
        <w:rPr>
          <w:rFonts w:hint="eastAsia"/>
          <w:color w:val="auto"/>
        </w:rPr>
        <w:t>。</w:t>
      </w:r>
    </w:p>
    <w:p>
      <w:pPr>
        <w:pStyle w:val="4"/>
        <w:pageBreakBefore w:val="0"/>
        <w:kinsoku/>
        <w:wordWrap/>
        <w:overflowPunct/>
        <w:topLinePunct w:val="0"/>
        <w:autoSpaceDE/>
        <w:autoSpaceDN/>
        <w:bidi w:val="0"/>
        <w:adjustRightInd/>
        <w:snapToGrid/>
        <w:spacing w:line="700" w:lineRule="exact"/>
        <w:ind w:firstLine="640" w:firstLineChars="200"/>
        <w:textAlignment w:val="auto"/>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pageBreakBefore w:val="0"/>
        <w:kinsoku/>
        <w:wordWrap/>
        <w:overflowPunct/>
        <w:topLinePunct w:val="0"/>
        <w:autoSpaceDE/>
        <w:autoSpaceDN/>
        <w:bidi w:val="0"/>
        <w:adjustRightInd/>
        <w:snapToGrid/>
        <w:spacing w:line="700" w:lineRule="exact"/>
        <w:ind w:firstLine="600" w:firstLineChars="200"/>
        <w:textAlignment w:val="auto"/>
        <w:rPr>
          <w:rFonts w:hint="eastAsia"/>
        </w:rPr>
      </w:pPr>
      <w:r>
        <w:rPr>
          <w:rFonts w:hint="eastAsia"/>
        </w:rPr>
        <w:t>1、总体目标：为保障社会安定、人民安宁，推动霍城县政法工作高质量发展，加快建设更高水平的平安霍城、法治霍城，创造安全稳定的社会环境，一是研究制定2022年度霍城县全局性工作计划和部署，加强组织领导，层层落实责任，进一步形成齐抓共管政法工作和平安建设的格局。二是促进社会治理现代化，加强治安管理，进一步增强社会治安局势管控力度。三是充分发挥职能作用，努力化解各种矛盾纠纷，不断加强和改进群体性、突发性事件预防和处置工作，巩固安定团结的政治局面。四是促进政法队伍建设，提升队伍的整体素质和公正执法水平，促进社会公平正义和人民群众满意度。</w:t>
      </w:r>
    </w:p>
    <w:p>
      <w:pPr>
        <w:pageBreakBefore w:val="0"/>
        <w:kinsoku/>
        <w:wordWrap/>
        <w:overflowPunct/>
        <w:topLinePunct w:val="0"/>
        <w:autoSpaceDE/>
        <w:autoSpaceDN/>
        <w:bidi w:val="0"/>
        <w:adjustRightInd/>
        <w:snapToGrid/>
        <w:spacing w:line="700" w:lineRule="exact"/>
        <w:ind w:firstLine="600" w:firstLineChars="200"/>
        <w:textAlignment w:val="auto"/>
        <w:rPr>
          <w:rFonts w:hint="eastAsia"/>
        </w:rPr>
      </w:pPr>
      <w:r>
        <w:t>2</w:t>
      </w:r>
      <w:r>
        <w:rPr>
          <w:rFonts w:hint="eastAsia"/>
        </w:rPr>
        <w:t>、阶段性目标：</w:t>
      </w:r>
    </w:p>
    <w:p>
      <w:pPr>
        <w:pageBreakBefore w:val="0"/>
        <w:kinsoku/>
        <w:wordWrap/>
        <w:overflowPunct/>
        <w:topLinePunct w:val="0"/>
        <w:autoSpaceDE/>
        <w:autoSpaceDN/>
        <w:bidi w:val="0"/>
        <w:adjustRightInd/>
        <w:snapToGrid/>
        <w:spacing w:line="700" w:lineRule="exact"/>
        <w:ind w:firstLine="600" w:firstLineChars="200"/>
        <w:textAlignment w:val="auto"/>
        <w:rPr>
          <w:rFonts w:hint="eastAsia"/>
        </w:rPr>
      </w:pPr>
      <w:r>
        <w:rPr>
          <w:rFonts w:hint="eastAsia"/>
          <w:lang w:eastAsia="zh-CN"/>
        </w:rPr>
        <w:t>通过项目的实施，</w:t>
      </w:r>
      <w:r>
        <w:rPr>
          <w:rFonts w:hint="eastAsia"/>
        </w:rPr>
        <w:t>一是加强调研，做好了2022年度霍城县全局性工作计划和部署，加强了组织领导，层层落实责任，进一步形成齐抓共管政法工作和平安建设的格局。二是扎实做好社会面防控工作，建强群防群治力量，强化网格化管理运用，促进了社会治理现代化，社会治安局势管控力度进一步得到了增强。三是创新发展新时代“枫桥经验”，健全社会矛盾排查和隐患防控协同机制，努力化解各种矛盾纠纷，不断加强和改进群体性、突发性事件预防和处置工作，职能作用得到充分发挥，巩固了安定团结的政治局面。四是持续强化政法队伍建设，着力锻造一支对党忠诚、服务人民、执法公正、纪律严明的政法铁军，促进了社会公平正义和人民群众满意度。</w:t>
      </w:r>
    </w:p>
    <w:p>
      <w:pPr>
        <w:pStyle w:val="3"/>
        <w:pageBreakBefore w:val="0"/>
        <w:kinsoku/>
        <w:wordWrap/>
        <w:overflowPunct/>
        <w:topLinePunct w:val="0"/>
        <w:autoSpaceDE/>
        <w:autoSpaceDN/>
        <w:bidi w:val="0"/>
        <w:adjustRightInd/>
        <w:snapToGrid/>
        <w:spacing w:line="700" w:lineRule="exact"/>
        <w:ind w:left="0" w:leftChars="0" w:firstLine="601" w:firstLineChars="187"/>
        <w:textAlignment w:val="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ageBreakBefore w:val="0"/>
        <w:kinsoku/>
        <w:wordWrap/>
        <w:overflowPunct/>
        <w:topLinePunct w:val="0"/>
        <w:autoSpaceDE/>
        <w:autoSpaceDN/>
        <w:bidi w:val="0"/>
        <w:adjustRightInd/>
        <w:snapToGrid/>
        <w:spacing w:line="700" w:lineRule="exact"/>
        <w:ind w:left="0" w:leftChars="0" w:firstLine="561" w:firstLineChars="187"/>
        <w:textAlignment w:val="auto"/>
      </w:pPr>
      <w:r>
        <w:rPr>
          <w:rFonts w:hint="eastAsia"/>
        </w:rPr>
        <w:t>1、绩效评价目的：</w:t>
      </w:r>
    </w:p>
    <w:p>
      <w:pPr>
        <w:pageBreakBefore w:val="0"/>
        <w:kinsoku/>
        <w:wordWrap/>
        <w:overflowPunct/>
        <w:topLinePunct w:val="0"/>
        <w:autoSpaceDE/>
        <w:autoSpaceDN/>
        <w:bidi w:val="0"/>
        <w:adjustRightInd/>
        <w:snapToGrid/>
        <w:spacing w:line="700" w:lineRule="exact"/>
        <w:ind w:left="0" w:leftChars="0" w:firstLine="598" w:firstLineChars="187"/>
        <w:jc w:val="left"/>
        <w:textAlignment w:val="auto"/>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eastAsia="zh-CN"/>
        </w:rPr>
        <w:t>霍城县政法委运转项目</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ageBreakBefore w:val="0"/>
        <w:kinsoku/>
        <w:wordWrap/>
        <w:overflowPunct/>
        <w:topLinePunct w:val="0"/>
        <w:autoSpaceDE/>
        <w:autoSpaceDN/>
        <w:bidi w:val="0"/>
        <w:adjustRightInd/>
        <w:snapToGrid/>
        <w:spacing w:line="700" w:lineRule="exact"/>
        <w:ind w:left="0" w:leftChars="0" w:firstLine="561" w:firstLineChars="187"/>
        <w:jc w:val="left"/>
        <w:textAlignment w:val="auto"/>
      </w:pPr>
      <w:r>
        <w:rPr>
          <w:rFonts w:hint="eastAsia"/>
        </w:rPr>
        <w:t>2、绩效评价对象：</w:t>
      </w:r>
    </w:p>
    <w:p>
      <w:pPr>
        <w:pageBreakBefore w:val="0"/>
        <w:kinsoku/>
        <w:wordWrap/>
        <w:overflowPunct/>
        <w:topLinePunct w:val="0"/>
        <w:autoSpaceDE/>
        <w:autoSpaceDN/>
        <w:bidi w:val="0"/>
        <w:adjustRightInd/>
        <w:snapToGrid/>
        <w:spacing w:line="700" w:lineRule="exact"/>
        <w:ind w:left="0" w:leftChars="0" w:firstLine="561" w:firstLineChars="187"/>
        <w:textAlignment w:val="auto"/>
        <w:rPr>
          <w:rFonts w:hint="eastAsia"/>
          <w:color w:val="auto"/>
          <w:lang w:eastAsia="zh-CN"/>
        </w:rPr>
      </w:pPr>
      <w:r>
        <w:rPr>
          <w:rFonts w:hint="eastAsia"/>
          <w:color w:val="auto"/>
          <w:lang w:eastAsia="zh-CN"/>
        </w:rPr>
        <w:t>霍城县运转项目。</w:t>
      </w:r>
    </w:p>
    <w:p>
      <w:pPr>
        <w:pageBreakBefore w:val="0"/>
        <w:kinsoku/>
        <w:wordWrap/>
        <w:overflowPunct/>
        <w:topLinePunct w:val="0"/>
        <w:autoSpaceDE/>
        <w:autoSpaceDN/>
        <w:bidi w:val="0"/>
        <w:adjustRightInd/>
        <w:snapToGrid/>
        <w:spacing w:line="700" w:lineRule="exact"/>
        <w:ind w:left="0" w:leftChars="0" w:firstLine="561" w:firstLineChars="187"/>
        <w:textAlignment w:val="auto"/>
      </w:pPr>
      <w:r>
        <w:rPr>
          <w:rFonts w:hint="eastAsia"/>
        </w:rPr>
        <w:t>3、绩效评价范围：</w:t>
      </w:r>
    </w:p>
    <w:p>
      <w:pPr>
        <w:pageBreakBefore w:val="0"/>
        <w:kinsoku/>
        <w:wordWrap/>
        <w:overflowPunct/>
        <w:topLinePunct w:val="0"/>
        <w:autoSpaceDE/>
        <w:autoSpaceDN/>
        <w:bidi w:val="0"/>
        <w:adjustRightInd/>
        <w:snapToGrid/>
        <w:spacing w:line="700" w:lineRule="exact"/>
        <w:ind w:left="0" w:leftChars="0" w:firstLine="561" w:firstLineChars="187"/>
        <w:textAlignment w:val="auto"/>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eastAsia="zh-CN"/>
        </w:rPr>
        <w:t>霍城县运转项目</w:t>
      </w:r>
      <w:r>
        <w:rPr>
          <w:rFonts w:hint="eastAsia"/>
          <w:color w:val="auto"/>
        </w:rPr>
        <w:t>评价，评价核心为专项资金的支出完成情况和效果。</w:t>
      </w:r>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1、绩效评价原则</w:t>
      </w:r>
    </w:p>
    <w:p>
      <w:pPr>
        <w:pageBreakBefore w:val="0"/>
        <w:kinsoku/>
        <w:wordWrap/>
        <w:overflowPunct/>
        <w:topLinePunct w:val="0"/>
        <w:autoSpaceDE/>
        <w:autoSpaceDN/>
        <w:bidi w:val="0"/>
        <w:adjustRightInd/>
        <w:snapToGrid/>
        <w:spacing w:line="700" w:lineRule="exact"/>
        <w:ind w:firstLine="640"/>
        <w:textAlignment w:val="auto"/>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700" w:lineRule="exact"/>
        <w:ind w:firstLine="640"/>
        <w:textAlignment w:val="auto"/>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pageBreakBefore w:val="0"/>
        <w:kinsoku/>
        <w:wordWrap/>
        <w:overflowPunct/>
        <w:topLinePunct w:val="0"/>
        <w:autoSpaceDE/>
        <w:autoSpaceDN/>
        <w:bidi w:val="0"/>
        <w:adjustRightInd/>
        <w:snapToGrid/>
        <w:spacing w:line="700" w:lineRule="exact"/>
        <w:ind w:firstLine="640"/>
        <w:textAlignment w:val="auto"/>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700" w:lineRule="exact"/>
        <w:ind w:firstLine="640"/>
        <w:textAlignment w:val="auto"/>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霍城县人民政府</w:t>
      </w:r>
      <w:r>
        <w:rPr>
          <w:rFonts w:hint="eastAsia" w:ascii="仿宋_GB2312"/>
          <w:bCs/>
          <w:color w:val="auto"/>
          <w:sz w:val="32"/>
          <w:szCs w:val="32"/>
        </w:rPr>
        <w:t>网站上，并自觉接受社会监督。</w:t>
      </w:r>
    </w:p>
    <w:p>
      <w:pPr>
        <w:pageBreakBefore w:val="0"/>
        <w:kinsoku/>
        <w:wordWrap/>
        <w:overflowPunct/>
        <w:topLinePunct w:val="0"/>
        <w:autoSpaceDE/>
        <w:autoSpaceDN/>
        <w:bidi w:val="0"/>
        <w:adjustRightInd/>
        <w:snapToGrid/>
        <w:spacing w:line="700" w:lineRule="exact"/>
        <w:textAlignment w:val="auto"/>
      </w:pPr>
    </w:p>
    <w:p>
      <w:pPr>
        <w:pageBreakBefore w:val="0"/>
        <w:kinsoku/>
        <w:wordWrap/>
        <w:overflowPunct/>
        <w:topLinePunct w:val="0"/>
        <w:autoSpaceDE/>
        <w:autoSpaceDN/>
        <w:bidi w:val="0"/>
        <w:adjustRightInd/>
        <w:snapToGrid/>
        <w:spacing w:line="700" w:lineRule="exact"/>
        <w:ind w:left="0" w:leftChars="0" w:firstLine="900" w:firstLineChars="300"/>
        <w:textAlignment w:val="auto"/>
      </w:pPr>
      <w:r>
        <w:rPr>
          <w:rFonts w:hint="eastAsia"/>
        </w:rPr>
        <w:t>2、评价指标体系（附表说明）</w:t>
      </w:r>
    </w:p>
    <w:p>
      <w:pPr>
        <w:pStyle w:val="4"/>
        <w:pageBreakBefore w:val="0"/>
        <w:kinsoku/>
        <w:wordWrap/>
        <w:overflowPunct/>
        <w:topLinePunct w:val="0"/>
        <w:autoSpaceDE/>
        <w:autoSpaceDN/>
        <w:bidi w:val="0"/>
        <w:adjustRightInd/>
        <w:snapToGrid/>
        <w:spacing w:before="0" w:after="0" w:line="700" w:lineRule="exact"/>
        <w:jc w:val="center"/>
        <w:textAlignment w:val="auto"/>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eastAsia="zh-CN"/>
        </w:rPr>
        <w:t>霍城县运转</w:t>
      </w:r>
      <w:r>
        <w:rPr>
          <w:rFonts w:hint="eastAsia" w:ascii="Times New Roman" w:hAnsi="Times New Roman" w:eastAsia="仿宋_GB2312" w:cs="Times New Roman"/>
          <w:b w:val="0"/>
          <w:bCs w:val="0"/>
          <w:sz w:val="30"/>
          <w:szCs w:val="24"/>
        </w:rPr>
        <w:t>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立项依据</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立项程序</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c>
          <w:tcPr>
            <w:tcW w:w="874" w:type="dxa"/>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绩效目标</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c>
          <w:tcPr>
            <w:tcW w:w="874" w:type="dxa"/>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绩效指标</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资金投入</w:t>
            </w:r>
          </w:p>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预算编制</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w:t>
            </w:r>
          </w:p>
        </w:tc>
        <w:tc>
          <w:tcPr>
            <w:tcW w:w="874" w:type="dxa"/>
            <w:tcBorders>
              <w:bottom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资金分配</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w:t>
            </w:r>
          </w:p>
        </w:tc>
        <w:tc>
          <w:tcPr>
            <w:tcW w:w="874" w:type="dxa"/>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资金使用</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组织实施</w:t>
            </w:r>
          </w:p>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管理制度</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制度执行</w:t>
            </w:r>
          </w:p>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10</w:t>
            </w:r>
          </w:p>
        </w:tc>
        <w:tc>
          <w:tcPr>
            <w:tcW w:w="874" w:type="dxa"/>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9</w:t>
            </w:r>
          </w:p>
        </w:tc>
        <w:tc>
          <w:tcPr>
            <w:tcW w:w="874" w:type="dxa"/>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shd w:val="clear" w:color="auto" w:fill="FFFFFF"/>
            <w:vAlign w:val="center"/>
          </w:tcPr>
          <w:p>
            <w:pPr>
              <w:pageBreakBefore w:val="0"/>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8</w:t>
            </w:r>
          </w:p>
        </w:tc>
        <w:tc>
          <w:tcPr>
            <w:tcW w:w="874" w:type="dxa"/>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8</w:t>
            </w:r>
          </w:p>
        </w:tc>
        <w:tc>
          <w:tcPr>
            <w:tcW w:w="874" w:type="dxa"/>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13</w:t>
            </w:r>
          </w:p>
        </w:tc>
        <w:tc>
          <w:tcPr>
            <w:tcW w:w="874" w:type="dxa"/>
            <w:shd w:val="clear" w:color="auto"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700" w:lineRule="exact"/>
              <w:jc w:val="both"/>
              <w:textAlignment w:val="auto"/>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12</w:t>
            </w:r>
          </w:p>
        </w:tc>
        <w:tc>
          <w:tcPr>
            <w:tcW w:w="874" w:type="dxa"/>
            <w:shd w:val="clear" w:color="000000" w:fill="FFFFFF"/>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lang w:val="en-US" w:eastAsia="zh-CN"/>
              </w:rPr>
            </w:pPr>
            <w:r>
              <w:rPr>
                <w:rFonts w:hint="eastAsia"/>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700" w:lineRule="exact"/>
              <w:jc w:val="center"/>
              <w:textAlignment w:val="auto"/>
              <w:rPr>
                <w:rFonts w:ascii="宋体" w:hAnsi="宋体" w:cs="宋体"/>
                <w:color w:val="000000"/>
                <w:kern w:val="0"/>
                <w:sz w:val="22"/>
              </w:rPr>
            </w:pPr>
          </w:p>
        </w:tc>
        <w:tc>
          <w:tcPr>
            <w:tcW w:w="990" w:type="dxa"/>
            <w:tcBorders>
              <w:lef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hint="default" w:ascii="Times New Roman" w:hAnsi="Times New Roman" w:eastAsia="仿宋_GB2312" w:cs="Times New Roman"/>
                <w:color w:val="000000"/>
                <w:kern w:val="0"/>
                <w:sz w:val="30"/>
                <w:szCs w:val="30"/>
                <w:lang w:val="en-US" w:eastAsia="zh-CN"/>
              </w:rPr>
            </w:pPr>
            <w:r>
              <w:rPr>
                <w:rFonts w:hint="default" w:ascii="Times New Roman" w:hAnsi="Times New Roman" w:cs="Times New Roman"/>
                <w:color w:val="000000"/>
                <w:kern w:val="0"/>
                <w:sz w:val="30"/>
                <w:szCs w:val="30"/>
                <w:lang w:val="en-US" w:eastAsia="zh-CN"/>
              </w:rPr>
              <w:t>100</w:t>
            </w:r>
          </w:p>
        </w:tc>
        <w:tc>
          <w:tcPr>
            <w:tcW w:w="874" w:type="dxa"/>
            <w:shd w:val="clear" w:color="auto" w:fill="FFFFFF"/>
            <w:vAlign w:val="center"/>
          </w:tcPr>
          <w:p>
            <w:pPr>
              <w:pageBreakBefore w:val="0"/>
              <w:widowControl/>
              <w:kinsoku/>
              <w:wordWrap/>
              <w:overflowPunct/>
              <w:topLinePunct w:val="0"/>
              <w:autoSpaceDE/>
              <w:autoSpaceDN/>
              <w:bidi w:val="0"/>
              <w:adjustRightInd/>
              <w:snapToGrid/>
              <w:spacing w:line="700" w:lineRule="exact"/>
              <w:jc w:val="center"/>
              <w:textAlignment w:val="auto"/>
              <w:rPr>
                <w:rFonts w:hint="default" w:ascii="Times New Roman" w:hAnsi="Times New Roman" w:eastAsia="仿宋_GB2312" w:cs="Times New Roman"/>
                <w:color w:val="000000"/>
                <w:kern w:val="0"/>
                <w:sz w:val="30"/>
                <w:szCs w:val="30"/>
                <w:lang w:val="en-US" w:eastAsia="zh-CN"/>
              </w:rPr>
            </w:pPr>
            <w:r>
              <w:rPr>
                <w:rFonts w:hint="default" w:ascii="Times New Roman" w:hAnsi="Times New Roman" w:cs="Times New Roman"/>
                <w:color w:val="000000"/>
                <w:kern w:val="0"/>
                <w:sz w:val="30"/>
                <w:szCs w:val="30"/>
                <w:lang w:val="en-US" w:eastAsia="zh-CN"/>
              </w:rPr>
              <w:t>100</w:t>
            </w:r>
          </w:p>
        </w:tc>
      </w:tr>
    </w:tbl>
    <w:p>
      <w:pPr>
        <w:pageBreakBefore w:val="0"/>
        <w:kinsoku/>
        <w:wordWrap/>
        <w:overflowPunct/>
        <w:topLinePunct w:val="0"/>
        <w:autoSpaceDE/>
        <w:autoSpaceDN/>
        <w:bidi w:val="0"/>
        <w:adjustRightInd/>
        <w:snapToGrid/>
        <w:spacing w:line="700" w:lineRule="exact"/>
        <w:textAlignment w:val="auto"/>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3、评价方法</w:t>
      </w:r>
    </w:p>
    <w:p>
      <w:pPr>
        <w:pageBreakBefore w:val="0"/>
        <w:kinsoku/>
        <w:wordWrap/>
        <w:overflowPunct/>
        <w:topLinePunct w:val="0"/>
        <w:autoSpaceDE/>
        <w:autoSpaceDN/>
        <w:bidi w:val="0"/>
        <w:adjustRightInd/>
        <w:snapToGrid/>
        <w:spacing w:line="700" w:lineRule="exact"/>
        <w:ind w:firstLine="640" w:firstLineChars="200"/>
        <w:textAlignment w:val="auto"/>
        <w:rPr>
          <w:rFonts w:hint="eastAsia"/>
          <w:bCs/>
          <w:color w:val="auto"/>
          <w:sz w:val="32"/>
          <w:szCs w:val="32"/>
        </w:rPr>
      </w:pPr>
      <w:r>
        <w:rPr>
          <w:rFonts w:hint="eastAsia"/>
          <w:bCs/>
          <w:color w:val="auto"/>
          <w:sz w:val="32"/>
          <w:szCs w:val="32"/>
        </w:rPr>
        <w:t>本次项目支出绩效评价采用成本效益分析法方法，原因是：</w:t>
      </w:r>
    </w:p>
    <w:p>
      <w:pPr>
        <w:pageBreakBefore w:val="0"/>
        <w:kinsoku/>
        <w:wordWrap/>
        <w:overflowPunct/>
        <w:topLinePunct w:val="0"/>
        <w:autoSpaceDE/>
        <w:autoSpaceDN/>
        <w:bidi w:val="0"/>
        <w:adjustRightInd/>
        <w:snapToGrid/>
        <w:spacing w:line="700" w:lineRule="exact"/>
        <w:textAlignment w:val="auto"/>
        <w:rPr>
          <w:bCs/>
          <w:color w:val="auto"/>
          <w:sz w:val="32"/>
          <w:szCs w:val="32"/>
        </w:rPr>
      </w:pPr>
      <w:r>
        <w:rPr>
          <w:rFonts w:hint="eastAsia"/>
          <w:bCs/>
          <w:color w:val="auto"/>
          <w:sz w:val="32"/>
          <w:szCs w:val="32"/>
        </w:rPr>
        <w:t>本次项目评价将投入成本指标</w:t>
      </w:r>
      <w:r>
        <w:rPr>
          <w:rFonts w:hint="eastAsia"/>
          <w:bCs/>
          <w:color w:val="auto"/>
          <w:sz w:val="32"/>
          <w:szCs w:val="32"/>
          <w:lang w:eastAsia="zh-CN"/>
        </w:rPr>
        <w:t>全年视频链路费用、全年电费、公务用车费用支出</w:t>
      </w:r>
      <w:r>
        <w:rPr>
          <w:rFonts w:hint="eastAsia"/>
          <w:bCs/>
          <w:color w:val="auto"/>
          <w:sz w:val="32"/>
          <w:szCs w:val="32"/>
        </w:rPr>
        <w:t>与项目产出指标</w:t>
      </w:r>
      <w:r>
        <w:rPr>
          <w:rFonts w:hint="eastAsia"/>
          <w:bCs/>
          <w:color w:val="auto"/>
          <w:sz w:val="32"/>
          <w:szCs w:val="32"/>
          <w:lang w:eastAsia="zh-CN"/>
        </w:rPr>
        <w:t>房屋建筑面积</w:t>
      </w:r>
      <w:r>
        <w:rPr>
          <w:rFonts w:hint="eastAsia"/>
          <w:bCs/>
          <w:color w:val="auto"/>
          <w:sz w:val="32"/>
          <w:szCs w:val="32"/>
        </w:rPr>
        <w:t>、</w:t>
      </w:r>
      <w:r>
        <w:rPr>
          <w:rFonts w:hint="eastAsia"/>
          <w:bCs/>
          <w:color w:val="auto"/>
          <w:sz w:val="32"/>
          <w:szCs w:val="32"/>
          <w:lang w:eastAsia="zh-CN"/>
        </w:rPr>
        <w:t>公务保障用车</w:t>
      </w:r>
      <w:r>
        <w:rPr>
          <w:rFonts w:hint="eastAsia"/>
          <w:bCs/>
          <w:color w:val="auto"/>
          <w:sz w:val="32"/>
          <w:szCs w:val="32"/>
        </w:rPr>
        <w:t>数量、</w:t>
      </w:r>
      <w:r>
        <w:rPr>
          <w:rFonts w:hint="eastAsia"/>
          <w:bCs/>
          <w:color w:val="auto"/>
          <w:sz w:val="32"/>
          <w:szCs w:val="32"/>
          <w:lang w:eastAsia="zh-CN"/>
        </w:rPr>
        <w:t>视频链路数量、保障办公场所正常运转</w:t>
      </w:r>
      <w:r>
        <w:rPr>
          <w:rFonts w:hint="eastAsia"/>
          <w:bCs/>
          <w:color w:val="auto"/>
          <w:sz w:val="32"/>
          <w:szCs w:val="32"/>
        </w:rPr>
        <w:t>率、</w:t>
      </w:r>
      <w:r>
        <w:rPr>
          <w:rFonts w:hint="eastAsia"/>
          <w:bCs/>
          <w:color w:val="auto"/>
          <w:sz w:val="32"/>
          <w:szCs w:val="32"/>
          <w:lang w:eastAsia="zh-CN"/>
        </w:rPr>
        <w:t>公用经费支付</w:t>
      </w:r>
      <w:r>
        <w:rPr>
          <w:rFonts w:hint="eastAsia"/>
          <w:bCs/>
          <w:color w:val="auto"/>
          <w:sz w:val="32"/>
          <w:szCs w:val="32"/>
        </w:rPr>
        <w:t>及时率</w:t>
      </w:r>
      <w:r>
        <w:rPr>
          <w:rFonts w:hint="eastAsia"/>
          <w:bCs/>
          <w:color w:val="auto"/>
          <w:sz w:val="32"/>
          <w:szCs w:val="32"/>
          <w:lang w:eastAsia="zh-CN"/>
        </w:rPr>
        <w:t>，</w:t>
      </w:r>
      <w:r>
        <w:rPr>
          <w:rFonts w:hint="eastAsia"/>
          <w:bCs/>
          <w:color w:val="auto"/>
          <w:sz w:val="32"/>
          <w:szCs w:val="32"/>
        </w:rPr>
        <w:t xml:space="preserve">与项目效益指标保障霍城县社会治理现代化工作有序开展进行了关联性分析。 </w:t>
      </w: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4、评价标准</w:t>
      </w:r>
    </w:p>
    <w:p>
      <w:pPr>
        <w:pageBreakBefore w:val="0"/>
        <w:kinsoku/>
        <w:wordWrap/>
        <w:overflowPunct/>
        <w:topLinePunct w:val="0"/>
        <w:autoSpaceDE/>
        <w:autoSpaceDN/>
        <w:bidi w:val="0"/>
        <w:adjustRightInd/>
        <w:snapToGrid/>
        <w:spacing w:line="700" w:lineRule="exact"/>
        <w:ind w:left="0" w:leftChars="0" w:firstLine="640" w:firstLineChars="200"/>
        <w:textAlignment w:val="auto"/>
        <w:rPr>
          <w:bCs/>
          <w:color w:val="auto"/>
          <w:sz w:val="32"/>
          <w:szCs w:val="32"/>
          <w:highlight w:val="none"/>
        </w:rPr>
      </w:pPr>
      <w:r>
        <w:rPr>
          <w:rFonts w:hint="eastAsia"/>
          <w:bCs/>
          <w:color w:val="auto"/>
          <w:sz w:val="32"/>
          <w:szCs w:val="32"/>
          <w:highlight w:val="none"/>
        </w:rPr>
        <w:t>本项目绩效评价采用计划标准、预算支出标准。原因是：（1）</w:t>
      </w:r>
      <w:r>
        <w:rPr>
          <w:rFonts w:hint="eastAsia"/>
          <w:bCs/>
          <w:color w:val="auto"/>
          <w:sz w:val="32"/>
          <w:szCs w:val="32"/>
          <w:highlight w:val="none"/>
          <w:lang w:eastAsia="zh-CN"/>
        </w:rPr>
        <w:t>年初通过项目测算和评估，并结合往年公用经费支出比例，对</w:t>
      </w:r>
      <w:r>
        <w:rPr>
          <w:rFonts w:hint="eastAsia"/>
          <w:bCs/>
          <w:color w:val="auto"/>
          <w:sz w:val="32"/>
          <w:szCs w:val="32"/>
          <w:highlight w:val="none"/>
        </w:rPr>
        <w:t>数量指标、质量指标、时效指标、社会效益指标、满意度指标采用计划标准评价；（2）</w:t>
      </w:r>
      <w:r>
        <w:rPr>
          <w:rFonts w:hint="eastAsia"/>
          <w:bCs/>
          <w:color w:val="auto"/>
          <w:sz w:val="32"/>
          <w:szCs w:val="32"/>
          <w:highlight w:val="none"/>
          <w:lang w:eastAsia="zh-CN"/>
        </w:rPr>
        <w:t>年初结合预算编制内容，对</w:t>
      </w:r>
      <w:r>
        <w:rPr>
          <w:rFonts w:hint="eastAsia"/>
          <w:bCs/>
          <w:color w:val="auto"/>
          <w:sz w:val="32"/>
          <w:szCs w:val="32"/>
          <w:highlight w:val="none"/>
        </w:rPr>
        <w:t>成本指标采用预算支出标准评价。</w:t>
      </w:r>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pageBreakBefore w:val="0"/>
        <w:kinsoku/>
        <w:wordWrap/>
        <w:overflowPunct/>
        <w:topLinePunct w:val="0"/>
        <w:autoSpaceDE/>
        <w:autoSpaceDN/>
        <w:bidi w:val="0"/>
        <w:adjustRightInd/>
        <w:snapToGrid/>
        <w:spacing w:line="700" w:lineRule="exact"/>
        <w:ind w:left="0" w:leftChars="0" w:firstLine="561" w:firstLineChars="187"/>
        <w:textAlignment w:val="auto"/>
      </w:pPr>
      <w:r>
        <w:rPr>
          <w:rFonts w:hint="eastAsia"/>
        </w:rPr>
        <w:t>1、前期准备：</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pageBreakBefore w:val="0"/>
        <w:kinsoku/>
        <w:wordWrap/>
        <w:overflowPunct/>
        <w:topLinePunct w:val="0"/>
        <w:autoSpaceDE/>
        <w:autoSpaceDN/>
        <w:bidi w:val="0"/>
        <w:adjustRightInd/>
        <w:snapToGrid/>
        <w:spacing w:line="700" w:lineRule="exact"/>
        <w:textAlignment w:val="auto"/>
        <w:rPr>
          <w:color w:val="auto"/>
        </w:rPr>
      </w:pPr>
      <w:r>
        <w:rPr>
          <w:color w:val="auto"/>
        </w:rPr>
        <w:t>2</w:t>
      </w:r>
      <w:r>
        <w:rPr>
          <w:rFonts w:hint="eastAsia"/>
          <w:color w:val="auto"/>
        </w:rPr>
        <w:t>、组织实施：</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pageBreakBefore w:val="0"/>
        <w:kinsoku/>
        <w:wordWrap/>
        <w:overflowPunct/>
        <w:topLinePunct w:val="0"/>
        <w:autoSpaceDE/>
        <w:autoSpaceDN/>
        <w:bidi w:val="0"/>
        <w:adjustRightInd/>
        <w:snapToGrid/>
        <w:spacing w:line="700" w:lineRule="exact"/>
        <w:textAlignment w:val="auto"/>
        <w:rPr>
          <w:color w:val="auto"/>
        </w:rPr>
      </w:pPr>
      <w:r>
        <w:rPr>
          <w:rFonts w:hint="eastAsia"/>
          <w:color w:val="auto"/>
        </w:rPr>
        <w:t>3、分析评价：</w:t>
      </w:r>
    </w:p>
    <w:p>
      <w:pPr>
        <w:pageBreakBefore w:val="0"/>
        <w:kinsoku/>
        <w:wordWrap/>
        <w:overflowPunct/>
        <w:topLinePunct w:val="0"/>
        <w:autoSpaceDE/>
        <w:autoSpaceDN/>
        <w:bidi w:val="0"/>
        <w:adjustRightInd/>
        <w:snapToGrid/>
        <w:spacing w:line="700" w:lineRule="exact"/>
        <w:ind w:firstLine="600" w:firstLineChars="200"/>
        <w:textAlignment w:val="auto"/>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color w:val="auto"/>
        </w:rPr>
        <w:t xml:space="preserve"> </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pageBreakBefore w:val="0"/>
        <w:kinsoku/>
        <w:wordWrap/>
        <w:overflowPunct/>
        <w:topLinePunct w:val="0"/>
        <w:autoSpaceDE/>
        <w:autoSpaceDN/>
        <w:bidi w:val="0"/>
        <w:adjustRightInd/>
        <w:snapToGrid/>
        <w:spacing w:line="700" w:lineRule="exact"/>
        <w:ind w:left="0" w:leftChars="0" w:firstLine="601" w:firstLineChars="187"/>
        <w:textAlignment w:val="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eastAsia="zh-CN"/>
        </w:rPr>
        <w:t>成本效益分析法</w:t>
      </w:r>
      <w:r>
        <w:rPr>
          <w:rFonts w:hint="eastAsia"/>
          <w:color w:val="auto"/>
        </w:rPr>
        <w:t>，坚持</w:t>
      </w:r>
      <w:r>
        <w:rPr>
          <w:rFonts w:hint="eastAsia"/>
          <w:color w:val="auto"/>
          <w:lang w:eastAsia="zh-CN"/>
        </w:rPr>
        <w:t>计划标准、预算支出标准，</w:t>
      </w:r>
      <w:r>
        <w:rPr>
          <w:rFonts w:hint="eastAsia"/>
          <w:color w:val="auto"/>
        </w:rPr>
        <w:t>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napToGrid/>
        <w:spacing w:line="700" w:lineRule="exact"/>
        <w:ind w:firstLine="600" w:firstLineChars="200"/>
        <w:jc w:val="center"/>
        <w:textAlignment w:val="auto"/>
        <w:rPr>
          <w:color w:val="auto"/>
        </w:rPr>
      </w:pPr>
      <w:r>
        <w:rPr>
          <w:rFonts w:hint="eastAsia"/>
          <w:color w:val="auto"/>
          <w:lang w:eastAsia="zh-CN"/>
        </w:rPr>
        <w:t>霍城县运转</w:t>
      </w:r>
      <w:r>
        <w:rPr>
          <w:rFonts w:hint="eastAsia"/>
          <w:color w:val="auto"/>
        </w:rPr>
        <w:t>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70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70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700" w:lineRule="exact"/>
              <w:jc w:val="center"/>
              <w:textAlignment w:val="auto"/>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10分</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10分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30分</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30分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35分</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35分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25分</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color w:val="000000"/>
                <w:sz w:val="22"/>
                <w:lang w:val="en-US" w:eastAsia="zh-CN"/>
              </w:rPr>
            </w:pPr>
            <w:r>
              <w:rPr>
                <w:rFonts w:hint="eastAsia"/>
                <w:color w:val="000000"/>
                <w:sz w:val="22"/>
                <w:lang w:val="en-US" w:eastAsia="zh-CN"/>
              </w:rPr>
              <w:t>25分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b/>
                <w:bCs/>
                <w:color w:val="000000"/>
                <w:sz w:val="22"/>
                <w:lang w:val="en-US" w:eastAsia="zh-CN"/>
              </w:rPr>
            </w:pPr>
            <w:r>
              <w:rPr>
                <w:rFonts w:hint="eastAsia"/>
                <w:b/>
                <w:bCs/>
                <w:color w:val="000000"/>
                <w:sz w:val="22"/>
                <w:lang w:val="en-US" w:eastAsia="zh-CN"/>
              </w:rPr>
              <w:t>100分</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700" w:lineRule="exact"/>
              <w:jc w:val="center"/>
              <w:textAlignment w:val="auto"/>
              <w:rPr>
                <w:rFonts w:hint="eastAsia" w:eastAsia="仿宋_GB2312"/>
                <w:b/>
                <w:bCs/>
                <w:color w:val="000000"/>
                <w:sz w:val="22"/>
                <w:lang w:val="en-US" w:eastAsia="zh-CN"/>
              </w:rPr>
            </w:pPr>
            <w:r>
              <w:rPr>
                <w:rFonts w:hint="eastAsia"/>
                <w:b/>
                <w:bCs/>
                <w:color w:val="000000"/>
                <w:sz w:val="22"/>
                <w:lang w:val="en-US" w:eastAsia="zh-CN"/>
              </w:rPr>
              <w:t>100分</w:t>
            </w:r>
          </w:p>
        </w:tc>
      </w:tr>
    </w:tbl>
    <w:p>
      <w:pPr>
        <w:pStyle w:val="4"/>
        <w:pageBreakBefore w:val="0"/>
        <w:kinsoku/>
        <w:wordWrap/>
        <w:overflowPunct/>
        <w:topLinePunct w:val="0"/>
        <w:autoSpaceDE/>
        <w:autoSpaceDN/>
        <w:bidi w:val="0"/>
        <w:adjustRightInd/>
        <w:snapToGrid/>
        <w:spacing w:line="700" w:lineRule="exact"/>
        <w:textAlignment w:val="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pageBreakBefore w:val="0"/>
        <w:kinsoku/>
        <w:wordWrap/>
        <w:overflowPunct/>
        <w:topLinePunct w:val="0"/>
        <w:autoSpaceDE/>
        <w:autoSpaceDN/>
        <w:bidi w:val="0"/>
        <w:adjustRightInd/>
        <w:snapToGrid/>
        <w:spacing w:line="700" w:lineRule="exact"/>
        <w:ind w:firstLine="600" w:firstLineChars="200"/>
        <w:textAlignment w:val="auto"/>
        <w:rPr>
          <w:color w:val="FF0000"/>
        </w:rPr>
      </w:pPr>
      <w:r>
        <w:rPr>
          <w:rFonts w:hint="eastAsia"/>
          <w:color w:val="auto"/>
        </w:rPr>
        <w:t>本项目的项目决策、项目过程、项目产出、项目效益均达到了预期要求，最终得分为100分，</w:t>
      </w:r>
      <w:r>
        <w:rPr>
          <w:rFonts w:hint="eastAsia"/>
          <w:color w:val="auto"/>
          <w:lang w:eastAsia="zh-CN"/>
        </w:rPr>
        <w:t>评价等级为优，</w:t>
      </w:r>
      <w:r>
        <w:rPr>
          <w:rFonts w:hint="eastAsia"/>
          <w:color w:val="auto"/>
        </w:rPr>
        <w:t>项目达成年度指标。</w:t>
      </w:r>
    </w:p>
    <w:p>
      <w:pPr>
        <w:pStyle w:val="3"/>
        <w:pageBreakBefore w:val="0"/>
        <w:kinsoku/>
        <w:wordWrap/>
        <w:overflowPunct/>
        <w:topLinePunct w:val="0"/>
        <w:autoSpaceDE/>
        <w:autoSpaceDN/>
        <w:bidi w:val="0"/>
        <w:adjustRightInd/>
        <w:snapToGrid/>
        <w:spacing w:line="700" w:lineRule="exact"/>
        <w:ind w:left="0" w:leftChars="0" w:firstLine="601" w:firstLineChars="187"/>
        <w:textAlignment w:val="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rPr>
      </w:pPr>
      <w:r>
        <w:rPr>
          <w:rFonts w:hint="eastAsia"/>
        </w:rPr>
        <w:t>1、立项依据充分性</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rPr>
      </w:pPr>
      <w:r>
        <w:rPr>
          <w:rFonts w:hint="eastAsia"/>
        </w:rPr>
        <w:t>霍城县</w:t>
      </w:r>
      <w:r>
        <w:rPr>
          <w:rFonts w:hint="eastAsia"/>
          <w:lang w:eastAsia="zh-CN"/>
        </w:rPr>
        <w:t>政法委</w:t>
      </w:r>
      <w:r>
        <w:rPr>
          <w:rFonts w:hint="eastAsia"/>
        </w:rPr>
        <w:t>运转项目立项根据《自治区保密委员关于开展涉密网络和涉密单机保密管理专项整改工作的通知》</w:t>
      </w:r>
      <w:r>
        <w:rPr>
          <w:rFonts w:hint="eastAsia"/>
          <w:lang w:eastAsia="zh-CN"/>
        </w:rPr>
        <w:t>、</w:t>
      </w:r>
      <w:r>
        <w:rPr>
          <w:rFonts w:hint="eastAsia"/>
        </w:rPr>
        <w:t>《自治区党政机关培训费管理暂行办法》、</w:t>
      </w:r>
      <w:r>
        <w:rPr>
          <w:rFonts w:hint="eastAsia"/>
          <w:lang w:eastAsia="zh-CN"/>
        </w:rPr>
        <w:t>《</w:t>
      </w:r>
      <w:r>
        <w:rPr>
          <w:rFonts w:hint="eastAsia"/>
        </w:rPr>
        <w:t>自治区本级行政事业单位通用办公设备配置标准、最低使用年限（暂行）</w:t>
      </w:r>
      <w:r>
        <w:rPr>
          <w:rFonts w:hint="eastAsia"/>
          <w:lang w:eastAsia="zh-CN"/>
        </w:rPr>
        <w:t>》</w:t>
      </w:r>
      <w:r>
        <w:rPr>
          <w:rFonts w:hint="eastAsia"/>
        </w:rPr>
        <w:t>、</w:t>
      </w:r>
      <w:r>
        <w:rPr>
          <w:rFonts w:hint="eastAsia"/>
          <w:lang w:eastAsia="zh-CN"/>
        </w:rPr>
        <w:t>《</w:t>
      </w:r>
      <w:r>
        <w:rPr>
          <w:rFonts w:hint="eastAsia"/>
        </w:rPr>
        <w:t>自治区本级行政事业单位通用办公家具配置标准、最低使用年限（暂行）</w:t>
      </w:r>
      <w:r>
        <w:rPr>
          <w:rFonts w:hint="eastAsia"/>
          <w:lang w:eastAsia="zh-CN"/>
        </w:rPr>
        <w:t>》</w:t>
      </w:r>
      <w:r>
        <w:rPr>
          <w:rFonts w:hint="eastAsia"/>
        </w:rPr>
        <w:t>、</w:t>
      </w:r>
      <w:r>
        <w:rPr>
          <w:rFonts w:hint="eastAsia"/>
          <w:lang w:eastAsia="zh-CN"/>
        </w:rPr>
        <w:t>《</w:t>
      </w:r>
      <w:r>
        <w:rPr>
          <w:rFonts w:hint="eastAsia"/>
        </w:rPr>
        <w:t>自治区政府购买服务指导性目录</w:t>
      </w:r>
      <w:r>
        <w:rPr>
          <w:rFonts w:hint="eastAsia"/>
          <w:lang w:eastAsia="zh-CN"/>
        </w:rPr>
        <w:t>》</w:t>
      </w:r>
      <w:r>
        <w:rPr>
          <w:rFonts w:hint="eastAsia"/>
        </w:rPr>
        <w:t>、《中华人民共和国合同法》</w:t>
      </w:r>
      <w:r>
        <w:rPr>
          <w:rFonts w:hint="eastAsia"/>
          <w:lang w:eastAsia="zh-CN"/>
        </w:rPr>
        <w:t>、</w:t>
      </w:r>
      <w:r>
        <w:rPr>
          <w:rFonts w:hint="eastAsia"/>
        </w:rPr>
        <w:t>《中华人民共和国律师法》《中华人民共和国公共安全行业标准的通知》和《中华人民共和国反恐</w:t>
      </w:r>
      <w:r>
        <w:rPr>
          <w:rFonts w:hint="eastAsia"/>
          <w:lang w:eastAsia="zh-CN"/>
        </w:rPr>
        <w:t>怖</w:t>
      </w:r>
      <w:r>
        <w:rPr>
          <w:rFonts w:hint="eastAsia"/>
        </w:rPr>
        <w:t>主义法》及《企业事业单位内部治安保卫条例》等相关要求测算。主要用于用于保密、应急、综治</w:t>
      </w:r>
      <w:bookmarkStart w:id="20" w:name="_GoBack"/>
      <w:bookmarkEnd w:id="20"/>
      <w:r>
        <w:rPr>
          <w:rFonts w:hint="eastAsia"/>
        </w:rPr>
        <w:t>维稳、安全生产工作管理、各类日常办公用品采购、办公设备购置维护、办公家具采购修缮、印刷、档案管理、业务知识培训、法律咨询、翻译劳务方面的开支，为全办日常办公提供有力保障，以确保各项业务工作正常有序开展。做到了；项目立项与部门职责范围相符，属于部门履职所需；项目属于公共财政支持范围，符合中央、地方事权支出责任划分原则</w:t>
      </w:r>
      <w:r>
        <w:rPr>
          <w:rFonts w:hint="eastAsia"/>
          <w:lang w:eastAsia="zh-CN"/>
        </w:rPr>
        <w:t>；</w:t>
      </w:r>
      <w:r>
        <w:rPr>
          <w:rFonts w:hint="eastAsia"/>
        </w:rPr>
        <w:t>项目与相关部门同类项目或部门内部相关项目不重复。</w:t>
      </w: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2、立项程序规范性</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color w:val="auto"/>
          <w:shd w:val="clear" w:color="auto" w:fill="auto"/>
        </w:rPr>
      </w:pPr>
      <w:r>
        <w:rPr>
          <w:rFonts w:hint="eastAsia"/>
          <w:color w:val="auto"/>
          <w:shd w:val="clear" w:color="auto" w:fill="auto"/>
        </w:rPr>
        <w:t>霍城县</w:t>
      </w:r>
      <w:r>
        <w:rPr>
          <w:rFonts w:hint="eastAsia"/>
          <w:color w:val="auto"/>
          <w:shd w:val="clear" w:color="auto" w:fill="auto"/>
          <w:lang w:eastAsia="zh-CN"/>
        </w:rPr>
        <w:t>政法委</w:t>
      </w:r>
      <w:r>
        <w:rPr>
          <w:rFonts w:hint="eastAsia"/>
          <w:color w:val="auto"/>
          <w:shd w:val="clear" w:color="auto" w:fill="auto"/>
        </w:rPr>
        <w:t>运转项目按照相关规定程序申请设立，审批文件、材料符合相关要求，事前经过必要的可行性研究、专家论证、风险评估、绩效评估和集体决策。</w:t>
      </w: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3、绩效目标合理性</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霍城县</w:t>
      </w:r>
      <w:r>
        <w:rPr>
          <w:rFonts w:hint="eastAsia"/>
          <w:color w:val="auto"/>
          <w:lang w:eastAsia="zh-CN"/>
        </w:rPr>
        <w:t>政法委</w:t>
      </w:r>
      <w:r>
        <w:rPr>
          <w:rFonts w:hint="eastAsia"/>
          <w:color w:val="auto"/>
        </w:rPr>
        <w:t>运转项目设立了项目绩效目标，与</w:t>
      </w:r>
      <w:r>
        <w:rPr>
          <w:rFonts w:hint="eastAsia"/>
          <w:color w:val="auto"/>
          <w:lang w:eastAsia="zh-CN"/>
        </w:rPr>
        <w:t>政法委业务</w:t>
      </w:r>
      <w:r>
        <w:rPr>
          <w:rFonts w:hint="eastAsia"/>
          <w:color w:val="auto"/>
        </w:rPr>
        <w:t>工作具有相关性，项目的预期产出效益和效果也均能符合正常的业绩水平，并且与预算确定的项目投资额或资金量相匹配。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4、绩效指标明确性</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霍城县</w:t>
      </w:r>
      <w:r>
        <w:rPr>
          <w:rFonts w:hint="eastAsia"/>
          <w:color w:val="auto"/>
          <w:lang w:eastAsia="zh-CN"/>
        </w:rPr>
        <w:t>政法委</w:t>
      </w:r>
      <w:r>
        <w:rPr>
          <w:rFonts w:hint="eastAsia"/>
          <w:color w:val="auto"/>
        </w:rPr>
        <w:t>运转项目将项目绩效目标细化分解为具体的绩效指标，一级指标共3条，二级指标共6条，三级指标共1</w:t>
      </w:r>
      <w:r>
        <w:rPr>
          <w:rFonts w:hint="eastAsia"/>
          <w:color w:val="auto"/>
          <w:lang w:val="en-US" w:eastAsia="zh-CN"/>
        </w:rPr>
        <w:t>0</w:t>
      </w:r>
      <w:r>
        <w:rPr>
          <w:rFonts w:hint="eastAsia"/>
          <w:color w:val="auto"/>
        </w:rPr>
        <w:t>条，其中量化指标条数共9条，所有绩效指标均通过清晰、可衡量的指标值予以体现，并且做到了与项目目标任务数或计划数相对应。</w:t>
      </w:r>
    </w:p>
    <w:p>
      <w:pPr>
        <w:pageBreakBefore w:val="0"/>
        <w:kinsoku/>
        <w:wordWrap/>
        <w:overflowPunct/>
        <w:topLinePunct w:val="0"/>
        <w:autoSpaceDE/>
        <w:autoSpaceDN/>
        <w:bidi w:val="0"/>
        <w:adjustRightInd/>
        <w:snapToGrid/>
        <w:spacing w:line="700" w:lineRule="exact"/>
        <w:ind w:left="0" w:leftChars="0" w:firstLine="600" w:firstLineChars="200"/>
        <w:textAlignment w:val="auto"/>
      </w:pPr>
      <w:r>
        <w:rPr>
          <w:rFonts w:hint="eastAsia"/>
        </w:rPr>
        <w:t>5、预算编制科学性</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color w:val="auto"/>
        </w:rPr>
      </w:pPr>
      <w:r>
        <w:rPr>
          <w:rFonts w:hint="eastAsia"/>
          <w:color w:val="auto"/>
        </w:rPr>
        <w:t>霍城县</w:t>
      </w:r>
      <w:r>
        <w:rPr>
          <w:rFonts w:hint="eastAsia"/>
          <w:color w:val="auto"/>
          <w:lang w:eastAsia="zh-CN"/>
        </w:rPr>
        <w:t>政法委</w:t>
      </w:r>
      <w:r>
        <w:rPr>
          <w:rFonts w:hint="eastAsia"/>
          <w:color w:val="auto"/>
        </w:rPr>
        <w:t>运转项目预算编制经过科学论证，预算内容与项目内容匹配，预算额度测算依据充分，按照计划标准编制，预算确定的项目资金量与边境管控工作任务相匹配。</w:t>
      </w:r>
    </w:p>
    <w:p>
      <w:pPr>
        <w:pageBreakBefore w:val="0"/>
        <w:numPr>
          <w:ilvl w:val="0"/>
          <w:numId w:val="2"/>
        </w:numPr>
        <w:kinsoku/>
        <w:wordWrap/>
        <w:overflowPunct/>
        <w:topLinePunct w:val="0"/>
        <w:autoSpaceDE/>
        <w:autoSpaceDN/>
        <w:bidi w:val="0"/>
        <w:adjustRightInd/>
        <w:snapToGrid/>
        <w:spacing w:line="700" w:lineRule="exact"/>
        <w:ind w:left="0" w:leftChars="0" w:firstLine="600" w:firstLineChars="200"/>
        <w:textAlignment w:val="auto"/>
        <w:rPr>
          <w:rFonts w:hint="eastAsia"/>
        </w:rPr>
      </w:pPr>
      <w:r>
        <w:rPr>
          <w:rFonts w:hint="eastAsia"/>
        </w:rPr>
        <w:t>资金分配合理性</w:t>
      </w:r>
      <w:bookmarkStart w:id="12" w:name="_Toc68703839"/>
    </w:p>
    <w:p>
      <w:pPr>
        <w:pageBreakBefore w:val="0"/>
        <w:numPr>
          <w:ilvl w:val="0"/>
          <w:numId w:val="0"/>
        </w:numPr>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b w:val="0"/>
          <w:bCs w:val="0"/>
          <w:color w:val="auto"/>
          <w:sz w:val="30"/>
          <w:szCs w:val="30"/>
          <w:shd w:val="clear" w:color="auto" w:fill="auto"/>
        </w:rPr>
      </w:pPr>
      <w:r>
        <w:rPr>
          <w:rFonts w:hint="eastAsia" w:ascii="仿宋" w:hAnsi="仿宋" w:eastAsia="仿宋" w:cs="仿宋"/>
          <w:b w:val="0"/>
          <w:bCs w:val="0"/>
          <w:color w:val="auto"/>
          <w:sz w:val="30"/>
          <w:szCs w:val="30"/>
          <w:shd w:val="clear" w:color="auto" w:fill="auto"/>
        </w:rPr>
        <w:t>霍城县边</w:t>
      </w:r>
      <w:r>
        <w:rPr>
          <w:rFonts w:hint="eastAsia" w:ascii="仿宋" w:hAnsi="仿宋" w:eastAsia="仿宋" w:cs="仿宋"/>
          <w:b w:val="0"/>
          <w:bCs w:val="0"/>
          <w:color w:val="auto"/>
          <w:sz w:val="30"/>
          <w:szCs w:val="30"/>
          <w:shd w:val="clear" w:color="auto" w:fill="auto"/>
          <w:lang w:eastAsia="zh-CN"/>
        </w:rPr>
        <w:t>政法委</w:t>
      </w:r>
      <w:r>
        <w:rPr>
          <w:rFonts w:hint="eastAsia" w:ascii="仿宋" w:hAnsi="仿宋" w:eastAsia="仿宋" w:cs="仿宋"/>
          <w:b w:val="0"/>
          <w:bCs w:val="0"/>
          <w:color w:val="auto"/>
          <w:sz w:val="30"/>
          <w:szCs w:val="30"/>
          <w:shd w:val="clear" w:color="auto" w:fill="auto"/>
        </w:rPr>
        <w:t>运转项目经过科学测算，预算资金分配依据充分，合理分配资金额度，与地方实际相适应。</w:t>
      </w:r>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r>
        <w:rPr>
          <w:rFonts w:hint="eastAsia" w:ascii="仿宋_GB2312" w:eastAsia="仿宋_GB2312"/>
          <w:b w:val="0"/>
          <w:bCs w:val="0"/>
        </w:rPr>
        <w:t>（二）项目过程情况。</w:t>
      </w:r>
      <w:bookmarkEnd w:id="12"/>
    </w:p>
    <w:p>
      <w:pPr>
        <w:pageBreakBefore w:val="0"/>
        <w:kinsoku/>
        <w:wordWrap/>
        <w:overflowPunct/>
        <w:topLinePunct w:val="0"/>
        <w:autoSpaceDE/>
        <w:autoSpaceDN/>
        <w:bidi w:val="0"/>
        <w:adjustRightInd/>
        <w:snapToGrid/>
        <w:spacing w:line="700" w:lineRule="exact"/>
        <w:ind w:left="0" w:leftChars="0" w:firstLine="561" w:firstLineChars="187"/>
        <w:textAlignment w:val="auto"/>
      </w:pPr>
      <w:r>
        <w:rPr>
          <w:rFonts w:hint="eastAsia"/>
        </w:rPr>
        <w:t>1、资金到位率：</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预算资金</w:t>
      </w:r>
      <w:r>
        <w:rPr>
          <w:rFonts w:hint="eastAsia"/>
          <w:color w:val="auto"/>
          <w:lang w:val="en-US" w:eastAsia="zh-CN"/>
        </w:rPr>
        <w:t>50.00</w:t>
      </w:r>
      <w:r>
        <w:rPr>
          <w:rFonts w:hint="eastAsia"/>
          <w:color w:val="auto"/>
        </w:rPr>
        <w:t>万元，实际到位资金</w:t>
      </w:r>
      <w:r>
        <w:rPr>
          <w:rFonts w:hint="eastAsia"/>
          <w:color w:val="auto"/>
          <w:lang w:val="en-US" w:eastAsia="zh-CN"/>
        </w:rPr>
        <w:t>50.00</w:t>
      </w:r>
      <w:r>
        <w:rPr>
          <w:rFonts w:hint="eastAsia"/>
          <w:color w:val="auto"/>
        </w:rPr>
        <w:t>万元，资金到位率</w:t>
      </w:r>
      <w:r>
        <w:rPr>
          <w:rFonts w:hint="eastAsia"/>
          <w:color w:val="auto"/>
          <w:lang w:val="en-US" w:eastAsia="zh-CN"/>
        </w:rPr>
        <w:t>100.00</w:t>
      </w:r>
      <w:r>
        <w:rPr>
          <w:rFonts w:hint="eastAsia"/>
          <w:color w:val="auto"/>
        </w:rPr>
        <w:t>%。</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color w:val="auto"/>
        </w:rPr>
      </w:pPr>
      <w:r>
        <w:rPr>
          <w:rFonts w:hint="eastAsia"/>
          <w:color w:val="auto"/>
        </w:rPr>
        <w:t>2、预算执行率</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eastAsia="仿宋_GB2312"/>
          <w:color w:val="auto"/>
          <w:lang w:val="en-US" w:eastAsia="zh-CN"/>
        </w:rPr>
      </w:pPr>
      <w:r>
        <w:rPr>
          <w:rFonts w:hint="eastAsia"/>
          <w:color w:val="auto"/>
        </w:rPr>
        <w:t>年初预算数</w:t>
      </w:r>
      <w:r>
        <w:rPr>
          <w:rFonts w:hint="eastAsia"/>
          <w:color w:val="auto"/>
          <w:lang w:val="en-US" w:eastAsia="zh-CN"/>
        </w:rPr>
        <w:t>50.00</w:t>
      </w:r>
      <w:r>
        <w:rPr>
          <w:rFonts w:hint="eastAsia"/>
          <w:color w:val="auto"/>
        </w:rPr>
        <w:t>万元，全年预算数</w:t>
      </w:r>
      <w:r>
        <w:rPr>
          <w:rFonts w:hint="eastAsia"/>
          <w:color w:val="auto"/>
          <w:lang w:val="en-US" w:eastAsia="zh-CN"/>
        </w:rPr>
        <w:t>50.00</w:t>
      </w:r>
      <w:r>
        <w:rPr>
          <w:rFonts w:hint="eastAsia"/>
          <w:color w:val="auto"/>
        </w:rPr>
        <w:t>万元，</w:t>
      </w:r>
      <w:r>
        <w:rPr>
          <w:rFonts w:hint="eastAsia"/>
          <w:color w:val="auto"/>
          <w:lang w:eastAsia="zh-CN"/>
        </w:rPr>
        <w:t>全年执行数</w:t>
      </w:r>
      <w:r>
        <w:rPr>
          <w:rFonts w:hint="eastAsia"/>
          <w:color w:val="auto"/>
          <w:lang w:val="en-US" w:eastAsia="zh-CN"/>
        </w:rPr>
        <w:t>50.00万元，</w:t>
      </w:r>
      <w:r>
        <w:rPr>
          <w:rFonts w:hint="eastAsia"/>
          <w:color w:val="auto"/>
        </w:rPr>
        <w:t>预算执行率为</w:t>
      </w:r>
      <w:r>
        <w:rPr>
          <w:rFonts w:hint="eastAsia"/>
          <w:color w:val="auto"/>
          <w:lang w:val="en-US" w:eastAsia="zh-CN"/>
        </w:rPr>
        <w:t>100.00</w:t>
      </w:r>
      <w:r>
        <w:rPr>
          <w:rFonts w:hint="eastAsia"/>
          <w:color w:val="auto"/>
        </w:rPr>
        <w:t>%</w:t>
      </w:r>
      <w:r>
        <w:rPr>
          <w:rFonts w:hint="eastAsia"/>
          <w:color w:val="auto"/>
          <w:lang w:eastAsia="zh-CN"/>
        </w:rPr>
        <w:t>。</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color w:val="auto"/>
        </w:rPr>
      </w:pPr>
      <w:r>
        <w:rPr>
          <w:rFonts w:hint="eastAsia"/>
          <w:color w:val="auto"/>
        </w:rPr>
        <w:t>3、资金使用合规性</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color w:val="auto"/>
        </w:rPr>
      </w:pPr>
      <w:r>
        <w:rPr>
          <w:rFonts w:hint="eastAsia"/>
          <w:color w:val="auto"/>
        </w:rPr>
        <w:t>本项目严格按照国家财经法规和财务管理制度以及有关专项资金管理办法的规定进行管理执行，资金的拨付审批程序和手续完整，符合项目预算批复或合同规定的用途，不存在截留、挤占、挪用、虚列支出等情况。</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color w:val="auto"/>
        </w:rPr>
      </w:pPr>
      <w:r>
        <w:rPr>
          <w:rFonts w:hint="eastAsia"/>
          <w:color w:val="auto"/>
        </w:rPr>
        <w:t>4、管理制度健全性</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color w:val="auto"/>
        </w:rPr>
      </w:pPr>
      <w:r>
        <w:rPr>
          <w:rFonts w:hint="eastAsia"/>
          <w:color w:val="auto"/>
        </w:rPr>
        <w:t>本项目制定了相应的财务和业务管理制度，并且合法、合规、完整。</w:t>
      </w:r>
    </w:p>
    <w:p>
      <w:pPr>
        <w:pageBreakBefore w:val="0"/>
        <w:numPr>
          <w:ilvl w:val="0"/>
          <w:numId w:val="3"/>
        </w:numPr>
        <w:kinsoku/>
        <w:wordWrap/>
        <w:overflowPunct/>
        <w:topLinePunct w:val="0"/>
        <w:autoSpaceDE/>
        <w:autoSpaceDN/>
        <w:bidi w:val="0"/>
        <w:adjustRightInd/>
        <w:snapToGrid/>
        <w:spacing w:line="700" w:lineRule="exact"/>
        <w:ind w:left="0" w:leftChars="0" w:firstLine="600" w:firstLineChars="200"/>
        <w:textAlignment w:val="auto"/>
        <w:rPr>
          <w:rFonts w:hint="eastAsia"/>
          <w:color w:val="auto"/>
        </w:rPr>
      </w:pPr>
      <w:r>
        <w:rPr>
          <w:rFonts w:hint="eastAsia"/>
          <w:color w:val="auto"/>
        </w:rPr>
        <w:t>制度执行有效性</w:t>
      </w:r>
      <w:bookmarkStart w:id="13" w:name="_Toc68703840"/>
    </w:p>
    <w:p>
      <w:pPr>
        <w:pageBreakBefore w:val="0"/>
        <w:numPr>
          <w:ilvl w:val="0"/>
          <w:numId w:val="0"/>
        </w:numPr>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本项目严格遵守相关法律法规和相关管理规定，项目支出手续完备，项目合同书、验收报告、技术鉴定等资料齐全并及时归档，项目实施的人员条件、场地设备、信息支撑等落实到位。</w:t>
      </w:r>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ascii="仿宋_GB2312" w:eastAsia="仿宋_GB2312"/>
          <w:b w:val="0"/>
          <w:bCs w:val="0"/>
        </w:rPr>
      </w:pPr>
      <w:r>
        <w:rPr>
          <w:rFonts w:hint="eastAsia" w:ascii="仿宋_GB2312" w:eastAsia="仿宋_GB2312"/>
          <w:b w:val="0"/>
          <w:bCs w:val="0"/>
        </w:rPr>
        <w:t>（三）项目产出情况。</w:t>
      </w:r>
      <w:bookmarkEnd w:id="13"/>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1、数量指标：指标1：房屋建筑面积，指标值：=4371平方米，实际完成值=437</w:t>
      </w:r>
      <w:r>
        <w:rPr>
          <w:rFonts w:hint="eastAsia"/>
          <w:color w:val="auto"/>
          <w:lang w:val="en-US" w:eastAsia="zh-CN"/>
        </w:rPr>
        <w:t>8</w:t>
      </w:r>
      <w:r>
        <w:rPr>
          <w:rFonts w:hint="eastAsia"/>
          <w:color w:val="auto"/>
        </w:rPr>
        <w:t>平方米，指标完成率</w:t>
      </w:r>
      <w:r>
        <w:rPr>
          <w:rFonts w:hint="eastAsia"/>
          <w:color w:val="auto"/>
          <w:lang w:val="en-US" w:eastAsia="zh-CN"/>
        </w:rPr>
        <w:t>100.16</w:t>
      </w:r>
      <w:r>
        <w:rPr>
          <w:rFonts w:hint="eastAsia"/>
          <w:color w:val="auto"/>
        </w:rPr>
        <w:t>%；指标2：公务保障用车数量，指标值：&gt;=11辆</w:t>
      </w:r>
      <w:r>
        <w:rPr>
          <w:color w:val="auto"/>
        </w:rPr>
        <w:t xml:space="preserve"> </w:t>
      </w:r>
      <w:r>
        <w:rPr>
          <w:rFonts w:hint="eastAsia"/>
          <w:color w:val="auto"/>
        </w:rPr>
        <w:t>，实际完成值</w:t>
      </w:r>
      <w:r>
        <w:rPr>
          <w:rFonts w:hint="eastAsia"/>
          <w:color w:val="auto"/>
          <w:lang w:val="en-US" w:eastAsia="zh-CN"/>
        </w:rPr>
        <w:t>=12辆</w:t>
      </w:r>
      <w:r>
        <w:rPr>
          <w:rFonts w:hint="eastAsia"/>
          <w:color w:val="auto"/>
        </w:rPr>
        <w:t>，指标完成率</w:t>
      </w:r>
      <w:r>
        <w:rPr>
          <w:rFonts w:hint="eastAsia"/>
          <w:color w:val="auto"/>
          <w:lang w:val="en-US" w:eastAsia="zh-CN"/>
        </w:rPr>
        <w:t>109.09</w:t>
      </w:r>
      <w:r>
        <w:rPr>
          <w:rFonts w:hint="eastAsia"/>
          <w:color w:val="auto"/>
        </w:rPr>
        <w:t>%；指标</w:t>
      </w:r>
      <w:r>
        <w:rPr>
          <w:rFonts w:hint="eastAsia"/>
          <w:color w:val="auto"/>
          <w:lang w:val="en-US" w:eastAsia="zh-CN"/>
        </w:rPr>
        <w:t>3</w:t>
      </w:r>
      <w:r>
        <w:rPr>
          <w:rFonts w:hint="eastAsia"/>
          <w:color w:val="auto"/>
        </w:rPr>
        <w:t>：</w:t>
      </w:r>
      <w:r>
        <w:rPr>
          <w:rFonts w:hint="eastAsia"/>
          <w:color w:val="auto"/>
          <w:lang w:eastAsia="zh-CN"/>
        </w:rPr>
        <w:t>视频链路</w:t>
      </w:r>
      <w:r>
        <w:rPr>
          <w:rFonts w:hint="eastAsia"/>
          <w:color w:val="auto"/>
        </w:rPr>
        <w:t>数量，指标值：&gt;=</w:t>
      </w:r>
      <w:r>
        <w:rPr>
          <w:rFonts w:hint="eastAsia"/>
          <w:color w:val="auto"/>
          <w:lang w:val="en-US" w:eastAsia="zh-CN"/>
        </w:rPr>
        <w:t>34条</w:t>
      </w:r>
      <w:r>
        <w:rPr>
          <w:color w:val="auto"/>
        </w:rPr>
        <w:t xml:space="preserve"> </w:t>
      </w:r>
      <w:r>
        <w:rPr>
          <w:rFonts w:hint="eastAsia"/>
          <w:color w:val="auto"/>
        </w:rPr>
        <w:t>，实际完成值</w:t>
      </w:r>
      <w:r>
        <w:rPr>
          <w:rFonts w:hint="eastAsia"/>
          <w:color w:val="auto"/>
          <w:lang w:val="en-US" w:eastAsia="zh-CN"/>
        </w:rPr>
        <w:t>=35条</w:t>
      </w:r>
      <w:r>
        <w:rPr>
          <w:rFonts w:hint="eastAsia"/>
          <w:color w:val="auto"/>
        </w:rPr>
        <w:t>，指标完成率</w:t>
      </w:r>
      <w:r>
        <w:rPr>
          <w:rFonts w:hint="eastAsia"/>
          <w:color w:val="auto"/>
          <w:lang w:val="en-US" w:eastAsia="zh-CN"/>
        </w:rPr>
        <w:t>102.94</w:t>
      </w:r>
      <w:r>
        <w:rPr>
          <w:rFonts w:hint="eastAsia"/>
          <w:color w:val="auto"/>
        </w:rPr>
        <w:t>%。</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color w:val="auto"/>
        </w:rPr>
        <w:t>2</w:t>
      </w:r>
      <w:r>
        <w:rPr>
          <w:rFonts w:hint="eastAsia"/>
          <w:color w:val="auto"/>
        </w:rPr>
        <w:t>、质量指标：指标1：保障办公场所正常运转率，指标值：≧95%，实际完成值</w:t>
      </w:r>
      <w:r>
        <w:rPr>
          <w:rFonts w:hint="eastAsia"/>
          <w:color w:val="auto"/>
          <w:lang w:val="en-US" w:eastAsia="zh-CN"/>
        </w:rPr>
        <w:t>=</w:t>
      </w:r>
      <w:r>
        <w:rPr>
          <w:rFonts w:hint="eastAsia"/>
          <w:color w:val="auto"/>
        </w:rPr>
        <w:t>95%，指标完成率</w:t>
      </w:r>
      <w:r>
        <w:rPr>
          <w:rFonts w:hint="eastAsia"/>
          <w:color w:val="auto"/>
          <w:lang w:val="en-US" w:eastAsia="zh-CN"/>
        </w:rPr>
        <w:t>100</w:t>
      </w:r>
      <w:r>
        <w:rPr>
          <w:color w:val="auto"/>
        </w:rPr>
        <w:t xml:space="preserve"> </w:t>
      </w:r>
      <w:r>
        <w:rPr>
          <w:rFonts w:hint="eastAsia"/>
          <w:color w:val="auto"/>
        </w:rPr>
        <w:t>%。</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3、时效指标：指标1：公用经费支付及时率，指标值：≧95%，实际完成值</w:t>
      </w:r>
      <w:r>
        <w:rPr>
          <w:rFonts w:hint="eastAsia"/>
          <w:color w:val="auto"/>
          <w:lang w:val="en-US" w:eastAsia="zh-CN"/>
        </w:rPr>
        <w:t>=</w:t>
      </w:r>
      <w:r>
        <w:rPr>
          <w:rFonts w:hint="eastAsia"/>
          <w:color w:val="auto"/>
        </w:rPr>
        <w:t>95%，指标完成率</w:t>
      </w:r>
      <w:r>
        <w:rPr>
          <w:rFonts w:hint="eastAsia"/>
          <w:color w:val="auto"/>
          <w:lang w:val="en-US" w:eastAsia="zh-CN"/>
        </w:rPr>
        <w:t>100</w:t>
      </w:r>
      <w:r>
        <w:rPr>
          <w:color w:val="auto"/>
        </w:rPr>
        <w:t xml:space="preserve"> </w:t>
      </w:r>
      <w:r>
        <w:rPr>
          <w:rFonts w:hint="eastAsia"/>
          <w:color w:val="auto"/>
        </w:rPr>
        <w:t>%。</w:t>
      </w:r>
    </w:p>
    <w:p>
      <w:pPr>
        <w:pageBreakBefore w:val="0"/>
        <w:kinsoku/>
        <w:wordWrap/>
        <w:overflowPunct/>
        <w:topLinePunct w:val="0"/>
        <w:autoSpaceDE/>
        <w:autoSpaceDN/>
        <w:bidi w:val="0"/>
        <w:adjustRightInd/>
        <w:snapToGrid/>
        <w:spacing w:line="700" w:lineRule="exact"/>
        <w:ind w:firstLine="600" w:firstLineChars="200"/>
        <w:textAlignment w:val="auto"/>
        <w:rPr>
          <w:color w:val="auto"/>
        </w:rPr>
      </w:pPr>
      <w:r>
        <w:rPr>
          <w:rFonts w:hint="eastAsia"/>
          <w:color w:val="auto"/>
        </w:rPr>
        <w:t>4、成本指标</w:t>
      </w:r>
      <w:bookmarkStart w:id="14" w:name="_Toc68703841"/>
      <w:r>
        <w:rPr>
          <w:rFonts w:hint="eastAsia"/>
          <w:color w:val="auto"/>
          <w:lang w:eastAsia="zh-CN"/>
        </w:rPr>
        <w:t>：</w:t>
      </w:r>
      <w:r>
        <w:rPr>
          <w:rFonts w:hint="eastAsia"/>
          <w:color w:val="auto"/>
        </w:rPr>
        <w:t>指标1：</w:t>
      </w:r>
      <w:r>
        <w:rPr>
          <w:rFonts w:hint="eastAsia"/>
          <w:color w:val="auto"/>
          <w:lang w:eastAsia="zh-CN"/>
        </w:rPr>
        <w:t>全年视频链路费用</w:t>
      </w:r>
      <w:r>
        <w:rPr>
          <w:rFonts w:hint="eastAsia"/>
          <w:color w:val="auto"/>
        </w:rPr>
        <w:t>，指标值：≤10万元，实际完成值=10万元，指标完成率</w:t>
      </w:r>
      <w:r>
        <w:rPr>
          <w:rFonts w:hint="eastAsia"/>
          <w:color w:val="auto"/>
          <w:lang w:val="en-US" w:eastAsia="zh-CN"/>
        </w:rPr>
        <w:t>100</w:t>
      </w:r>
      <w:r>
        <w:rPr>
          <w:rFonts w:hint="eastAsia"/>
          <w:color w:val="auto"/>
        </w:rPr>
        <w:t>%；指标2：</w:t>
      </w:r>
      <w:r>
        <w:rPr>
          <w:rFonts w:hint="eastAsia"/>
          <w:color w:val="auto"/>
          <w:lang w:eastAsia="zh-CN"/>
        </w:rPr>
        <w:t>全年电费</w:t>
      </w:r>
      <w:r>
        <w:rPr>
          <w:rFonts w:hint="eastAsia"/>
          <w:color w:val="auto"/>
        </w:rPr>
        <w:t>，指标值：≤25万元</w:t>
      </w:r>
      <w:r>
        <w:rPr>
          <w:color w:val="auto"/>
        </w:rPr>
        <w:t xml:space="preserve"> </w:t>
      </w:r>
      <w:r>
        <w:rPr>
          <w:rFonts w:hint="eastAsia"/>
          <w:color w:val="auto"/>
        </w:rPr>
        <w:t>，实际完成值</w:t>
      </w:r>
      <w:r>
        <w:rPr>
          <w:rFonts w:hint="eastAsia"/>
          <w:color w:val="auto"/>
          <w:lang w:val="en-US" w:eastAsia="zh-CN"/>
        </w:rPr>
        <w:t>=25万元</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3</w:t>
      </w:r>
      <w:r>
        <w:rPr>
          <w:rFonts w:hint="eastAsia"/>
          <w:color w:val="auto"/>
        </w:rPr>
        <w:t>：</w:t>
      </w:r>
      <w:r>
        <w:rPr>
          <w:rFonts w:hint="eastAsia"/>
          <w:color w:val="auto"/>
          <w:lang w:eastAsia="zh-CN"/>
        </w:rPr>
        <w:t>公务用车费用支出</w:t>
      </w:r>
      <w:r>
        <w:rPr>
          <w:rFonts w:hint="eastAsia"/>
          <w:color w:val="auto"/>
        </w:rPr>
        <w:t>，指标值：≤15万元</w:t>
      </w:r>
      <w:r>
        <w:rPr>
          <w:color w:val="auto"/>
        </w:rPr>
        <w:t xml:space="preserve"> </w:t>
      </w:r>
      <w:r>
        <w:rPr>
          <w:rFonts w:hint="eastAsia"/>
          <w:color w:val="auto"/>
        </w:rPr>
        <w:t>，实际完成值</w:t>
      </w:r>
      <w:r>
        <w:rPr>
          <w:rFonts w:hint="eastAsia"/>
          <w:color w:val="auto"/>
          <w:lang w:val="en-US" w:eastAsia="zh-CN"/>
        </w:rPr>
        <w:t>=15万元</w:t>
      </w:r>
      <w:r>
        <w:rPr>
          <w:rFonts w:hint="eastAsia"/>
          <w:color w:val="auto"/>
        </w:rPr>
        <w:t>，指标完成率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700" w:lineRule="exact"/>
        <w:ind w:firstLine="600" w:firstLineChars="200"/>
        <w:textAlignment w:val="auto"/>
        <w:rPr>
          <w:rFonts w:ascii="仿宋_GB2312" w:eastAsia="仿宋_GB2312"/>
          <w:b w:val="0"/>
          <w:bCs w:val="0"/>
          <w:color w:val="auto"/>
        </w:rPr>
      </w:pPr>
      <w:r>
        <w:rPr>
          <w:rFonts w:hint="eastAsia" w:ascii="仿宋_GB2312" w:eastAsia="仿宋_GB2312"/>
          <w:b w:val="0"/>
          <w:bCs w:val="0"/>
          <w:color w:val="auto"/>
        </w:rPr>
        <w:t>（四）项目效益情况。</w:t>
      </w:r>
      <w:bookmarkEnd w:id="14"/>
    </w:p>
    <w:p>
      <w:pPr>
        <w:pageBreakBefore w:val="0"/>
        <w:kinsoku/>
        <w:wordWrap/>
        <w:overflowPunct/>
        <w:topLinePunct w:val="0"/>
        <w:autoSpaceDE/>
        <w:autoSpaceDN/>
        <w:bidi w:val="0"/>
        <w:adjustRightInd/>
        <w:snapToGrid/>
        <w:spacing w:line="700" w:lineRule="exact"/>
        <w:ind w:firstLine="600" w:firstLineChars="200"/>
        <w:textAlignment w:val="auto"/>
        <w:rPr>
          <w:rFonts w:hint="eastAsia" w:eastAsia="仿宋_GB2312"/>
          <w:color w:val="auto"/>
          <w:lang w:eastAsia="zh-CN"/>
        </w:rPr>
      </w:pPr>
      <w:r>
        <w:rPr>
          <w:color w:val="auto"/>
        </w:rPr>
        <w:t>1</w:t>
      </w:r>
      <w:r>
        <w:rPr>
          <w:rFonts w:hint="eastAsia"/>
          <w:color w:val="auto"/>
        </w:rPr>
        <w:t>、社会效益指标：指标1：保障霍城县社会治理现代化工作有序开展，指标值：</w:t>
      </w:r>
      <w:r>
        <w:rPr>
          <w:rFonts w:hint="eastAsia"/>
          <w:color w:val="auto"/>
          <w:lang w:eastAsia="zh-CN"/>
        </w:rPr>
        <w:t>有效保障</w:t>
      </w:r>
      <w:r>
        <w:rPr>
          <w:rFonts w:hint="eastAsia"/>
          <w:color w:val="auto"/>
        </w:rPr>
        <w:t>，实际完成值</w:t>
      </w:r>
      <w:r>
        <w:rPr>
          <w:rFonts w:hint="eastAsia"/>
          <w:color w:val="auto"/>
          <w:lang w:eastAsia="zh-CN"/>
        </w:rPr>
        <w:t>：有效保障</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color w:val="auto"/>
        </w:rPr>
      </w:pPr>
      <w:r>
        <w:rPr>
          <w:rFonts w:hint="eastAsia"/>
          <w:color w:val="auto"/>
          <w:lang w:val="en-US" w:eastAsia="zh-CN"/>
        </w:rPr>
        <w:t>2</w:t>
      </w:r>
      <w:r>
        <w:rPr>
          <w:rFonts w:hint="eastAsia"/>
          <w:color w:val="auto"/>
        </w:rPr>
        <w:t>、满意度指标：指标1：</w:t>
      </w:r>
      <w:r>
        <w:rPr>
          <w:rFonts w:hint="eastAsia"/>
          <w:color w:val="auto"/>
          <w:lang w:eastAsia="zh-CN"/>
        </w:rPr>
        <w:t>职工满意度</w:t>
      </w:r>
      <w:r>
        <w:rPr>
          <w:rFonts w:hint="eastAsia"/>
          <w:color w:val="auto"/>
        </w:rPr>
        <w:t>，指标值：≧95%，实际完成值：=95%，指标完成率100 %。</w:t>
      </w:r>
      <w:bookmarkStart w:id="15" w:name="_Toc68703842"/>
    </w:p>
    <w:p>
      <w:pPr>
        <w:pageBreakBefore w:val="0"/>
        <w:kinsoku/>
        <w:wordWrap/>
        <w:overflowPunct/>
        <w:topLinePunct w:val="0"/>
        <w:autoSpaceDE/>
        <w:autoSpaceDN/>
        <w:bidi w:val="0"/>
        <w:adjustRightInd/>
        <w:snapToGrid/>
        <w:spacing w:line="700" w:lineRule="exact"/>
        <w:ind w:left="0" w:leftChars="0" w:firstLine="643" w:firstLineChars="200"/>
        <w:textAlignment w:val="auto"/>
        <w:rPr>
          <w:rFonts w:hint="eastAsia" w:ascii="宋体" w:hAnsi="宋体" w:eastAsia="宋体"/>
          <w:sz w:val="32"/>
          <w:szCs w:val="32"/>
        </w:rPr>
      </w:pPr>
      <w:r>
        <w:rPr>
          <w:rFonts w:hint="eastAsia" w:ascii="宋体" w:hAnsi="宋体" w:eastAsia="宋体"/>
          <w:b/>
          <w:bCs/>
          <w:sz w:val="32"/>
          <w:szCs w:val="32"/>
        </w:rPr>
        <w:t>五、主要经验及做法、存在的问题及原因分析</w:t>
      </w:r>
      <w:bookmarkEnd w:id="15"/>
      <w:bookmarkStart w:id="16" w:name="_Toc68703843"/>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ascii="仿宋_GB2312" w:eastAsia="仿宋_GB2312"/>
          <w:b w:val="0"/>
          <w:bCs w:val="0"/>
        </w:rPr>
      </w:pPr>
      <w:r>
        <w:rPr>
          <w:rFonts w:hint="eastAsia" w:ascii="仿宋_GB2312" w:eastAsia="仿宋_GB2312"/>
          <w:b w:val="0"/>
          <w:bCs w:val="0"/>
        </w:rPr>
        <w:t>（一）主要经验及做法</w:t>
      </w:r>
      <w:bookmarkEnd w:id="16"/>
      <w:bookmarkStart w:id="17" w:name="_Toc68703844"/>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1、合理设置年初绩效目标，严格按资金具体用途将产出数量目标全部量化至三级指标，据此开展绩效监控和绩效自评工作。</w:t>
      </w:r>
    </w:p>
    <w:p>
      <w:pPr>
        <w:pageBreakBefore w:val="0"/>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2、坚持专款专用的原则，严格按年初拟定的资金使用计划安排支出，不随意突破计划、改变计划或进行无计划的支出，提高财政资金支出的计划性与可控性。</w:t>
      </w:r>
    </w:p>
    <w:p>
      <w:pPr>
        <w:pStyle w:val="4"/>
        <w:pageBreakBefore w:val="0"/>
        <w:kinsoku/>
        <w:wordWrap/>
        <w:overflowPunct/>
        <w:topLinePunct w:val="0"/>
        <w:autoSpaceDE/>
        <w:autoSpaceDN/>
        <w:bidi w:val="0"/>
        <w:adjustRightInd/>
        <w:snapToGrid/>
        <w:spacing w:line="700" w:lineRule="exact"/>
        <w:ind w:left="0" w:leftChars="0" w:firstLine="598" w:firstLineChars="187"/>
        <w:textAlignment w:val="auto"/>
        <w:rPr>
          <w:rFonts w:hint="eastAsia" w:ascii="仿宋_GB2312" w:eastAsia="仿宋_GB2312"/>
          <w:b w:val="0"/>
          <w:bCs w:val="0"/>
        </w:rPr>
      </w:pPr>
      <w:r>
        <w:rPr>
          <w:rFonts w:hint="eastAsia" w:ascii="仿宋_GB2312" w:eastAsia="仿宋_GB2312"/>
          <w:b w:val="0"/>
          <w:bCs w:val="0"/>
        </w:rPr>
        <w:t>（二）存在的问题及原因分析</w:t>
      </w:r>
      <w:bookmarkEnd w:id="17"/>
    </w:p>
    <w:p>
      <w:pPr>
        <w:keepNext w:val="0"/>
        <w:keepLines w:val="0"/>
        <w:pageBreakBefore w:val="0"/>
        <w:widowControl w:val="0"/>
        <w:kinsoku/>
        <w:wordWrap/>
        <w:overflowPunct/>
        <w:topLinePunct w:val="0"/>
        <w:autoSpaceDE/>
        <w:autoSpaceDN/>
        <w:bidi w:val="0"/>
        <w:adjustRightInd/>
        <w:snapToGrid/>
        <w:spacing w:line="700" w:lineRule="exact"/>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1、问题：本单位预算绩效管理水平还需要加强，在项目参与度和精细化管理方面与财政绩效管理要求还存在一定差距。</w:t>
      </w:r>
    </w:p>
    <w:p>
      <w:pPr>
        <w:pStyle w:val="2"/>
        <w:keepNext w:val="0"/>
        <w:keepLines w:val="0"/>
        <w:pageBreakBefore w:val="0"/>
        <w:widowControl w:val="0"/>
        <w:kinsoku/>
        <w:wordWrap/>
        <w:overflowPunct/>
        <w:topLinePunct w:val="0"/>
        <w:autoSpaceDE/>
        <w:autoSpaceDN/>
        <w:bidi w:val="0"/>
        <w:adjustRightInd/>
        <w:snapToGrid/>
        <w:spacing w:line="70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2、原因分析：本单位预算绩效管理工作方面，领导重视程度不够，相关人员业务水平还需要提高</w:t>
      </w:r>
      <w:bookmarkStart w:id="18" w:name="_Toc68703845"/>
      <w:r>
        <w:rPr>
          <w:rFonts w:hint="eastAsia" w:ascii="仿宋" w:hAnsi="仿宋" w:eastAsia="仿宋" w:cs="仿宋"/>
          <w:sz w:val="32"/>
          <w:szCs w:val="32"/>
          <w:lang w:val="en-US" w:eastAsia="zh-CN"/>
        </w:rPr>
        <w:t>。</w:t>
      </w:r>
    </w:p>
    <w:p>
      <w:pPr>
        <w:pStyle w:val="2"/>
        <w:pageBreakBefore w:val="0"/>
        <w:kinsoku/>
        <w:wordWrap/>
        <w:overflowPunct/>
        <w:topLinePunct w:val="0"/>
        <w:autoSpaceDE/>
        <w:autoSpaceDN/>
        <w:bidi w:val="0"/>
        <w:adjustRightInd/>
        <w:snapToGrid/>
        <w:spacing w:line="700" w:lineRule="exact"/>
        <w:ind w:left="0" w:leftChars="0" w:firstLine="643" w:firstLineChars="200"/>
        <w:textAlignment w:val="auto"/>
        <w:rPr>
          <w:rFonts w:hint="eastAsia" w:ascii="宋体" w:hAnsi="宋体" w:eastAsia="宋体"/>
          <w:b/>
          <w:bCs/>
          <w:sz w:val="32"/>
          <w:szCs w:val="32"/>
          <w:lang w:eastAsia="zh-CN"/>
        </w:rPr>
      </w:pPr>
      <w:r>
        <w:rPr>
          <w:rFonts w:hint="eastAsia" w:ascii="宋体" w:hAnsi="宋体" w:eastAsia="宋体"/>
          <w:b/>
          <w:bCs/>
          <w:sz w:val="32"/>
          <w:szCs w:val="32"/>
        </w:rPr>
        <w:t>六、有关建议</w:t>
      </w:r>
      <w:bookmarkEnd w:id="18"/>
      <w:r>
        <w:rPr>
          <w:rFonts w:hint="eastAsia" w:ascii="宋体" w:hAnsi="宋体" w:eastAsia="宋体"/>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lang w:eastAsia="zh-CN"/>
        </w:rPr>
      </w:pPr>
      <w:r>
        <w:rPr>
          <w:rFonts w:hint="eastAsia" w:ascii="仿宋" w:hAnsi="仿宋" w:eastAsia="仿宋" w:cs="仿宋"/>
          <w:lang w:eastAsia="zh-CN"/>
        </w:rPr>
        <w:t>1、建议在今后设置绩效指标时根据项目建设内容和目标，设置指标指向更明确、更细化量化，做到能量化的量化，不能量化的细化，不能细化的程序化。</w:t>
      </w:r>
    </w:p>
    <w:p>
      <w:pPr>
        <w:keepNext w:val="0"/>
        <w:keepLines w:val="0"/>
        <w:pageBreakBefore w:val="0"/>
        <w:widowControl w:val="0"/>
        <w:kinsoku/>
        <w:wordWrap/>
        <w:overflowPunct/>
        <w:topLinePunct w:val="0"/>
        <w:autoSpaceDE/>
        <w:autoSpaceDN/>
        <w:bidi w:val="0"/>
        <w:adjustRightInd/>
        <w:snapToGrid/>
        <w:spacing w:line="700" w:lineRule="exact"/>
        <w:ind w:left="0" w:leftChars="0" w:firstLine="600" w:firstLineChars="200"/>
        <w:textAlignment w:val="auto"/>
        <w:rPr>
          <w:rFonts w:hint="eastAsia" w:ascii="仿宋" w:hAnsi="仿宋" w:eastAsia="仿宋" w:cs="仿宋"/>
          <w:lang w:eastAsia="zh-CN"/>
        </w:rPr>
      </w:pPr>
      <w:r>
        <w:rPr>
          <w:rFonts w:hint="eastAsia" w:ascii="仿宋" w:hAnsi="仿宋" w:eastAsia="仿宋" w:cs="仿宋"/>
          <w:lang w:eastAsia="zh-CN"/>
        </w:rPr>
        <w:t>2、建议在今后项目绩效评价工作中，进一步加强对项目绩效工作的指导，组织培训，以更好的开展绩效评价工作。</w:t>
      </w:r>
    </w:p>
    <w:p>
      <w:pPr>
        <w:pStyle w:val="3"/>
        <w:pageBreakBefore w:val="0"/>
        <w:kinsoku/>
        <w:wordWrap/>
        <w:overflowPunct/>
        <w:topLinePunct w:val="0"/>
        <w:autoSpaceDE/>
        <w:autoSpaceDN/>
        <w:bidi w:val="0"/>
        <w:adjustRightInd/>
        <w:snapToGrid/>
        <w:spacing w:line="700" w:lineRule="exact"/>
        <w:ind w:left="0" w:leftChars="0" w:firstLine="601" w:firstLineChars="187"/>
        <w:textAlignment w:val="auto"/>
        <w:rPr>
          <w:rFonts w:ascii="宋体" w:hAnsi="宋体" w:eastAsia="宋体"/>
          <w:color w:val="auto"/>
          <w:sz w:val="32"/>
          <w:szCs w:val="32"/>
        </w:rPr>
      </w:pPr>
      <w:bookmarkStart w:id="19" w:name="_Toc68703846"/>
      <w:r>
        <w:rPr>
          <w:rFonts w:hint="eastAsia" w:ascii="宋体" w:hAnsi="宋体" w:eastAsia="宋体"/>
          <w:color w:val="auto"/>
          <w:sz w:val="32"/>
          <w:szCs w:val="32"/>
        </w:rPr>
        <w:t>七、其他需要说明的问题</w:t>
      </w:r>
      <w:bookmarkEnd w:id="19"/>
    </w:p>
    <w:p>
      <w:pPr>
        <w:pageBreakBefore w:val="0"/>
        <w:kinsoku/>
        <w:wordWrap/>
        <w:overflowPunct/>
        <w:topLinePunct w:val="0"/>
        <w:autoSpaceDE/>
        <w:autoSpaceDN/>
        <w:bidi w:val="0"/>
        <w:adjustRightInd/>
        <w:snapToGrid/>
        <w:spacing w:line="700" w:lineRule="exact"/>
        <w:ind w:left="0" w:leftChars="0" w:firstLine="561" w:firstLineChars="187"/>
        <w:textAlignment w:val="auto"/>
        <w:rPr>
          <w:rFonts w:hint="eastAsia" w:eastAsia="仿宋_GB2312"/>
          <w:color w:val="auto"/>
          <w:lang w:eastAsia="zh-CN"/>
        </w:rPr>
      </w:pPr>
      <w:r>
        <w:rPr>
          <w:rFonts w:hint="eastAsia"/>
          <w:color w:val="auto"/>
          <w:lang w:eastAsia="zh-CN"/>
        </w:rPr>
        <w:t>无。</w:t>
      </w:r>
    </w:p>
    <w:p>
      <w:pPr>
        <w:pageBreakBefore w:val="0"/>
        <w:kinsoku/>
        <w:wordWrap/>
        <w:overflowPunct/>
        <w:topLinePunct w:val="0"/>
        <w:autoSpaceDE/>
        <w:autoSpaceDN/>
        <w:bidi w:val="0"/>
        <w:adjustRightInd/>
        <w:snapToGrid/>
        <w:spacing w:line="700" w:lineRule="exact"/>
        <w:textAlignment w:val="auto"/>
      </w:pPr>
    </w:p>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69CE2"/>
    <w:multiLevelType w:val="singleLevel"/>
    <w:tmpl w:val="BE369CE2"/>
    <w:lvl w:ilvl="0" w:tentative="0">
      <w:start w:val="5"/>
      <w:numFmt w:val="decimal"/>
      <w:suff w:val="nothing"/>
      <w:lvlText w:val="%1、"/>
      <w:lvlJc w:val="left"/>
    </w:lvl>
  </w:abstractNum>
  <w:abstractNum w:abstractNumId="1">
    <w:nsid w:val="C351C253"/>
    <w:multiLevelType w:val="singleLevel"/>
    <w:tmpl w:val="C351C253"/>
    <w:lvl w:ilvl="0" w:tentative="0">
      <w:start w:val="1"/>
      <w:numFmt w:val="decimal"/>
      <w:suff w:val="nothing"/>
      <w:lvlText w:val="%1、"/>
      <w:lvlJc w:val="left"/>
    </w:lvl>
  </w:abstractNum>
  <w:abstractNum w:abstractNumId="2">
    <w:nsid w:val="25BF4EEF"/>
    <w:multiLevelType w:val="singleLevel"/>
    <w:tmpl w:val="25BF4EEF"/>
    <w:lvl w:ilvl="0" w:tentative="0">
      <w:start w:val="6"/>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dhZWVkNWFlODczZTcwYmIzMmRjNWEwZjU1OWQ2MWIifQ=="/>
  </w:docVars>
  <w:rsids>
    <w:rsidRoot w:val="007D49C5"/>
    <w:rsid w:val="005B64E8"/>
    <w:rsid w:val="00614288"/>
    <w:rsid w:val="00792CFE"/>
    <w:rsid w:val="007D49C5"/>
    <w:rsid w:val="008C631D"/>
    <w:rsid w:val="00B24331"/>
    <w:rsid w:val="060B3CC8"/>
    <w:rsid w:val="079F2376"/>
    <w:rsid w:val="08354430"/>
    <w:rsid w:val="08A97C96"/>
    <w:rsid w:val="12411C50"/>
    <w:rsid w:val="12C62A62"/>
    <w:rsid w:val="174B5E20"/>
    <w:rsid w:val="180A10A6"/>
    <w:rsid w:val="1A23211C"/>
    <w:rsid w:val="3BC17B88"/>
    <w:rsid w:val="463D5451"/>
    <w:rsid w:val="4CB47F21"/>
    <w:rsid w:val="72FF6309"/>
    <w:rsid w:val="74660A85"/>
    <w:rsid w:val="7E4E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0"/>
    <w:pPr>
      <w:spacing w:before="104" w:after="104"/>
      <w:outlineLvl w:val="2"/>
    </w:pPr>
    <w:rPr>
      <w:rFonts w:eastAsia="黑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1">
    <w:name w:val="标题 2 字符"/>
    <w:basedOn w:val="8"/>
    <w:link w:val="4"/>
    <w:qFormat/>
    <w:uiPriority w:val="9"/>
    <w:rPr>
      <w:rFonts w:asciiTheme="majorHAnsi" w:hAnsiTheme="majorHAnsi" w:eastAsiaTheme="majorEastAsia" w:cstheme="majorBidi"/>
      <w:b/>
      <w:bCs/>
      <w:sz w:val="32"/>
      <w:szCs w:val="32"/>
    </w:rPr>
  </w:style>
  <w:style w:type="paragraph" w:customStyle="1" w:styleId="1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4892</Words>
  <Characters>5008</Characters>
  <Lines>38</Lines>
  <Paragraphs>10</Paragraphs>
  <TotalTime>22</TotalTime>
  <ScaleCrop>false</ScaleCrop>
  <LinksUpToDate>false</LinksUpToDate>
  <CharactersWithSpaces>5167</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2024-06-12T09:51:59Z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C858DE83C11844B6869A0C424E1089F1</vt:lpwstr>
  </property>
</Properties>
</file>