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2023年度会计监督检查查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  <w:t>后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依据《中华人民共和国会计法》，按照《关于开展伊犁州直2023年度会计监督检查工作的通知》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文件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精神，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霍城县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财政局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于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8月中旬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依法对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霍城县林业和草原局、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霍城县退役军人事务所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霍城县灵珂信息咨询服务有限公司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家单位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会计信息质量检查，现将检查结果公布如下：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家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行政事业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单位查出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违反《行政事业单位会计准则》相关条款，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主要表现在原始凭证信息不完整、会计核算不规范、账务处理不及时、账表不符等方面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1家公司不存在相关问题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针对检查出的问题，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霍城县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财政局依法做出检查结论和处理决定，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要求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被检查单位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立查立改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以观后效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特此公示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霍城县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财政局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2023年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7"/>
          <w:szCs w:val="37"/>
          <w:highlight w:val="none"/>
          <w:shd w:val="clear" w:fill="FFFFFF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4F56081"/>
    <w:rsid w:val="365C28B6"/>
    <w:rsid w:val="7FA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Office_11.8.2.12080_F1E327BC-269C-435d-A152-05C5408002CA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2023-10-18T09:31:26Z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2052-11.8.2.12080</vt:lpwstr>
  </property>
  <property fmtid="{D5CDD505-2E9C-101B-9397-08002B2CF9AE}" pid="3" name="ICV">
    <vt:lpwstr>4C45D88C6CC34262AA7BB1378FDEEA5E</vt:lpwstr>
  </property>
</Properties>
</file>