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方正小标宋简体" w:hAnsi="方正小标宋简体" w:eastAsia="方正小标宋简体" w:cs="方正小标宋简体"/>
          <w:b w:val="0"/>
          <w:bCs/>
          <w:color w:val="333333"/>
          <w:sz w:val="36"/>
          <w:szCs w:val="36"/>
        </w:rPr>
      </w:pPr>
      <w:r>
        <w:rPr>
          <w:rFonts w:hint="eastAsia" w:ascii="方正小标宋简体" w:hAnsi="方正小标宋简体" w:eastAsia="方正小标宋简体" w:cs="方正小标宋简体"/>
          <w:b w:val="0"/>
          <w:bCs/>
          <w:color w:val="333333"/>
          <w:sz w:val="36"/>
          <w:szCs w:val="36"/>
          <w:shd w:val="clear" w:color="auto" w:fill="FFFFFF"/>
          <w:lang w:eastAsia="zh-CN"/>
        </w:rPr>
        <w:t>伊犁州生态环境局</w:t>
      </w:r>
      <w:r>
        <w:rPr>
          <w:rFonts w:hint="eastAsia" w:ascii="方正小标宋简体" w:hAnsi="方正小标宋简体" w:eastAsia="方正小标宋简体" w:cs="方正小标宋简体"/>
          <w:b w:val="0"/>
          <w:bCs/>
          <w:color w:val="333333"/>
          <w:sz w:val="36"/>
          <w:szCs w:val="36"/>
          <w:shd w:val="clear" w:color="auto" w:fill="FFFFFF"/>
          <w:lang w:val="en-US" w:eastAsia="zh-CN"/>
        </w:rPr>
        <w:t>霍城县分局2023年10月30日拟作出伊犁硕源新型建材有限公司建设项目</w:t>
      </w:r>
      <w:r>
        <w:rPr>
          <w:rFonts w:hint="eastAsia" w:ascii="方正小标宋简体" w:hAnsi="方正小标宋简体" w:eastAsia="方正小标宋简体" w:cs="方正小标宋简体"/>
          <w:b w:val="0"/>
          <w:bCs/>
          <w:color w:val="333333"/>
          <w:sz w:val="36"/>
          <w:szCs w:val="36"/>
          <w:shd w:val="clear" w:color="auto" w:fill="FFFFFF"/>
        </w:rPr>
        <w:t>环境影响评价文件</w:t>
      </w:r>
      <w:r>
        <w:rPr>
          <w:rFonts w:hint="eastAsia" w:ascii="方正小标宋简体" w:hAnsi="方正小标宋简体" w:eastAsia="方正小标宋简体" w:cs="方正小标宋简体"/>
          <w:b w:val="0"/>
          <w:bCs/>
          <w:color w:val="333333"/>
          <w:sz w:val="36"/>
          <w:szCs w:val="36"/>
          <w:shd w:val="clear" w:color="auto" w:fill="FFFFFF"/>
          <w:lang w:val="en-US" w:eastAsia="zh-CN"/>
        </w:rPr>
        <w:t>批复决定的</w:t>
      </w:r>
      <w:r>
        <w:rPr>
          <w:rFonts w:hint="eastAsia" w:ascii="方正小标宋简体" w:hAnsi="方正小标宋简体" w:eastAsia="方正小标宋简体" w:cs="方正小标宋简体"/>
          <w:b w:val="0"/>
          <w:bCs/>
          <w:color w:val="333333"/>
          <w:sz w:val="36"/>
          <w:szCs w:val="36"/>
          <w:shd w:val="clear" w:color="auto" w:fill="FFFFFF"/>
        </w:rPr>
        <w:t>公示</w:t>
      </w:r>
    </w:p>
    <w:p>
      <w:pPr>
        <w:pStyle w:val="5"/>
        <w:keepNext w:val="0"/>
        <w:keepLines w:val="0"/>
        <w:widowControl/>
        <w:suppressLineNumbers w:val="0"/>
        <w:spacing w:beforeAutospacing="1" w:after="48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666666"/>
          <w:sz w:val="32"/>
          <w:szCs w:val="32"/>
          <w:shd w:val="clear" w:color="auto" w:fill="FFFFFF"/>
        </w:rPr>
        <w:t>2020-11-12</w:t>
      </w:r>
      <w:r>
        <w:rPr>
          <w:rFonts w:hint="eastAsia" w:ascii="仿宋_GB2312" w:hAnsi="仿宋_GB2312" w:eastAsia="仿宋_GB2312" w:cs="仿宋_GB2312"/>
          <w:sz w:val="32"/>
          <w:szCs w:val="32"/>
          <w:shd w:val="clear" w:color="auto"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both"/>
        <w:textAlignment w:val="auto"/>
        <w:rPr>
          <w:rFonts w:hint="eastAsia" w:ascii="仿宋_GB2312" w:hAnsi="仿宋_GB2312" w:eastAsia="仿宋_GB2312" w:cs="仿宋_GB2312"/>
          <w:color w:val="4C4C4C"/>
          <w:kern w:val="0"/>
          <w:sz w:val="32"/>
          <w:szCs w:val="32"/>
          <w:shd w:val="clear" w:color="auto" w:fill="FFFFFF"/>
          <w:lang w:val="en-US" w:eastAsia="zh-CN" w:bidi="ar"/>
        </w:rPr>
      </w:pPr>
      <w:r>
        <w:rPr>
          <w:rFonts w:hint="eastAsia" w:ascii="仿宋_GB2312" w:hAnsi="仿宋_GB2312" w:eastAsia="仿宋_GB2312" w:cs="仿宋_GB2312"/>
          <w:color w:val="4C4C4C"/>
          <w:kern w:val="0"/>
          <w:sz w:val="32"/>
          <w:szCs w:val="32"/>
          <w:shd w:val="clear" w:color="auto"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333333"/>
          <w:sz w:val="32"/>
          <w:szCs w:val="32"/>
          <w:shd w:val="clear" w:color="auto" w:fill="FFFFFF"/>
        </w:rPr>
      </w:pPr>
      <w:r>
        <w:rPr>
          <w:rFonts w:hint="eastAsia" w:ascii="仿宋_GB2312" w:hAnsi="仿宋_GB2312" w:eastAsia="仿宋_GB2312" w:cs="仿宋_GB2312"/>
          <w:b w:val="0"/>
          <w:bCs/>
          <w:color w:val="333333"/>
          <w:sz w:val="32"/>
          <w:szCs w:val="32"/>
          <w:shd w:val="clear" w:color="auto" w:fill="FFFFFF"/>
          <w:lang w:val="en-US" w:eastAsia="zh-CN"/>
        </w:rPr>
        <w:t>根据建设项目环境影响评价审批程序的有关规定，我局拟对伊犁硕源新型建材有限公司建设项目环境影响评价文件进行审查。现将拟审查的环境影响评价文件基本情况予以公示，公示期为2023年10月30日－2023年11月3日（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both"/>
        <w:textAlignment w:val="auto"/>
        <w:rPr>
          <w:rFonts w:hint="eastAsia" w:ascii="仿宋_GB2312" w:hAnsi="仿宋_GB2312" w:eastAsia="仿宋_GB2312" w:cs="仿宋_GB2312"/>
          <w:b w:val="0"/>
          <w:bCs/>
          <w:color w:val="333333"/>
          <w:sz w:val="32"/>
          <w:szCs w:val="32"/>
          <w:shd w:val="clear" w:color="auto" w:fill="FFFFFF"/>
        </w:rPr>
      </w:pPr>
      <w:r>
        <w:rPr>
          <w:rFonts w:hint="eastAsia" w:ascii="仿宋_GB2312" w:hAnsi="仿宋_GB2312" w:eastAsia="仿宋_GB2312" w:cs="仿宋_GB2312"/>
          <w:b w:val="0"/>
          <w:bCs/>
          <w:color w:val="333333"/>
          <w:sz w:val="32"/>
          <w:szCs w:val="32"/>
          <w:shd w:val="clear" w:color="auto" w:fill="FFFFFF"/>
          <w:lang w:val="en-US" w:eastAsia="zh-CN"/>
        </w:rPr>
        <w:t>　　听证权利告知：依据《</w:t>
      </w:r>
      <w:r>
        <w:rPr>
          <w:rFonts w:hint="eastAsia" w:ascii="仿宋_GB2312" w:hAnsi="仿宋_GB2312" w:eastAsia="仿宋_GB2312" w:cs="仿宋_GB2312"/>
          <w:b w:val="0"/>
          <w:bCs/>
          <w:color w:val="333333"/>
          <w:sz w:val="32"/>
          <w:szCs w:val="32"/>
          <w:shd w:val="clear" w:color="auto" w:fill="FFFFFF"/>
          <w:lang w:val="en-US" w:eastAsia="zh-CN"/>
        </w:rPr>
        <w:fldChar w:fldCharType="begin"/>
      </w:r>
      <w:r>
        <w:rPr>
          <w:rFonts w:hint="eastAsia" w:ascii="仿宋_GB2312" w:hAnsi="仿宋_GB2312" w:eastAsia="仿宋_GB2312" w:cs="仿宋_GB2312"/>
          <w:b w:val="0"/>
          <w:bCs/>
          <w:color w:val="333333"/>
          <w:sz w:val="32"/>
          <w:szCs w:val="32"/>
          <w:shd w:val="clear" w:color="auto" w:fill="FFFFFF"/>
          <w:lang w:val="en-US" w:eastAsia="zh-CN"/>
        </w:rPr>
        <w:instrText xml:space="preserve"> HYPERLINK "http://www.mee.gov.cn/ywgz/fgbz/fl/201906/t20190604_705566.shtml" </w:instrText>
      </w:r>
      <w:r>
        <w:rPr>
          <w:rFonts w:hint="eastAsia" w:ascii="仿宋_GB2312" w:hAnsi="仿宋_GB2312" w:eastAsia="仿宋_GB2312" w:cs="仿宋_GB2312"/>
          <w:b w:val="0"/>
          <w:bCs/>
          <w:color w:val="333333"/>
          <w:sz w:val="32"/>
          <w:szCs w:val="32"/>
          <w:shd w:val="clear" w:color="auto" w:fill="FFFFFF"/>
          <w:lang w:val="en-US" w:eastAsia="zh-CN"/>
        </w:rPr>
        <w:fldChar w:fldCharType="separate"/>
      </w:r>
      <w:r>
        <w:rPr>
          <w:rFonts w:hint="eastAsia" w:ascii="仿宋_GB2312" w:hAnsi="仿宋_GB2312" w:eastAsia="仿宋_GB2312" w:cs="仿宋_GB2312"/>
          <w:b w:val="0"/>
          <w:bCs/>
          <w:color w:val="333333"/>
          <w:sz w:val="32"/>
          <w:szCs w:val="32"/>
          <w:shd w:val="clear" w:color="auto" w:fill="FFFFFF"/>
        </w:rPr>
        <w:t>中华人民共和国行政许可法</w:t>
      </w:r>
      <w:r>
        <w:rPr>
          <w:rFonts w:hint="eastAsia" w:ascii="仿宋_GB2312" w:hAnsi="仿宋_GB2312" w:eastAsia="仿宋_GB2312" w:cs="仿宋_GB2312"/>
          <w:b w:val="0"/>
          <w:bCs/>
          <w:color w:val="333333"/>
          <w:sz w:val="32"/>
          <w:szCs w:val="32"/>
          <w:shd w:val="clear" w:color="auto" w:fill="FFFFFF"/>
          <w:lang w:val="en-US" w:eastAsia="zh-CN"/>
        </w:rPr>
        <w:fldChar w:fldCharType="end"/>
      </w:r>
      <w:r>
        <w:rPr>
          <w:rFonts w:hint="eastAsia" w:ascii="仿宋_GB2312" w:hAnsi="仿宋_GB2312" w:eastAsia="仿宋_GB2312" w:cs="仿宋_GB2312"/>
          <w:b w:val="0"/>
          <w:bCs/>
          <w:color w:val="333333"/>
          <w:sz w:val="32"/>
          <w:szCs w:val="32"/>
          <w:shd w:val="clear" w:color="auto" w:fill="FFFFFF"/>
          <w:lang w:val="en-US" w:eastAsia="zh-CN"/>
        </w:rPr>
        <w:t>》，自公示起五日内申请人、利害关系人可提出听证申请。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both"/>
        <w:textAlignment w:val="auto"/>
        <w:rPr>
          <w:rFonts w:hint="default" w:ascii="仿宋_GB2312" w:hAnsi="仿宋_GB2312" w:eastAsia="仿宋_GB2312" w:cs="仿宋_GB2312"/>
          <w:b w:val="0"/>
          <w:bCs/>
          <w:color w:val="333333"/>
          <w:sz w:val="32"/>
          <w:szCs w:val="32"/>
          <w:shd w:val="clear" w:color="auto" w:fill="FFFFFF"/>
          <w:lang w:val="en-US"/>
        </w:rPr>
      </w:pPr>
      <w:r>
        <w:rPr>
          <w:rFonts w:hint="eastAsia" w:ascii="仿宋_GB2312" w:hAnsi="仿宋_GB2312" w:eastAsia="仿宋_GB2312" w:cs="仿宋_GB2312"/>
          <w:b w:val="0"/>
          <w:bCs/>
          <w:color w:val="333333"/>
          <w:sz w:val="32"/>
          <w:szCs w:val="32"/>
          <w:shd w:val="clear" w:color="auto" w:fill="FFFFFF"/>
          <w:lang w:val="en-US" w:eastAsia="zh-CN"/>
        </w:rPr>
        <w:t>　　通信地址：霍城县水定镇朝阳北路035号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jc w:val="both"/>
        <w:textAlignment w:val="auto"/>
        <w:rPr>
          <w:rFonts w:hint="eastAsia" w:ascii="仿宋_GB2312" w:hAnsi="仿宋_GB2312" w:eastAsia="仿宋_GB2312" w:cs="仿宋_GB2312"/>
          <w:b w:val="0"/>
          <w:bCs/>
          <w:color w:val="333333"/>
          <w:sz w:val="32"/>
          <w:szCs w:val="32"/>
          <w:shd w:val="clear" w:color="auto" w:fill="FFFFFF"/>
          <w:lang w:val="en-US" w:eastAsia="zh-CN"/>
        </w:rPr>
      </w:pPr>
      <w:r>
        <w:rPr>
          <w:rFonts w:hint="eastAsia" w:ascii="仿宋_GB2312" w:hAnsi="仿宋_GB2312" w:eastAsia="仿宋_GB2312" w:cs="仿宋_GB2312"/>
          <w:b w:val="0"/>
          <w:bCs/>
          <w:color w:val="333333"/>
          <w:sz w:val="32"/>
          <w:szCs w:val="32"/>
          <w:shd w:val="clear" w:color="auto" w:fill="FFFFFF"/>
          <w:lang w:val="en-US" w:eastAsia="zh-CN"/>
        </w:rPr>
        <w:t>邮　　编：835200</w:t>
      </w:r>
    </w:p>
    <w:p>
      <w:pPr>
        <w:ind w:firstLine="640"/>
        <w:rPr>
          <w:rFonts w:hint="default"/>
          <w:lang w:val="en-US"/>
        </w:rPr>
      </w:pPr>
    </w:p>
    <w:p>
      <w:pPr>
        <w:ind w:firstLine="640"/>
        <w:rPr>
          <w:rFonts w:hint="default"/>
          <w:lang w:val="en-US"/>
        </w:rPr>
      </w:pPr>
    </w:p>
    <w:p>
      <w:pPr>
        <w:tabs>
          <w:tab w:val="left" w:pos="9072"/>
        </w:tabs>
        <w:ind w:firstLine="640"/>
        <w:rPr>
          <w:rFonts w:hint="eastAsia" w:eastAsia="宋体"/>
          <w:lang w:val="en-US" w:eastAsia="zh-CN"/>
        </w:rPr>
      </w:pPr>
      <w:r>
        <w:rPr>
          <w:rFonts w:hint="eastAsia"/>
          <w:lang w:val="en-US" w:eastAsia="zh-CN"/>
        </w:rPr>
        <w:tab/>
      </w:r>
    </w:p>
    <w:tbl>
      <w:tblPr>
        <w:tblStyle w:val="3"/>
        <w:tblW w:w="13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64"/>
        <w:gridCol w:w="1005"/>
        <w:gridCol w:w="990"/>
        <w:gridCol w:w="945"/>
        <w:gridCol w:w="3840"/>
        <w:gridCol w:w="472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序号</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项目名称</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建设地点</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建设单位</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环境影响评价机构</w:t>
            </w:r>
          </w:p>
        </w:tc>
        <w:tc>
          <w:tcPr>
            <w:tcW w:w="384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建设项目概况</w:t>
            </w:r>
          </w:p>
        </w:tc>
        <w:tc>
          <w:tcPr>
            <w:tcW w:w="47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主要环境影响及预防或者减轻不良环境影响的对策和措施</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b/>
                <w:kern w:val="0"/>
                <w:sz w:val="28"/>
                <w:szCs w:val="28"/>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pacing w:before="100" w:beforeAutospacing="1" w:afterAutospacing="1" w:line="300" w:lineRule="exact"/>
              <w:ind w:left="0" w:right="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Autospacing="1" w:line="30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伊犁硕源新型建材有限公司建设项目</w:t>
            </w:r>
          </w:p>
        </w:tc>
        <w:tc>
          <w:tcPr>
            <w:tcW w:w="10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Autospacing="1" w:line="300" w:lineRule="exact"/>
              <w:ind w:left="0" w:right="0"/>
              <w:jc w:val="both"/>
              <w:rPr>
                <w:rFonts w:hint="default" w:ascii="宋体" w:hAnsi="宋体" w:eastAsia="宋体" w:cs="宋体"/>
                <w:sz w:val="28"/>
                <w:szCs w:val="28"/>
                <w:lang w:val="en-US" w:eastAsia="zh-CN"/>
              </w:rPr>
            </w:pPr>
            <w:r>
              <w:rPr>
                <w:rFonts w:hint="eastAsia" w:ascii="宋体" w:hAnsi="宋体" w:cs="宋体"/>
                <w:sz w:val="24"/>
                <w:szCs w:val="24"/>
                <w:lang w:val="en-US" w:eastAsia="zh-CN"/>
              </w:rPr>
              <w:t>霍城县清水河镇双沟一村</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Autospacing="1" w:line="300" w:lineRule="exact"/>
              <w:ind w:left="0" w:right="0"/>
              <w:jc w:val="both"/>
              <w:rPr>
                <w:rFonts w:hint="default" w:ascii="宋体" w:hAnsi="宋体" w:eastAsia="宋体" w:cs="宋体"/>
                <w:sz w:val="28"/>
                <w:szCs w:val="28"/>
                <w:lang w:val="en-US" w:eastAsia="zh-CN"/>
              </w:rPr>
            </w:pPr>
            <w:r>
              <w:rPr>
                <w:rFonts w:hint="eastAsia" w:ascii="宋体" w:hAnsi="宋体" w:cs="宋体"/>
                <w:sz w:val="24"/>
                <w:szCs w:val="24"/>
                <w:lang w:val="en-US" w:eastAsia="zh-CN"/>
              </w:rPr>
              <w:t>伊犁硕源新型建材有限公司</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Autospacing="1" w:line="300" w:lineRule="exact"/>
              <w:ind w:left="0" w:right="0"/>
              <w:jc w:val="both"/>
              <w:rPr>
                <w:rFonts w:hint="eastAsia" w:ascii="宋体" w:hAnsi="宋体" w:eastAsia="宋体" w:cs="宋体"/>
                <w:sz w:val="28"/>
                <w:szCs w:val="28"/>
                <w:lang w:val="en-US" w:eastAsia="zh-CN"/>
              </w:rPr>
            </w:pPr>
            <w:r>
              <w:rPr>
                <w:rFonts w:hint="eastAsia" w:ascii="宋体" w:hAnsi="宋体" w:cs="宋体"/>
                <w:sz w:val="24"/>
                <w:szCs w:val="24"/>
                <w:lang w:val="en-US" w:eastAsia="zh-CN"/>
              </w:rPr>
              <w:t>湖南娇果环境评估有限公司</w:t>
            </w:r>
          </w:p>
        </w:tc>
        <w:tc>
          <w:tcPr>
            <w:tcW w:w="38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100" w:beforeAutospacing="1" w:afterAutospacing="1" w:line="300" w:lineRule="atLeast"/>
              <w:ind w:right="0"/>
              <w:jc w:val="left"/>
              <w:rPr>
                <w:rFonts w:hint="default" w:ascii="宋体" w:hAnsi="宋体" w:eastAsia="宋体" w:cs="宋体"/>
                <w:sz w:val="28"/>
                <w:szCs w:val="28"/>
                <w:lang w:val="en-US"/>
              </w:rPr>
            </w:pPr>
            <w:r>
              <w:rPr>
                <w:rFonts w:hint="default" w:ascii="宋体" w:hAnsi="宋体" w:eastAsia="宋体" w:cs="宋体"/>
                <w:sz w:val="24"/>
                <w:szCs w:val="24"/>
                <w:lang w:val="en-US"/>
              </w:rPr>
              <w:t>新建建筑面积400平方米的封闭生产厂房1栋，建筑面积400平方米的半封闭厂棚区1座。在封闭厂房内设置新建水泥基均质保温板生产线1条，生产规模为年产1万m³水泥基均质保温板。安装一台1.5t/h生物质蒸汽发生器用于生产供汽。配套建设办公用房、库房、围墙、供排水设施及供电设施。项目总投资1000万元，其中环保投资106万元，占总投资的10.6%。</w:t>
            </w:r>
          </w:p>
        </w:tc>
        <w:tc>
          <w:tcPr>
            <w:tcW w:w="4725" w:type="dxa"/>
            <w:tcBorders>
              <w:top w:val="single" w:color="auto" w:sz="4" w:space="0"/>
              <w:left w:val="nil"/>
              <w:bottom w:val="single" w:color="auto" w:sz="4" w:space="0"/>
              <w:right w:val="single" w:color="auto" w:sz="4" w:space="0"/>
            </w:tcBorders>
            <w:noWrap w:val="0"/>
            <w:vAlign w:val="center"/>
          </w:tcPr>
          <w:p>
            <w:pPr>
              <w:bidi w:val="0"/>
              <w:jc w:val="left"/>
              <w:rPr>
                <w:rFonts w:hint="eastAsia"/>
                <w:sz w:val="24"/>
                <w:szCs w:val="24"/>
                <w:lang w:val="en-US" w:eastAsia="zh-CN"/>
              </w:rPr>
            </w:pPr>
            <w:r>
              <w:rPr>
                <w:rFonts w:hint="eastAsia"/>
                <w:sz w:val="24"/>
                <w:szCs w:val="24"/>
                <w:lang w:val="en-US" w:eastAsia="zh-CN"/>
              </w:rPr>
              <w:t>1、生物质蒸汽发生器安装袋式除尘设备，烟气经25m高烟囱排放。</w:t>
            </w:r>
          </w:p>
          <w:p>
            <w:pPr>
              <w:bidi w:val="0"/>
              <w:jc w:val="left"/>
              <w:rPr>
                <w:rFonts w:hint="eastAsia"/>
                <w:sz w:val="24"/>
                <w:szCs w:val="24"/>
                <w:lang w:val="en-US" w:eastAsia="zh-CN"/>
              </w:rPr>
            </w:pPr>
            <w:r>
              <w:rPr>
                <w:rFonts w:hint="eastAsia"/>
                <w:sz w:val="24"/>
                <w:szCs w:val="24"/>
                <w:lang w:val="en-US" w:eastAsia="zh-CN"/>
              </w:rPr>
              <w:t>聚苯乙烯发泡产生的挥发废气通过蓄热式热力燃烧进行处理，处理后经15m高排气筒排放。</w:t>
            </w:r>
          </w:p>
          <w:p>
            <w:pPr>
              <w:bidi w:val="0"/>
              <w:jc w:val="left"/>
              <w:rPr>
                <w:rFonts w:hint="eastAsia"/>
                <w:sz w:val="24"/>
                <w:szCs w:val="24"/>
                <w:lang w:val="en-US" w:eastAsia="zh-CN"/>
              </w:rPr>
            </w:pPr>
            <w:r>
              <w:rPr>
                <w:rFonts w:hint="eastAsia"/>
                <w:sz w:val="24"/>
                <w:szCs w:val="24"/>
                <w:lang w:val="en-US" w:eastAsia="zh-CN"/>
              </w:rPr>
              <w:t>粉状物料（水泥、粉煤灰）料仓为密封料仓，共2座粉料仓，粉状物料仓均为密封钢制圆料仓，料仓顶部设置脉冲布袋除尘器。水泥、粉煤灰等原料由罐车利用气泵抽入封闭的水泥储罐中，各料仓与自动配料称</w:t>
            </w:r>
            <w:bookmarkStart w:id="0" w:name="_GoBack"/>
            <w:bookmarkEnd w:id="0"/>
            <w:r>
              <w:rPr>
                <w:rFonts w:hint="eastAsia"/>
                <w:sz w:val="24"/>
                <w:szCs w:val="24"/>
                <w:lang w:val="en-US" w:eastAsia="zh-CN"/>
              </w:rPr>
              <w:t>重出料系统紧密连接，避免进料过程产生粉尘；搅拌机的搅拌粉尘经袋式除尘器处理后由车间15米高的排气筒排放。</w:t>
            </w:r>
          </w:p>
          <w:p>
            <w:pPr>
              <w:bidi w:val="0"/>
              <w:jc w:val="left"/>
              <w:rPr>
                <w:rFonts w:hint="eastAsia"/>
                <w:sz w:val="24"/>
                <w:szCs w:val="24"/>
                <w:lang w:val="en-US" w:eastAsia="zh-CN"/>
              </w:rPr>
            </w:pPr>
            <w:r>
              <w:rPr>
                <w:rFonts w:hint="eastAsia"/>
                <w:sz w:val="24"/>
                <w:szCs w:val="24"/>
                <w:lang w:val="en-US" w:eastAsia="zh-CN"/>
              </w:rPr>
              <w:t>2、该项目不产生和排放生产废水，生活污水临时储存在防渗化粪池，定期运至清水河污水处理厂处理。</w:t>
            </w:r>
          </w:p>
          <w:p>
            <w:pPr>
              <w:bidi w:val="0"/>
              <w:jc w:val="left"/>
              <w:rPr>
                <w:rFonts w:hint="eastAsia"/>
                <w:sz w:val="24"/>
                <w:szCs w:val="24"/>
                <w:lang w:val="en-US" w:eastAsia="zh-CN"/>
              </w:rPr>
            </w:pPr>
            <w:r>
              <w:rPr>
                <w:rFonts w:hint="eastAsia"/>
                <w:sz w:val="24"/>
                <w:szCs w:val="24"/>
                <w:lang w:val="en-US" w:eastAsia="zh-CN"/>
              </w:rPr>
              <w:t>3、选用低噪设备、合理布局；设备基础减振、建筑隔声等。</w:t>
            </w:r>
          </w:p>
          <w:p>
            <w:pPr>
              <w:bidi w:val="0"/>
              <w:jc w:val="left"/>
              <w:rPr>
                <w:rFonts w:hint="eastAsia"/>
                <w:lang w:val="en-US" w:eastAsia="zh-CN"/>
              </w:rPr>
            </w:pPr>
            <w:r>
              <w:rPr>
                <w:rFonts w:hint="eastAsia"/>
                <w:sz w:val="24"/>
                <w:szCs w:val="24"/>
                <w:lang w:val="en-US" w:eastAsia="zh-CN"/>
              </w:rPr>
              <w:t>4、包装袋收集后外售给废品回收站；边角料收集后回用于生产；生活垃圾设置垃圾箱，委托环卫部门收集处理。</w:t>
            </w:r>
          </w:p>
        </w:tc>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default" w:ascii="宋体" w:hAnsi="宋体" w:eastAsia="宋体" w:cs="宋体"/>
                <w:b w:val="0"/>
                <w:bCs/>
                <w:sz w:val="28"/>
                <w:szCs w:val="28"/>
                <w:lang w:val="en-US" w:eastAsia="zh-CN"/>
              </w:rPr>
            </w:pPr>
            <w:r>
              <w:rPr>
                <w:rFonts w:hint="eastAsia" w:ascii="宋体" w:hAnsi="宋体" w:cs="宋体"/>
                <w:b w:val="0"/>
                <w:bCs/>
                <w:sz w:val="24"/>
                <w:szCs w:val="24"/>
                <w:lang w:val="en-US" w:eastAsia="zh-CN"/>
              </w:rPr>
              <w:t>0999-3023815</w:t>
            </w:r>
          </w:p>
        </w:tc>
      </w:tr>
    </w:tbl>
    <w:p/>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NGFkOWI0NGI2YmU3NmQwOTRkYzY0YjQwN2U4NGEifQ=="/>
  </w:docVars>
  <w:rsids>
    <w:rsidRoot w:val="39FD3CEB"/>
    <w:rsid w:val="08BD3660"/>
    <w:rsid w:val="39FD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ydlyzzbox"/>
    <w:basedOn w:val="1"/>
    <w:qFormat/>
    <w:uiPriority w:val="0"/>
    <w:pPr>
      <w:jc w:val="left"/>
    </w:pPr>
    <w:rPr>
      <w:vanish/>
      <w:kern w:val="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2023-09-28T09:22:00Z</dcterms:created>
  <dc:creator>Administrator</dc:creator>
  <cp:lastModifiedBy>Administrator</cp:lastModifiedBy>
  <dcterms:modified xsi:type="dcterms:W3CDTF">2023-10-23T10:38:50Z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78EECB09EC0144A58FC2898DAF86DA3F_11</vt:lpwstr>
  </property>
</Properties>
</file>